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D9" w:rsidRPr="002B17C6" w:rsidRDefault="009526D9" w:rsidP="009526D9">
      <w:pPr>
        <w:spacing w:line="280" w:lineRule="exact"/>
        <w:ind w:left="10773"/>
        <w:rPr>
          <w:color w:val="000000"/>
          <w:lang w:val="uk-UA"/>
        </w:rPr>
      </w:pPr>
      <w:r w:rsidRPr="002B17C6">
        <w:rPr>
          <w:color w:val="000000"/>
          <w:lang w:val="uk-UA"/>
        </w:rPr>
        <w:t>Додаток 1</w:t>
      </w:r>
    </w:p>
    <w:p w:rsidR="009526D9" w:rsidRDefault="009526D9" w:rsidP="009526D9">
      <w:pPr>
        <w:spacing w:line="280" w:lineRule="exact"/>
        <w:ind w:left="10773"/>
        <w:rPr>
          <w:color w:val="000000"/>
          <w:lang w:val="uk-UA"/>
        </w:rPr>
      </w:pPr>
      <w:r w:rsidRPr="002B17C6">
        <w:rPr>
          <w:color w:val="000000"/>
          <w:lang w:val="uk-UA"/>
        </w:rPr>
        <w:t>до рішення обласної ради</w:t>
      </w:r>
    </w:p>
    <w:p w:rsidR="00A64E95" w:rsidRPr="00A64E95" w:rsidRDefault="00A64E95" w:rsidP="00A64E95">
      <w:pPr>
        <w:tabs>
          <w:tab w:val="left" w:pos="4860"/>
        </w:tabs>
        <w:ind w:left="5220" w:firstLine="5553"/>
        <w:rPr>
          <w:color w:val="222222"/>
          <w:lang w:val="uk-UA" w:eastAsia="uk-UA"/>
        </w:rPr>
      </w:pPr>
      <w:r w:rsidRPr="00A64E95">
        <w:rPr>
          <w:color w:val="222222"/>
          <w:lang w:val="uk-UA" w:eastAsia="uk-UA"/>
        </w:rPr>
        <w:t>від 02.12.2016 р.</w:t>
      </w:r>
    </w:p>
    <w:p w:rsidR="00A64E95" w:rsidRPr="00A64E95" w:rsidRDefault="00A64E95" w:rsidP="00A64E95">
      <w:pPr>
        <w:widowControl w:val="0"/>
        <w:ind w:firstLine="5553"/>
        <w:rPr>
          <w:rFonts w:eastAsia="Calibri"/>
          <w:sz w:val="24"/>
          <w:szCs w:val="24"/>
          <w:lang w:val="uk-UA" w:eastAsia="uk-UA" w:bidi="uk-UA"/>
        </w:rPr>
      </w:pPr>
      <w:r w:rsidRPr="00A64E95">
        <w:rPr>
          <w:color w:val="222222"/>
          <w:lang w:val="uk-UA" w:eastAsia="uk-UA"/>
        </w:rPr>
        <w:t xml:space="preserve">                                                                          </w:t>
      </w:r>
      <w:r w:rsidRPr="00A64E95">
        <w:rPr>
          <w:rFonts w:eastAsia="Calibri"/>
          <w:sz w:val="24"/>
          <w:szCs w:val="24"/>
          <w:lang w:val="uk-UA" w:eastAsia="uk-UA" w:bidi="uk-UA"/>
        </w:rPr>
        <w:t>№ 132-7/VIІ</w:t>
      </w:r>
    </w:p>
    <w:p w:rsidR="00A64E95" w:rsidRPr="002B17C6" w:rsidRDefault="00A64E95" w:rsidP="009526D9">
      <w:pPr>
        <w:spacing w:line="280" w:lineRule="exact"/>
        <w:ind w:left="10773"/>
        <w:rPr>
          <w:color w:val="000000"/>
          <w:lang w:val="uk-UA"/>
        </w:rPr>
      </w:pPr>
    </w:p>
    <w:p w:rsidR="009526D9" w:rsidRDefault="009526D9" w:rsidP="009526D9">
      <w:pPr>
        <w:jc w:val="center"/>
        <w:rPr>
          <w:color w:val="000000"/>
          <w:lang w:val="uk-UA"/>
        </w:rPr>
      </w:pPr>
      <w:bookmarkStart w:id="0" w:name="_GoBack"/>
      <w:bookmarkEnd w:id="0"/>
    </w:p>
    <w:p w:rsidR="007C4963" w:rsidRPr="002B17C6" w:rsidRDefault="007C4963" w:rsidP="009526D9">
      <w:pPr>
        <w:jc w:val="center"/>
        <w:rPr>
          <w:color w:val="000000"/>
          <w:lang w:val="uk-UA"/>
        </w:rPr>
      </w:pPr>
    </w:p>
    <w:p w:rsidR="009526D9" w:rsidRPr="002B17C6" w:rsidRDefault="00FE42BC" w:rsidP="009526D9">
      <w:pPr>
        <w:spacing w:line="300" w:lineRule="exact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Зміни до переліку</w:t>
      </w:r>
    </w:p>
    <w:p w:rsidR="009526D9" w:rsidRPr="002B17C6" w:rsidRDefault="009526D9" w:rsidP="009526D9">
      <w:pPr>
        <w:spacing w:line="300" w:lineRule="exact"/>
        <w:jc w:val="center"/>
        <w:rPr>
          <w:b/>
          <w:bCs/>
          <w:lang w:val="uk-UA"/>
        </w:rPr>
      </w:pPr>
      <w:r w:rsidRPr="002B17C6">
        <w:rPr>
          <w:b/>
          <w:bCs/>
          <w:lang w:val="uk-UA"/>
        </w:rPr>
        <w:t xml:space="preserve">завдань та заходів Дніпропетровської обласної комплексної програми (стратегії) екологічної безпеки </w:t>
      </w:r>
      <w:r w:rsidRPr="002B17C6">
        <w:rPr>
          <w:b/>
          <w:bCs/>
          <w:lang w:val="uk-UA"/>
        </w:rPr>
        <w:br/>
        <w:t>та запобігання змінам клімату на 2016 – 2025 роки</w:t>
      </w:r>
    </w:p>
    <w:p w:rsidR="009526D9" w:rsidRPr="007C4963" w:rsidRDefault="009526D9" w:rsidP="009526D9">
      <w:pPr>
        <w:jc w:val="center"/>
        <w:rPr>
          <w:b/>
          <w:bCs/>
          <w:szCs w:val="10"/>
          <w:lang w:val="uk-UA"/>
        </w:rPr>
      </w:pPr>
    </w:p>
    <w:tbl>
      <w:tblPr>
        <w:tblW w:w="15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1418"/>
        <w:gridCol w:w="850"/>
        <w:gridCol w:w="851"/>
        <w:gridCol w:w="1275"/>
        <w:gridCol w:w="851"/>
        <w:gridCol w:w="992"/>
        <w:gridCol w:w="992"/>
        <w:gridCol w:w="993"/>
        <w:gridCol w:w="992"/>
        <w:gridCol w:w="992"/>
        <w:gridCol w:w="992"/>
        <w:gridCol w:w="1560"/>
      </w:tblGrid>
      <w:tr w:rsidR="009526D9" w:rsidRPr="002B17C6" w:rsidTr="0067008B">
        <w:tc>
          <w:tcPr>
            <w:tcW w:w="1277" w:type="dxa"/>
            <w:vMerge w:val="restart"/>
            <w:vAlign w:val="center"/>
          </w:tcPr>
          <w:p w:rsidR="009526D9" w:rsidRPr="002B17C6" w:rsidRDefault="009526D9" w:rsidP="009526D9">
            <w:pPr>
              <w:spacing w:line="16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B17C6">
              <w:rPr>
                <w:b/>
                <w:bCs/>
                <w:sz w:val="18"/>
                <w:szCs w:val="18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559" w:type="dxa"/>
            <w:vMerge w:val="restart"/>
            <w:vAlign w:val="center"/>
          </w:tcPr>
          <w:p w:rsidR="009526D9" w:rsidRPr="002B17C6" w:rsidRDefault="009526D9" w:rsidP="009526D9">
            <w:pPr>
              <w:spacing w:line="16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B17C6">
              <w:rPr>
                <w:b/>
                <w:bCs/>
                <w:sz w:val="18"/>
                <w:szCs w:val="18"/>
                <w:lang w:val="uk-UA"/>
              </w:rPr>
              <w:t>Зміст заходів</w:t>
            </w:r>
          </w:p>
          <w:p w:rsidR="009526D9" w:rsidRPr="002B17C6" w:rsidRDefault="009526D9" w:rsidP="009526D9">
            <w:pPr>
              <w:spacing w:line="16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B17C6">
              <w:rPr>
                <w:b/>
                <w:bCs/>
                <w:sz w:val="18"/>
                <w:szCs w:val="18"/>
                <w:lang w:val="uk-UA"/>
              </w:rPr>
              <w:t>Програми з виконання завдання</w:t>
            </w:r>
          </w:p>
        </w:tc>
        <w:tc>
          <w:tcPr>
            <w:tcW w:w="1418" w:type="dxa"/>
            <w:vMerge w:val="restart"/>
            <w:vAlign w:val="center"/>
          </w:tcPr>
          <w:p w:rsidR="009526D9" w:rsidRPr="002B17C6" w:rsidRDefault="009526D9" w:rsidP="009526D9">
            <w:pPr>
              <w:spacing w:line="16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B17C6">
              <w:rPr>
                <w:b/>
                <w:bCs/>
                <w:sz w:val="18"/>
                <w:szCs w:val="18"/>
                <w:lang w:val="uk-UA"/>
              </w:rPr>
              <w:t>Відповідаль-ний за виконання</w:t>
            </w:r>
          </w:p>
        </w:tc>
        <w:tc>
          <w:tcPr>
            <w:tcW w:w="1701" w:type="dxa"/>
            <w:gridSpan w:val="2"/>
            <w:vAlign w:val="center"/>
          </w:tcPr>
          <w:p w:rsidR="009526D9" w:rsidRPr="002B17C6" w:rsidRDefault="009526D9" w:rsidP="009526D9">
            <w:pPr>
              <w:spacing w:line="16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B17C6">
              <w:rPr>
                <w:b/>
                <w:bCs/>
                <w:sz w:val="18"/>
                <w:szCs w:val="18"/>
                <w:lang w:val="uk-UA"/>
              </w:rPr>
              <w:t>Термін виконання за роками</w:t>
            </w:r>
          </w:p>
        </w:tc>
        <w:tc>
          <w:tcPr>
            <w:tcW w:w="8079" w:type="dxa"/>
            <w:gridSpan w:val="8"/>
            <w:vAlign w:val="center"/>
          </w:tcPr>
          <w:p w:rsidR="009526D9" w:rsidRPr="002B17C6" w:rsidRDefault="009526D9" w:rsidP="009526D9">
            <w:pPr>
              <w:spacing w:line="16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B17C6">
              <w:rPr>
                <w:b/>
                <w:bCs/>
                <w:sz w:val="18"/>
                <w:szCs w:val="18"/>
                <w:lang w:val="uk-UA"/>
              </w:rPr>
              <w:t>Орієнтовні обсяги фінансування за роками виконання, тис. грн</w:t>
            </w:r>
          </w:p>
        </w:tc>
        <w:tc>
          <w:tcPr>
            <w:tcW w:w="1560" w:type="dxa"/>
            <w:vMerge w:val="restart"/>
            <w:vAlign w:val="center"/>
          </w:tcPr>
          <w:p w:rsidR="009526D9" w:rsidRPr="002B17C6" w:rsidRDefault="009526D9" w:rsidP="009526D9">
            <w:pPr>
              <w:spacing w:line="160" w:lineRule="exact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B17C6">
              <w:rPr>
                <w:b/>
                <w:bCs/>
                <w:sz w:val="18"/>
                <w:szCs w:val="18"/>
                <w:lang w:val="uk-UA"/>
              </w:rPr>
              <w:t>Очікуваний результат від виконання заходу</w:t>
            </w:r>
          </w:p>
        </w:tc>
      </w:tr>
      <w:tr w:rsidR="009526D9" w:rsidRPr="002B17C6" w:rsidTr="0067008B">
        <w:tc>
          <w:tcPr>
            <w:tcW w:w="1277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9526D9" w:rsidRPr="002B17C6" w:rsidRDefault="009526D9" w:rsidP="009526D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B17C6">
              <w:rPr>
                <w:b/>
                <w:bCs/>
                <w:sz w:val="18"/>
                <w:szCs w:val="18"/>
                <w:lang w:val="uk-UA"/>
              </w:rPr>
              <w:t>Поча-ток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9526D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B17C6">
              <w:rPr>
                <w:b/>
                <w:bCs/>
                <w:sz w:val="18"/>
                <w:szCs w:val="18"/>
                <w:lang w:val="uk-UA"/>
              </w:rPr>
              <w:t>Закін-чення</w:t>
            </w:r>
          </w:p>
        </w:tc>
        <w:tc>
          <w:tcPr>
            <w:tcW w:w="1275" w:type="dxa"/>
            <w:vAlign w:val="center"/>
          </w:tcPr>
          <w:p w:rsidR="009526D9" w:rsidRPr="002B17C6" w:rsidRDefault="009526D9" w:rsidP="009526D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B17C6">
              <w:rPr>
                <w:b/>
                <w:bCs/>
                <w:sz w:val="18"/>
                <w:szCs w:val="18"/>
                <w:lang w:val="uk-UA"/>
              </w:rPr>
              <w:t>Джерела фінансуван-ня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9526D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B17C6">
              <w:rPr>
                <w:b/>
                <w:bCs/>
                <w:sz w:val="18"/>
                <w:szCs w:val="18"/>
                <w:lang w:val="uk-UA"/>
              </w:rPr>
              <w:t>Усього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9526D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B17C6">
              <w:rPr>
                <w:b/>
                <w:bCs/>
                <w:sz w:val="18"/>
                <w:szCs w:val="18"/>
                <w:lang w:val="uk-UA"/>
              </w:rPr>
              <w:t>2016 рік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9526D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B17C6">
              <w:rPr>
                <w:b/>
                <w:bCs/>
                <w:sz w:val="18"/>
                <w:szCs w:val="18"/>
                <w:lang w:val="uk-UA"/>
              </w:rPr>
              <w:t>2017 рік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9526D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B17C6">
              <w:rPr>
                <w:b/>
                <w:bCs/>
                <w:sz w:val="18"/>
                <w:szCs w:val="18"/>
                <w:lang w:val="uk-UA"/>
              </w:rPr>
              <w:t>2018 рік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9526D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B17C6">
              <w:rPr>
                <w:b/>
                <w:bCs/>
                <w:sz w:val="18"/>
                <w:szCs w:val="18"/>
                <w:lang w:val="uk-UA"/>
              </w:rPr>
              <w:t>2019 рік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9526D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B17C6">
              <w:rPr>
                <w:b/>
                <w:bCs/>
                <w:sz w:val="18"/>
                <w:szCs w:val="18"/>
                <w:lang w:val="uk-UA"/>
              </w:rPr>
              <w:t>2020 рік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9526D9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B17C6">
              <w:rPr>
                <w:b/>
                <w:bCs/>
                <w:sz w:val="18"/>
                <w:szCs w:val="18"/>
                <w:lang w:val="uk-UA"/>
              </w:rPr>
              <w:t>Усього наступні етапи</w:t>
            </w:r>
          </w:p>
        </w:tc>
        <w:tc>
          <w:tcPr>
            <w:tcW w:w="1560" w:type="dxa"/>
            <w:vMerge/>
            <w:vAlign w:val="center"/>
          </w:tcPr>
          <w:p w:rsidR="009526D9" w:rsidRPr="002B17C6" w:rsidRDefault="009526D9" w:rsidP="0067008B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</w:tr>
    </w:tbl>
    <w:p w:rsidR="009526D9" w:rsidRPr="002B17C6" w:rsidRDefault="009526D9" w:rsidP="009526D9">
      <w:pPr>
        <w:jc w:val="center"/>
        <w:rPr>
          <w:b/>
          <w:bCs/>
          <w:sz w:val="6"/>
          <w:szCs w:val="6"/>
          <w:lang w:val="uk-UA"/>
        </w:rPr>
      </w:pPr>
    </w:p>
    <w:tbl>
      <w:tblPr>
        <w:tblW w:w="155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559"/>
        <w:gridCol w:w="1418"/>
        <w:gridCol w:w="850"/>
        <w:gridCol w:w="851"/>
        <w:gridCol w:w="1275"/>
        <w:gridCol w:w="851"/>
        <w:gridCol w:w="992"/>
        <w:gridCol w:w="992"/>
        <w:gridCol w:w="993"/>
        <w:gridCol w:w="992"/>
        <w:gridCol w:w="992"/>
        <w:gridCol w:w="992"/>
        <w:gridCol w:w="1560"/>
      </w:tblGrid>
      <w:tr w:rsidR="009526D9" w:rsidRPr="002B17C6" w:rsidTr="009526D9">
        <w:trPr>
          <w:trHeight w:val="163"/>
          <w:tblHeader/>
        </w:trPr>
        <w:tc>
          <w:tcPr>
            <w:tcW w:w="1277" w:type="dxa"/>
            <w:vAlign w:val="center"/>
          </w:tcPr>
          <w:p w:rsidR="009526D9" w:rsidRPr="002B17C6" w:rsidRDefault="009526D9" w:rsidP="009526D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B17C6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9526D9" w:rsidRPr="002B17C6" w:rsidRDefault="009526D9" w:rsidP="009526D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B17C6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9526D9" w:rsidRPr="002B17C6" w:rsidRDefault="009526D9" w:rsidP="009526D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B17C6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9526D9" w:rsidRPr="002B17C6" w:rsidRDefault="009526D9" w:rsidP="009526D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B17C6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9526D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B17C6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vAlign w:val="center"/>
          </w:tcPr>
          <w:p w:rsidR="009526D9" w:rsidRPr="002B17C6" w:rsidRDefault="009526D9" w:rsidP="009526D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B17C6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9526D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B17C6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9526D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B17C6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9526D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B17C6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9526D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B17C6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9526D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B17C6"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9526D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B17C6"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9526D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B17C6">
              <w:rPr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560" w:type="dxa"/>
            <w:vAlign w:val="center"/>
          </w:tcPr>
          <w:p w:rsidR="009526D9" w:rsidRPr="002B17C6" w:rsidRDefault="009526D9" w:rsidP="009526D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B17C6">
              <w:rPr>
                <w:bCs/>
                <w:sz w:val="20"/>
                <w:szCs w:val="20"/>
                <w:lang w:val="uk-UA"/>
              </w:rPr>
              <w:t>14</w:t>
            </w:r>
          </w:p>
        </w:tc>
      </w:tr>
      <w:tr w:rsidR="009526D9" w:rsidRPr="002B17C6" w:rsidTr="0067008B">
        <w:trPr>
          <w:trHeight w:val="345"/>
        </w:trPr>
        <w:tc>
          <w:tcPr>
            <w:tcW w:w="1277" w:type="dxa"/>
            <w:vMerge w:val="restart"/>
          </w:tcPr>
          <w:p w:rsidR="009526D9" w:rsidRPr="002B17C6" w:rsidRDefault="009526D9" w:rsidP="00E70A6C">
            <w:pPr>
              <w:ind w:right="-123"/>
              <w:rPr>
                <w:b/>
                <w:bCs/>
                <w:sz w:val="18"/>
                <w:szCs w:val="18"/>
                <w:lang w:val="uk-UA"/>
              </w:rPr>
            </w:pPr>
            <w:r w:rsidRPr="002B17C6">
              <w:rPr>
                <w:b/>
                <w:bCs/>
                <w:sz w:val="18"/>
                <w:szCs w:val="18"/>
                <w:lang w:val="uk-UA"/>
              </w:rPr>
              <w:t>5. Підвищен</w:t>
            </w:r>
            <w:r w:rsidR="00E70A6C">
              <w:rPr>
                <w:b/>
                <w:bCs/>
                <w:sz w:val="18"/>
                <w:szCs w:val="18"/>
                <w:lang w:val="uk-UA"/>
              </w:rPr>
              <w:t>-</w:t>
            </w:r>
            <w:r w:rsidRPr="002B17C6">
              <w:rPr>
                <w:b/>
                <w:bCs/>
                <w:sz w:val="18"/>
                <w:szCs w:val="18"/>
                <w:lang w:val="uk-UA"/>
              </w:rPr>
              <w:t>ня енерго</w:t>
            </w:r>
            <w:r w:rsidR="00E70A6C">
              <w:rPr>
                <w:b/>
                <w:bCs/>
                <w:sz w:val="18"/>
                <w:szCs w:val="18"/>
                <w:lang w:val="uk-UA"/>
              </w:rPr>
              <w:t>-</w:t>
            </w:r>
            <w:r w:rsidRPr="002B17C6">
              <w:rPr>
                <w:b/>
                <w:bCs/>
                <w:sz w:val="18"/>
                <w:szCs w:val="18"/>
                <w:lang w:val="uk-UA"/>
              </w:rPr>
              <w:t>ефективності та енергозбе-реження</w:t>
            </w:r>
          </w:p>
          <w:p w:rsidR="009526D9" w:rsidRPr="002B17C6" w:rsidRDefault="009526D9" w:rsidP="006700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9526D9" w:rsidRPr="002B17C6" w:rsidRDefault="009526D9" w:rsidP="0067008B">
            <w:pPr>
              <w:ind w:right="-114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5.49. Упровад-ження системи моніторингу споживання енергоресурсів у бюджетних будівлях</w:t>
            </w:r>
          </w:p>
        </w:tc>
        <w:tc>
          <w:tcPr>
            <w:tcW w:w="1418" w:type="dxa"/>
            <w:vMerge w:val="restart"/>
          </w:tcPr>
          <w:p w:rsidR="009526D9" w:rsidRPr="002B17C6" w:rsidRDefault="009526D9" w:rsidP="0067008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color w:val="000000"/>
                <w:sz w:val="18"/>
                <w:szCs w:val="18"/>
                <w:lang w:val="uk-UA"/>
              </w:rPr>
              <w:t xml:space="preserve">Департамент житлово-комунального господарства та будівництва облдерж-адміністрації, </w:t>
            </w:r>
          </w:p>
          <w:p w:rsidR="009526D9" w:rsidRDefault="002B17C6" w:rsidP="004E76A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color w:val="000000"/>
                <w:sz w:val="18"/>
                <w:szCs w:val="18"/>
                <w:lang w:val="uk-UA"/>
              </w:rPr>
              <w:t>КП </w:t>
            </w:r>
            <w:r w:rsidR="004E76AF" w:rsidRPr="002B17C6">
              <w:rPr>
                <w:color w:val="000000"/>
                <w:sz w:val="18"/>
                <w:szCs w:val="18"/>
                <w:lang w:val="uk-UA"/>
              </w:rPr>
              <w:t>„</w:t>
            </w:r>
            <w:r w:rsidR="009526D9" w:rsidRPr="002B17C6">
              <w:rPr>
                <w:color w:val="000000"/>
                <w:sz w:val="18"/>
                <w:szCs w:val="18"/>
                <w:lang w:val="uk-UA"/>
              </w:rPr>
              <w:t>Департа</w:t>
            </w:r>
            <w:r w:rsidRPr="002B17C6">
              <w:rPr>
                <w:color w:val="000000"/>
                <w:sz w:val="18"/>
                <w:szCs w:val="18"/>
                <w:lang w:val="uk-UA"/>
              </w:rPr>
              <w:t>-</w:t>
            </w:r>
            <w:r w:rsidR="009526D9" w:rsidRPr="002B17C6">
              <w:rPr>
                <w:color w:val="000000"/>
                <w:sz w:val="18"/>
                <w:szCs w:val="18"/>
                <w:lang w:val="uk-UA"/>
              </w:rPr>
              <w:t>мент екобез</w:t>
            </w:r>
            <w:r w:rsidRPr="002B17C6">
              <w:rPr>
                <w:color w:val="000000"/>
                <w:sz w:val="18"/>
                <w:szCs w:val="18"/>
                <w:lang w:val="uk-UA"/>
              </w:rPr>
              <w:t>-</w:t>
            </w:r>
            <w:r w:rsidR="009526D9" w:rsidRPr="002B17C6">
              <w:rPr>
                <w:color w:val="000000"/>
                <w:sz w:val="18"/>
                <w:szCs w:val="18"/>
                <w:lang w:val="uk-UA"/>
              </w:rPr>
              <w:t>пеки, природо-користування та енерго-збереження Дніпро-петровської обласної ради” (за згодою)</w:t>
            </w:r>
          </w:p>
          <w:p w:rsidR="007C4963" w:rsidRPr="002B17C6" w:rsidRDefault="007C4963" w:rsidP="004E76A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526D9" w:rsidRPr="002B17C6" w:rsidRDefault="009526D9" w:rsidP="009526D9">
            <w:pPr>
              <w:jc w:val="center"/>
              <w:rPr>
                <w:sz w:val="20"/>
                <w:szCs w:val="20"/>
                <w:lang w:val="uk-UA"/>
              </w:rPr>
            </w:pPr>
            <w:r w:rsidRPr="002B17C6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851" w:type="dxa"/>
            <w:vMerge w:val="restart"/>
          </w:tcPr>
          <w:p w:rsidR="009526D9" w:rsidRPr="002B17C6" w:rsidRDefault="009526D9" w:rsidP="009526D9">
            <w:pPr>
              <w:jc w:val="center"/>
              <w:rPr>
                <w:sz w:val="20"/>
                <w:szCs w:val="20"/>
                <w:lang w:val="uk-UA"/>
              </w:rPr>
            </w:pPr>
            <w:r w:rsidRPr="002B17C6">
              <w:rPr>
                <w:sz w:val="20"/>
                <w:szCs w:val="20"/>
                <w:lang w:val="uk-UA"/>
              </w:rPr>
              <w:t>2018</w:t>
            </w:r>
          </w:p>
        </w:tc>
        <w:tc>
          <w:tcPr>
            <w:tcW w:w="1275" w:type="dxa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20"/>
                <w:szCs w:val="20"/>
                <w:lang w:val="uk-UA"/>
              </w:rPr>
            </w:pPr>
            <w:r w:rsidRPr="002B17C6">
              <w:rPr>
                <w:sz w:val="20"/>
                <w:szCs w:val="20"/>
                <w:lang w:val="uk-UA"/>
              </w:rPr>
              <w:t>900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20"/>
                <w:szCs w:val="20"/>
                <w:lang w:val="uk-UA"/>
              </w:rPr>
            </w:pPr>
            <w:r w:rsidRPr="002B17C6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20"/>
                <w:szCs w:val="20"/>
                <w:lang w:val="uk-UA"/>
              </w:rPr>
            </w:pPr>
            <w:r w:rsidRPr="002B17C6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20"/>
                <w:szCs w:val="20"/>
                <w:lang w:val="uk-UA"/>
              </w:rPr>
            </w:pPr>
            <w:r w:rsidRPr="002B17C6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992" w:type="dxa"/>
            <w:vAlign w:val="center"/>
          </w:tcPr>
          <w:p w:rsidR="009526D9" w:rsidRPr="002B17C6" w:rsidRDefault="002B17C6" w:rsidP="004E76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  <w:r w:rsidR="009526D9" w:rsidRPr="002B17C6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9526D9" w:rsidRPr="002B17C6" w:rsidRDefault="002B17C6" w:rsidP="004E76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2B17C6" w:rsidP="002B17C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 w:val="restart"/>
          </w:tcPr>
          <w:p w:rsidR="009526D9" w:rsidRPr="002B17C6" w:rsidRDefault="009526D9" w:rsidP="0067008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Зменшення споживання енергоресурсів у комунальному секторі. Підвищення відповідальності працівників у комунальній сфері</w:t>
            </w:r>
          </w:p>
        </w:tc>
      </w:tr>
      <w:tr w:rsidR="009526D9" w:rsidRPr="002B17C6" w:rsidTr="0067008B">
        <w:trPr>
          <w:trHeight w:val="345"/>
        </w:trPr>
        <w:tc>
          <w:tcPr>
            <w:tcW w:w="1277" w:type="dxa"/>
            <w:vMerge/>
            <w:vAlign w:val="center"/>
          </w:tcPr>
          <w:p w:rsidR="009526D9" w:rsidRPr="002B17C6" w:rsidRDefault="009526D9" w:rsidP="006700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  <w:vAlign w:val="center"/>
          </w:tcPr>
          <w:p w:rsidR="009526D9" w:rsidRPr="002B17C6" w:rsidRDefault="009526D9" w:rsidP="006700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526D9" w:rsidRPr="002B17C6" w:rsidTr="0067008B">
        <w:trPr>
          <w:trHeight w:val="345"/>
        </w:trPr>
        <w:tc>
          <w:tcPr>
            <w:tcW w:w="1277" w:type="dxa"/>
            <w:vMerge/>
            <w:vAlign w:val="center"/>
          </w:tcPr>
          <w:p w:rsidR="009526D9" w:rsidRPr="002B17C6" w:rsidRDefault="009526D9" w:rsidP="006700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20"/>
                <w:szCs w:val="20"/>
                <w:lang w:val="uk-UA"/>
              </w:rPr>
            </w:pPr>
            <w:r w:rsidRPr="002B17C6">
              <w:rPr>
                <w:sz w:val="20"/>
                <w:szCs w:val="20"/>
                <w:lang w:val="uk-UA"/>
              </w:rPr>
              <w:t>900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20"/>
                <w:szCs w:val="20"/>
                <w:lang w:val="uk-UA"/>
              </w:rPr>
            </w:pPr>
            <w:r w:rsidRPr="002B17C6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20"/>
                <w:szCs w:val="20"/>
                <w:lang w:val="uk-UA"/>
              </w:rPr>
            </w:pPr>
            <w:r w:rsidRPr="002B17C6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20"/>
                <w:szCs w:val="20"/>
                <w:lang w:val="uk-UA"/>
              </w:rPr>
            </w:pPr>
            <w:r w:rsidRPr="002B17C6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992" w:type="dxa"/>
            <w:vAlign w:val="center"/>
          </w:tcPr>
          <w:p w:rsidR="009526D9" w:rsidRPr="002B17C6" w:rsidRDefault="002B17C6" w:rsidP="004E76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2B17C6" w:rsidP="004E76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E70A6C" w:rsidP="004E76A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  <w:vAlign w:val="center"/>
          </w:tcPr>
          <w:p w:rsidR="009526D9" w:rsidRPr="002B17C6" w:rsidRDefault="009526D9" w:rsidP="006700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526D9" w:rsidRPr="002B17C6" w:rsidTr="0067008B">
        <w:trPr>
          <w:trHeight w:val="345"/>
        </w:trPr>
        <w:tc>
          <w:tcPr>
            <w:tcW w:w="1277" w:type="dxa"/>
            <w:vMerge/>
            <w:vAlign w:val="center"/>
          </w:tcPr>
          <w:p w:rsidR="009526D9" w:rsidRPr="002B17C6" w:rsidRDefault="009526D9" w:rsidP="006700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  <w:vAlign w:val="center"/>
          </w:tcPr>
          <w:p w:rsidR="009526D9" w:rsidRPr="002B17C6" w:rsidRDefault="009526D9" w:rsidP="006700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526D9" w:rsidRPr="002B17C6" w:rsidTr="0067008B">
        <w:trPr>
          <w:trHeight w:val="345"/>
        </w:trPr>
        <w:tc>
          <w:tcPr>
            <w:tcW w:w="1277" w:type="dxa"/>
            <w:vMerge/>
            <w:vAlign w:val="center"/>
          </w:tcPr>
          <w:p w:rsidR="009526D9" w:rsidRPr="002B17C6" w:rsidRDefault="009526D9" w:rsidP="006700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  <w:vAlign w:val="center"/>
          </w:tcPr>
          <w:p w:rsidR="009526D9" w:rsidRPr="002B17C6" w:rsidRDefault="009526D9" w:rsidP="006700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526D9" w:rsidRPr="002B17C6" w:rsidTr="002B17C6">
        <w:trPr>
          <w:trHeight w:val="1030"/>
        </w:trPr>
        <w:tc>
          <w:tcPr>
            <w:tcW w:w="1277" w:type="dxa"/>
            <w:vMerge/>
          </w:tcPr>
          <w:p w:rsidR="009526D9" w:rsidRPr="002B17C6" w:rsidRDefault="009526D9" w:rsidP="0067008B">
            <w:pPr>
              <w:ind w:left="-97" w:right="-123"/>
              <w:rPr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9526D9" w:rsidRPr="002B17C6" w:rsidRDefault="009526D9" w:rsidP="002B17C6">
            <w:pPr>
              <w:ind w:right="-114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5.50. Виконання енергоаудитів у бюджетних установах області. Енергоаудити будів</w:t>
            </w:r>
            <w:r w:rsidR="002B17C6">
              <w:rPr>
                <w:sz w:val="18"/>
                <w:szCs w:val="18"/>
                <w:lang w:val="uk-UA"/>
              </w:rPr>
              <w:t>е</w:t>
            </w:r>
            <w:r w:rsidRPr="002B17C6">
              <w:rPr>
                <w:sz w:val="18"/>
                <w:szCs w:val="18"/>
                <w:lang w:val="uk-UA"/>
              </w:rPr>
              <w:t>л</w:t>
            </w:r>
            <w:r w:rsidR="002B17C6">
              <w:rPr>
                <w:sz w:val="18"/>
                <w:szCs w:val="18"/>
                <w:lang w:val="uk-UA"/>
              </w:rPr>
              <w:t>ь</w:t>
            </w:r>
            <w:r w:rsidRPr="002B17C6">
              <w:rPr>
                <w:sz w:val="18"/>
                <w:szCs w:val="18"/>
                <w:lang w:val="uk-UA"/>
              </w:rPr>
              <w:t xml:space="preserve"> комунальної власності з описом </w:t>
            </w:r>
            <w:r w:rsidR="002B17C6">
              <w:rPr>
                <w:sz w:val="18"/>
                <w:szCs w:val="18"/>
                <w:lang w:val="uk-UA"/>
              </w:rPr>
              <w:t>проблемних</w:t>
            </w:r>
            <w:r w:rsidRPr="002B17C6">
              <w:rPr>
                <w:sz w:val="18"/>
                <w:szCs w:val="18"/>
                <w:lang w:val="uk-UA"/>
              </w:rPr>
              <w:t xml:space="preserve"> місць та необхідними рекомендаціями</w:t>
            </w:r>
          </w:p>
        </w:tc>
        <w:tc>
          <w:tcPr>
            <w:tcW w:w="1418" w:type="dxa"/>
            <w:vMerge w:val="restart"/>
          </w:tcPr>
          <w:p w:rsidR="009526D9" w:rsidRDefault="009526D9" w:rsidP="004E76A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color w:val="000000"/>
                <w:sz w:val="18"/>
                <w:szCs w:val="18"/>
                <w:lang w:val="uk-UA"/>
              </w:rPr>
              <w:t>Департамент житлово-комунального господарства та будівництва облдержадмі</w:t>
            </w:r>
            <w:r w:rsidR="002B17C6">
              <w:rPr>
                <w:color w:val="000000"/>
                <w:sz w:val="18"/>
                <w:szCs w:val="18"/>
                <w:lang w:val="uk-UA"/>
              </w:rPr>
              <w:t>-ністрації, КП </w:t>
            </w:r>
            <w:r w:rsidR="004E76AF" w:rsidRPr="002B17C6">
              <w:rPr>
                <w:color w:val="000000"/>
                <w:sz w:val="18"/>
                <w:szCs w:val="18"/>
                <w:lang w:val="uk-UA"/>
              </w:rPr>
              <w:t>„</w:t>
            </w:r>
            <w:r w:rsidRPr="002B17C6">
              <w:rPr>
                <w:color w:val="000000"/>
                <w:sz w:val="18"/>
                <w:szCs w:val="18"/>
                <w:lang w:val="uk-UA"/>
              </w:rPr>
              <w:t>Департа</w:t>
            </w:r>
            <w:r w:rsidR="002B17C6">
              <w:rPr>
                <w:color w:val="000000"/>
                <w:sz w:val="18"/>
                <w:szCs w:val="18"/>
                <w:lang w:val="uk-UA"/>
              </w:rPr>
              <w:t>-</w:t>
            </w:r>
            <w:r w:rsidRPr="002B17C6">
              <w:rPr>
                <w:color w:val="000000"/>
                <w:sz w:val="18"/>
                <w:szCs w:val="18"/>
                <w:lang w:val="uk-UA"/>
              </w:rPr>
              <w:t>мент екобез</w:t>
            </w:r>
            <w:r w:rsidR="002B17C6">
              <w:rPr>
                <w:color w:val="000000"/>
                <w:sz w:val="18"/>
                <w:szCs w:val="18"/>
                <w:lang w:val="uk-UA"/>
              </w:rPr>
              <w:t>-</w:t>
            </w:r>
            <w:r w:rsidRPr="002B17C6">
              <w:rPr>
                <w:color w:val="000000"/>
                <w:sz w:val="18"/>
                <w:szCs w:val="18"/>
                <w:lang w:val="uk-UA"/>
              </w:rPr>
              <w:t>пеки, природо-користування та енерго-збереження Дніпро-петровської обласної ради”, (за згодою), підприємства, установи та організації (за згодою)</w:t>
            </w:r>
          </w:p>
          <w:p w:rsidR="007C4963" w:rsidRPr="002B17C6" w:rsidRDefault="007C4963" w:rsidP="004E76A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color w:val="000000"/>
                <w:sz w:val="18"/>
                <w:szCs w:val="18"/>
                <w:lang w:val="uk-UA"/>
              </w:rPr>
              <w:t>2016</w:t>
            </w:r>
          </w:p>
        </w:tc>
        <w:tc>
          <w:tcPr>
            <w:tcW w:w="851" w:type="dxa"/>
            <w:vMerge w:val="restart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color w:val="000000"/>
                <w:sz w:val="18"/>
                <w:szCs w:val="18"/>
                <w:lang w:val="uk-UA"/>
              </w:rPr>
              <w:t>2025</w:t>
            </w:r>
          </w:p>
        </w:tc>
        <w:tc>
          <w:tcPr>
            <w:tcW w:w="1275" w:type="dxa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560" w:type="dxa"/>
            <w:vMerge w:val="restart"/>
          </w:tcPr>
          <w:p w:rsidR="009526D9" w:rsidRPr="002B17C6" w:rsidRDefault="009526D9" w:rsidP="0067008B">
            <w:pPr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Зменшення тепловтрат</w:t>
            </w:r>
          </w:p>
        </w:tc>
      </w:tr>
      <w:tr w:rsidR="009526D9" w:rsidRPr="002B17C6" w:rsidTr="0067008B">
        <w:trPr>
          <w:trHeight w:val="652"/>
        </w:trPr>
        <w:tc>
          <w:tcPr>
            <w:tcW w:w="1277" w:type="dxa"/>
            <w:vMerge/>
          </w:tcPr>
          <w:p w:rsidR="009526D9" w:rsidRPr="002B17C6" w:rsidRDefault="009526D9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9526D9" w:rsidRPr="002B17C6" w:rsidRDefault="009526D9" w:rsidP="0067008B">
            <w:pPr>
              <w:rPr>
                <w:lang w:val="uk-UA"/>
              </w:rPr>
            </w:pPr>
          </w:p>
        </w:tc>
      </w:tr>
      <w:tr w:rsidR="009526D9" w:rsidRPr="002B17C6" w:rsidTr="0067008B">
        <w:trPr>
          <w:trHeight w:val="659"/>
        </w:trPr>
        <w:tc>
          <w:tcPr>
            <w:tcW w:w="1277" w:type="dxa"/>
            <w:vMerge/>
          </w:tcPr>
          <w:p w:rsidR="009526D9" w:rsidRPr="002B17C6" w:rsidRDefault="009526D9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1560" w:type="dxa"/>
            <w:vMerge/>
          </w:tcPr>
          <w:p w:rsidR="009526D9" w:rsidRPr="002B17C6" w:rsidRDefault="009526D9" w:rsidP="0067008B">
            <w:pPr>
              <w:rPr>
                <w:lang w:val="uk-UA"/>
              </w:rPr>
            </w:pPr>
          </w:p>
        </w:tc>
      </w:tr>
      <w:tr w:rsidR="009526D9" w:rsidRPr="002B17C6" w:rsidTr="0067008B">
        <w:trPr>
          <w:trHeight w:val="664"/>
        </w:trPr>
        <w:tc>
          <w:tcPr>
            <w:tcW w:w="1277" w:type="dxa"/>
            <w:vMerge/>
          </w:tcPr>
          <w:p w:rsidR="009526D9" w:rsidRPr="002B17C6" w:rsidRDefault="009526D9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9526D9" w:rsidRPr="002B17C6" w:rsidRDefault="009526D9" w:rsidP="0067008B">
            <w:pPr>
              <w:rPr>
                <w:lang w:val="uk-UA"/>
              </w:rPr>
            </w:pPr>
          </w:p>
        </w:tc>
      </w:tr>
      <w:tr w:rsidR="009526D9" w:rsidRPr="002B17C6" w:rsidTr="0067008B">
        <w:trPr>
          <w:trHeight w:val="812"/>
        </w:trPr>
        <w:tc>
          <w:tcPr>
            <w:tcW w:w="1277" w:type="dxa"/>
            <w:vMerge/>
          </w:tcPr>
          <w:p w:rsidR="009526D9" w:rsidRPr="002B17C6" w:rsidRDefault="009526D9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9526D9" w:rsidRPr="002B17C6" w:rsidRDefault="009526D9" w:rsidP="0067008B">
            <w:pPr>
              <w:rPr>
                <w:lang w:val="uk-UA"/>
              </w:rPr>
            </w:pPr>
          </w:p>
        </w:tc>
      </w:tr>
      <w:tr w:rsidR="009526D9" w:rsidRPr="002B17C6" w:rsidTr="0067008B">
        <w:trPr>
          <w:trHeight w:val="660"/>
        </w:trPr>
        <w:tc>
          <w:tcPr>
            <w:tcW w:w="1277" w:type="dxa"/>
            <w:vMerge w:val="restart"/>
          </w:tcPr>
          <w:p w:rsidR="009526D9" w:rsidRPr="002B17C6" w:rsidRDefault="009526D9" w:rsidP="0067008B">
            <w:pPr>
              <w:ind w:left="-97" w:right="-123"/>
              <w:rPr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9526D9" w:rsidRPr="002B17C6" w:rsidRDefault="009526D9" w:rsidP="002B17C6">
            <w:pPr>
              <w:ind w:right="-114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5.51. Упроваджен-ня комплексної термомодернізації бюджетних будів</w:t>
            </w:r>
            <w:r w:rsidR="002B17C6">
              <w:rPr>
                <w:sz w:val="18"/>
                <w:szCs w:val="18"/>
                <w:lang w:val="uk-UA"/>
              </w:rPr>
              <w:t>ель</w:t>
            </w:r>
          </w:p>
        </w:tc>
        <w:tc>
          <w:tcPr>
            <w:tcW w:w="1418" w:type="dxa"/>
            <w:vMerge w:val="restart"/>
          </w:tcPr>
          <w:p w:rsidR="009526D9" w:rsidRDefault="009526D9" w:rsidP="004E76A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color w:val="000000"/>
                <w:sz w:val="18"/>
                <w:szCs w:val="18"/>
                <w:lang w:val="uk-UA"/>
              </w:rPr>
              <w:t>Департамент житлово-комунального господарства та будівництва облдержадмі</w:t>
            </w:r>
            <w:r w:rsidR="002B17C6">
              <w:rPr>
                <w:color w:val="000000"/>
                <w:sz w:val="18"/>
                <w:szCs w:val="18"/>
                <w:lang w:val="uk-UA"/>
              </w:rPr>
              <w:t>-ністрації, КП </w:t>
            </w:r>
            <w:r w:rsidR="004E76AF" w:rsidRPr="002B17C6">
              <w:rPr>
                <w:color w:val="000000"/>
                <w:sz w:val="18"/>
                <w:szCs w:val="18"/>
                <w:lang w:val="uk-UA"/>
              </w:rPr>
              <w:t>„</w:t>
            </w:r>
            <w:r w:rsidRPr="002B17C6">
              <w:rPr>
                <w:color w:val="000000"/>
                <w:sz w:val="18"/>
                <w:szCs w:val="18"/>
                <w:lang w:val="uk-UA"/>
              </w:rPr>
              <w:t>Департа</w:t>
            </w:r>
            <w:r w:rsidR="002B17C6">
              <w:rPr>
                <w:color w:val="000000"/>
                <w:sz w:val="18"/>
                <w:szCs w:val="18"/>
                <w:lang w:val="uk-UA"/>
              </w:rPr>
              <w:t>-</w:t>
            </w:r>
            <w:r w:rsidRPr="002B17C6">
              <w:rPr>
                <w:color w:val="000000"/>
                <w:sz w:val="18"/>
                <w:szCs w:val="18"/>
                <w:lang w:val="uk-UA"/>
              </w:rPr>
              <w:t>мент екобез</w:t>
            </w:r>
            <w:r w:rsidR="002B17C6">
              <w:rPr>
                <w:color w:val="000000"/>
                <w:sz w:val="18"/>
                <w:szCs w:val="18"/>
                <w:lang w:val="uk-UA"/>
              </w:rPr>
              <w:t>-</w:t>
            </w:r>
            <w:r w:rsidRPr="002B17C6">
              <w:rPr>
                <w:color w:val="000000"/>
                <w:sz w:val="18"/>
                <w:szCs w:val="18"/>
                <w:lang w:val="uk-UA"/>
              </w:rPr>
              <w:t>пеки, природо-користування та енерго-збереження Дніпро-петровської обласної ради” (за згодою)</w:t>
            </w:r>
          </w:p>
          <w:p w:rsidR="007C4963" w:rsidRPr="002B17C6" w:rsidRDefault="007C4963" w:rsidP="004E76A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color w:val="000000"/>
                <w:sz w:val="18"/>
                <w:szCs w:val="18"/>
                <w:lang w:val="uk-UA"/>
              </w:rPr>
              <w:t>2016</w:t>
            </w:r>
          </w:p>
        </w:tc>
        <w:tc>
          <w:tcPr>
            <w:tcW w:w="851" w:type="dxa"/>
            <w:vMerge w:val="restart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color w:val="000000"/>
                <w:sz w:val="18"/>
                <w:szCs w:val="18"/>
                <w:lang w:val="uk-UA"/>
              </w:rPr>
              <w:t>2025</w:t>
            </w:r>
          </w:p>
        </w:tc>
        <w:tc>
          <w:tcPr>
            <w:tcW w:w="1275" w:type="dxa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35 000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7 000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7 000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7 000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7 000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7 000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35 000</w:t>
            </w:r>
          </w:p>
        </w:tc>
        <w:tc>
          <w:tcPr>
            <w:tcW w:w="1560" w:type="dxa"/>
            <w:vMerge w:val="restart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color w:val="000000"/>
                <w:sz w:val="18"/>
                <w:szCs w:val="18"/>
                <w:lang w:val="uk-UA"/>
              </w:rPr>
              <w:t>Зменшення споживання енергоресурсів у будівлях після термореновації на 40%</w:t>
            </w:r>
          </w:p>
        </w:tc>
      </w:tr>
      <w:tr w:rsidR="009526D9" w:rsidRPr="002B17C6" w:rsidTr="0067008B">
        <w:trPr>
          <w:trHeight w:val="652"/>
        </w:trPr>
        <w:tc>
          <w:tcPr>
            <w:tcW w:w="1277" w:type="dxa"/>
            <w:vMerge/>
          </w:tcPr>
          <w:p w:rsidR="009526D9" w:rsidRPr="002B17C6" w:rsidRDefault="009526D9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  <w:vAlign w:val="center"/>
          </w:tcPr>
          <w:p w:rsidR="009526D9" w:rsidRPr="002B17C6" w:rsidRDefault="009526D9" w:rsidP="0067008B">
            <w:pPr>
              <w:rPr>
                <w:lang w:val="uk-UA"/>
              </w:rPr>
            </w:pPr>
          </w:p>
        </w:tc>
      </w:tr>
      <w:tr w:rsidR="009526D9" w:rsidRPr="002B17C6" w:rsidTr="0067008B">
        <w:trPr>
          <w:trHeight w:val="659"/>
        </w:trPr>
        <w:tc>
          <w:tcPr>
            <w:tcW w:w="1277" w:type="dxa"/>
            <w:vMerge/>
          </w:tcPr>
          <w:p w:rsidR="009526D9" w:rsidRPr="002B17C6" w:rsidRDefault="009526D9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35 000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7 000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7 000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7 000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7 000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7 000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35 000</w:t>
            </w:r>
          </w:p>
        </w:tc>
        <w:tc>
          <w:tcPr>
            <w:tcW w:w="1560" w:type="dxa"/>
            <w:vMerge/>
            <w:vAlign w:val="center"/>
          </w:tcPr>
          <w:p w:rsidR="009526D9" w:rsidRPr="002B17C6" w:rsidRDefault="009526D9" w:rsidP="0067008B">
            <w:pPr>
              <w:rPr>
                <w:lang w:val="uk-UA"/>
              </w:rPr>
            </w:pPr>
          </w:p>
        </w:tc>
      </w:tr>
      <w:tr w:rsidR="009526D9" w:rsidRPr="002B17C6" w:rsidTr="0067008B">
        <w:trPr>
          <w:trHeight w:val="664"/>
        </w:trPr>
        <w:tc>
          <w:tcPr>
            <w:tcW w:w="1277" w:type="dxa"/>
            <w:vMerge/>
          </w:tcPr>
          <w:p w:rsidR="009526D9" w:rsidRPr="002B17C6" w:rsidRDefault="009526D9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  <w:vAlign w:val="center"/>
          </w:tcPr>
          <w:p w:rsidR="009526D9" w:rsidRPr="002B17C6" w:rsidRDefault="009526D9" w:rsidP="0067008B">
            <w:pPr>
              <w:rPr>
                <w:lang w:val="uk-UA"/>
              </w:rPr>
            </w:pPr>
          </w:p>
        </w:tc>
      </w:tr>
      <w:tr w:rsidR="009526D9" w:rsidRPr="002B17C6" w:rsidTr="0067008B">
        <w:trPr>
          <w:trHeight w:val="812"/>
        </w:trPr>
        <w:tc>
          <w:tcPr>
            <w:tcW w:w="1277" w:type="dxa"/>
            <w:vMerge/>
          </w:tcPr>
          <w:p w:rsidR="009526D9" w:rsidRPr="002B17C6" w:rsidRDefault="009526D9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9526D9" w:rsidRPr="002B17C6" w:rsidRDefault="009526D9" w:rsidP="0067008B">
            <w:pPr>
              <w:rPr>
                <w:lang w:val="uk-UA"/>
              </w:rPr>
            </w:pPr>
          </w:p>
        </w:tc>
      </w:tr>
      <w:tr w:rsidR="009526D9" w:rsidRPr="002B17C6" w:rsidTr="0067008B">
        <w:trPr>
          <w:trHeight w:val="660"/>
        </w:trPr>
        <w:tc>
          <w:tcPr>
            <w:tcW w:w="1277" w:type="dxa"/>
            <w:vMerge w:val="restart"/>
          </w:tcPr>
          <w:p w:rsidR="009526D9" w:rsidRPr="002B17C6" w:rsidRDefault="009526D9" w:rsidP="0067008B">
            <w:pPr>
              <w:ind w:left="-97" w:right="-123"/>
              <w:rPr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9526D9" w:rsidRPr="002B17C6" w:rsidRDefault="002B17C6" w:rsidP="00E70A6C">
            <w:pPr>
              <w:ind w:right="-114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5.52. </w:t>
            </w:r>
            <w:r w:rsidR="009526D9" w:rsidRPr="002B17C6">
              <w:rPr>
                <w:sz w:val="18"/>
                <w:szCs w:val="18"/>
                <w:lang w:val="uk-UA"/>
              </w:rPr>
              <w:t>Реконструк</w:t>
            </w:r>
            <w:r w:rsidR="00E70A6C">
              <w:rPr>
                <w:sz w:val="18"/>
                <w:szCs w:val="18"/>
                <w:lang w:val="uk-UA"/>
              </w:rPr>
              <w:t>-</w:t>
            </w:r>
            <w:r w:rsidR="009526D9" w:rsidRPr="002B17C6">
              <w:rPr>
                <w:sz w:val="18"/>
                <w:szCs w:val="18"/>
                <w:lang w:val="uk-UA"/>
              </w:rPr>
              <w:t>ція систем освітлення вулиць</w:t>
            </w:r>
          </w:p>
        </w:tc>
        <w:tc>
          <w:tcPr>
            <w:tcW w:w="1418" w:type="dxa"/>
            <w:vMerge w:val="restart"/>
          </w:tcPr>
          <w:p w:rsidR="009526D9" w:rsidRDefault="009526D9" w:rsidP="002B17C6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color w:val="000000"/>
                <w:sz w:val="18"/>
                <w:szCs w:val="18"/>
                <w:lang w:val="uk-UA"/>
              </w:rPr>
              <w:t>Департамент житлово-комунального господарства та будівництва облдержадмі</w:t>
            </w:r>
            <w:r w:rsidR="002B17C6">
              <w:rPr>
                <w:color w:val="000000"/>
                <w:sz w:val="18"/>
                <w:szCs w:val="18"/>
                <w:lang w:val="uk-UA"/>
              </w:rPr>
              <w:t>-</w:t>
            </w:r>
            <w:r w:rsidRPr="002B17C6">
              <w:rPr>
                <w:color w:val="000000"/>
                <w:sz w:val="18"/>
                <w:szCs w:val="18"/>
                <w:lang w:val="uk-UA"/>
              </w:rPr>
              <w:t>ністрації, райдержадмі</w:t>
            </w:r>
            <w:r w:rsidR="002B17C6">
              <w:rPr>
                <w:color w:val="000000"/>
                <w:sz w:val="18"/>
                <w:szCs w:val="18"/>
                <w:lang w:val="uk-UA"/>
              </w:rPr>
              <w:t>-</w:t>
            </w:r>
            <w:r w:rsidRPr="002B17C6">
              <w:rPr>
                <w:color w:val="000000"/>
                <w:sz w:val="18"/>
                <w:szCs w:val="18"/>
                <w:lang w:val="uk-UA"/>
              </w:rPr>
              <w:t xml:space="preserve">ністрації та органи місцевого </w:t>
            </w:r>
            <w:r w:rsidR="002B17C6">
              <w:rPr>
                <w:color w:val="000000"/>
                <w:sz w:val="18"/>
                <w:szCs w:val="18"/>
                <w:lang w:val="uk-UA"/>
              </w:rPr>
              <w:t>самовряд</w:t>
            </w:r>
            <w:r w:rsidRPr="002B17C6">
              <w:rPr>
                <w:color w:val="000000"/>
                <w:sz w:val="18"/>
                <w:szCs w:val="18"/>
                <w:lang w:val="uk-UA"/>
              </w:rPr>
              <w:t>у-вання (за згодою),</w:t>
            </w:r>
            <w:r w:rsidR="004E76AF" w:rsidRPr="002B17C6">
              <w:rPr>
                <w:color w:val="000000"/>
                <w:sz w:val="18"/>
                <w:szCs w:val="18"/>
                <w:lang w:val="uk-UA"/>
              </w:rPr>
              <w:t xml:space="preserve"> КП</w:t>
            </w:r>
            <w:r w:rsidR="002B17C6">
              <w:rPr>
                <w:color w:val="000000"/>
                <w:sz w:val="18"/>
                <w:szCs w:val="18"/>
                <w:lang w:val="uk-UA"/>
              </w:rPr>
              <w:t> </w:t>
            </w:r>
            <w:r w:rsidR="004E76AF" w:rsidRPr="002B17C6">
              <w:rPr>
                <w:color w:val="000000"/>
                <w:sz w:val="18"/>
                <w:szCs w:val="18"/>
                <w:lang w:val="uk-UA"/>
              </w:rPr>
              <w:t>„</w:t>
            </w:r>
            <w:r w:rsidRPr="002B17C6">
              <w:rPr>
                <w:color w:val="000000"/>
                <w:sz w:val="18"/>
                <w:szCs w:val="18"/>
                <w:lang w:val="uk-UA"/>
              </w:rPr>
              <w:t>Департа</w:t>
            </w:r>
            <w:r w:rsidR="002B17C6">
              <w:rPr>
                <w:color w:val="000000"/>
                <w:sz w:val="18"/>
                <w:szCs w:val="18"/>
                <w:lang w:val="uk-UA"/>
              </w:rPr>
              <w:t>-</w:t>
            </w:r>
            <w:r w:rsidRPr="002B17C6">
              <w:rPr>
                <w:color w:val="000000"/>
                <w:sz w:val="18"/>
                <w:szCs w:val="18"/>
                <w:lang w:val="uk-UA"/>
              </w:rPr>
              <w:t>мент екобез</w:t>
            </w:r>
            <w:r w:rsidR="002B17C6">
              <w:rPr>
                <w:color w:val="000000"/>
                <w:sz w:val="18"/>
                <w:szCs w:val="18"/>
                <w:lang w:val="uk-UA"/>
              </w:rPr>
              <w:t>-</w:t>
            </w:r>
            <w:r w:rsidRPr="002B17C6">
              <w:rPr>
                <w:color w:val="000000"/>
                <w:sz w:val="18"/>
                <w:szCs w:val="18"/>
                <w:lang w:val="uk-UA"/>
              </w:rPr>
              <w:t>пеки, природо-користування та енерго-збереження Дніпро-петровської обласної ради”  (за згодою)</w:t>
            </w:r>
          </w:p>
          <w:p w:rsidR="007C4963" w:rsidRPr="002B17C6" w:rsidRDefault="007C4963" w:rsidP="002B17C6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color w:val="000000"/>
                <w:sz w:val="18"/>
                <w:szCs w:val="18"/>
                <w:lang w:val="uk-UA"/>
              </w:rPr>
              <w:t>2016</w:t>
            </w:r>
          </w:p>
        </w:tc>
        <w:tc>
          <w:tcPr>
            <w:tcW w:w="851" w:type="dxa"/>
            <w:vMerge w:val="restart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color w:val="000000"/>
                <w:sz w:val="18"/>
                <w:szCs w:val="18"/>
                <w:lang w:val="uk-UA"/>
              </w:rPr>
              <w:t>2025</w:t>
            </w:r>
          </w:p>
        </w:tc>
        <w:tc>
          <w:tcPr>
            <w:tcW w:w="1275" w:type="dxa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5 000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1 000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1 000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1 000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1 000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1 000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5 000</w:t>
            </w:r>
          </w:p>
        </w:tc>
        <w:tc>
          <w:tcPr>
            <w:tcW w:w="1560" w:type="dxa"/>
            <w:vMerge w:val="restart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color w:val="000000"/>
                <w:sz w:val="18"/>
                <w:szCs w:val="18"/>
                <w:lang w:val="uk-UA"/>
              </w:rPr>
              <w:t>Зменшення споживання енергоресурсів на освітлення вулиць до 50%</w:t>
            </w:r>
          </w:p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9526D9" w:rsidRPr="002B17C6" w:rsidTr="0067008B">
        <w:trPr>
          <w:trHeight w:val="652"/>
        </w:trPr>
        <w:tc>
          <w:tcPr>
            <w:tcW w:w="1277" w:type="dxa"/>
            <w:vMerge/>
          </w:tcPr>
          <w:p w:rsidR="009526D9" w:rsidRPr="002B17C6" w:rsidRDefault="009526D9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9526D9" w:rsidRPr="002B17C6" w:rsidRDefault="009526D9" w:rsidP="0067008B">
            <w:pPr>
              <w:rPr>
                <w:lang w:val="uk-UA"/>
              </w:rPr>
            </w:pPr>
          </w:p>
        </w:tc>
      </w:tr>
      <w:tr w:rsidR="009526D9" w:rsidRPr="002B17C6" w:rsidTr="0067008B">
        <w:trPr>
          <w:trHeight w:val="659"/>
        </w:trPr>
        <w:tc>
          <w:tcPr>
            <w:tcW w:w="1277" w:type="dxa"/>
            <w:vMerge/>
          </w:tcPr>
          <w:p w:rsidR="009526D9" w:rsidRPr="002B17C6" w:rsidRDefault="009526D9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5 000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1 000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1 000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1 000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1 000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1 000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5 000</w:t>
            </w:r>
          </w:p>
        </w:tc>
        <w:tc>
          <w:tcPr>
            <w:tcW w:w="1560" w:type="dxa"/>
            <w:vMerge/>
          </w:tcPr>
          <w:p w:rsidR="009526D9" w:rsidRPr="002B17C6" w:rsidRDefault="009526D9" w:rsidP="0067008B">
            <w:pPr>
              <w:rPr>
                <w:lang w:val="uk-UA"/>
              </w:rPr>
            </w:pPr>
          </w:p>
        </w:tc>
      </w:tr>
      <w:tr w:rsidR="009526D9" w:rsidRPr="002B17C6" w:rsidTr="0067008B">
        <w:trPr>
          <w:trHeight w:val="664"/>
        </w:trPr>
        <w:tc>
          <w:tcPr>
            <w:tcW w:w="1277" w:type="dxa"/>
            <w:vMerge/>
          </w:tcPr>
          <w:p w:rsidR="009526D9" w:rsidRPr="002B17C6" w:rsidRDefault="009526D9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9526D9" w:rsidRPr="002B17C6" w:rsidRDefault="009526D9" w:rsidP="0067008B">
            <w:pPr>
              <w:rPr>
                <w:lang w:val="uk-UA"/>
              </w:rPr>
            </w:pPr>
          </w:p>
        </w:tc>
      </w:tr>
      <w:tr w:rsidR="009526D9" w:rsidRPr="002B17C6" w:rsidTr="0067008B">
        <w:trPr>
          <w:trHeight w:val="812"/>
        </w:trPr>
        <w:tc>
          <w:tcPr>
            <w:tcW w:w="1277" w:type="dxa"/>
            <w:vMerge/>
          </w:tcPr>
          <w:p w:rsidR="009526D9" w:rsidRPr="002B17C6" w:rsidRDefault="009526D9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9526D9" w:rsidRPr="002B17C6" w:rsidRDefault="009526D9" w:rsidP="0067008B">
            <w:pPr>
              <w:rPr>
                <w:lang w:val="uk-UA"/>
              </w:rPr>
            </w:pPr>
          </w:p>
        </w:tc>
      </w:tr>
      <w:tr w:rsidR="009526D9" w:rsidRPr="002B17C6" w:rsidTr="0067008B">
        <w:trPr>
          <w:trHeight w:val="660"/>
        </w:trPr>
        <w:tc>
          <w:tcPr>
            <w:tcW w:w="1277" w:type="dxa"/>
            <w:vMerge w:val="restart"/>
          </w:tcPr>
          <w:p w:rsidR="009526D9" w:rsidRPr="002B17C6" w:rsidRDefault="009526D9" w:rsidP="0067008B">
            <w:pPr>
              <w:ind w:left="-97" w:right="-123"/>
              <w:rPr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9526D9" w:rsidRPr="002B17C6" w:rsidRDefault="009526D9" w:rsidP="002B17C6">
            <w:pPr>
              <w:ind w:right="-114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 xml:space="preserve">5.53. Проведення </w:t>
            </w:r>
            <w:r w:rsidR="002B17C6" w:rsidRPr="002B17C6">
              <w:rPr>
                <w:sz w:val="18"/>
                <w:szCs w:val="18"/>
                <w:lang w:val="uk-UA"/>
              </w:rPr>
              <w:t xml:space="preserve">виставок </w:t>
            </w:r>
            <w:r w:rsidR="002B17C6">
              <w:rPr>
                <w:sz w:val="18"/>
                <w:szCs w:val="18"/>
                <w:lang w:val="uk-UA"/>
              </w:rPr>
              <w:t xml:space="preserve">щодо </w:t>
            </w:r>
            <w:r w:rsidRPr="002B17C6">
              <w:rPr>
                <w:sz w:val="18"/>
                <w:szCs w:val="18"/>
                <w:lang w:val="uk-UA"/>
              </w:rPr>
              <w:t>енергоефектив</w:t>
            </w:r>
            <w:r w:rsidR="002B17C6">
              <w:rPr>
                <w:sz w:val="18"/>
                <w:szCs w:val="18"/>
                <w:lang w:val="uk-UA"/>
              </w:rPr>
              <w:t>-ності</w:t>
            </w:r>
            <w:r w:rsidR="00E70A6C">
              <w:rPr>
                <w:sz w:val="18"/>
                <w:szCs w:val="18"/>
                <w:lang w:val="uk-UA"/>
              </w:rPr>
              <w:t xml:space="preserve"> для мешканців області</w:t>
            </w:r>
          </w:p>
        </w:tc>
        <w:tc>
          <w:tcPr>
            <w:tcW w:w="1418" w:type="dxa"/>
            <w:vMerge w:val="restart"/>
          </w:tcPr>
          <w:p w:rsidR="009526D9" w:rsidRPr="002B17C6" w:rsidRDefault="009526D9" w:rsidP="0067008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color w:val="000000"/>
                <w:sz w:val="18"/>
                <w:szCs w:val="18"/>
                <w:lang w:val="uk-UA"/>
              </w:rPr>
              <w:t>Департамент житлово-комунального господарства та будівництва облдержадмі</w:t>
            </w:r>
            <w:r w:rsidR="002B17C6">
              <w:rPr>
                <w:color w:val="000000"/>
                <w:sz w:val="18"/>
                <w:szCs w:val="18"/>
                <w:lang w:val="uk-UA"/>
              </w:rPr>
              <w:t>-</w:t>
            </w:r>
            <w:r w:rsidRPr="002B17C6">
              <w:rPr>
                <w:color w:val="000000"/>
                <w:sz w:val="18"/>
                <w:szCs w:val="18"/>
                <w:lang w:val="uk-UA"/>
              </w:rPr>
              <w:t>ністрації, управління паливно-енергетичного комплексу та енергозбере</w:t>
            </w:r>
            <w:r w:rsidR="002B17C6">
              <w:rPr>
                <w:color w:val="000000"/>
                <w:sz w:val="18"/>
                <w:szCs w:val="18"/>
                <w:lang w:val="uk-UA"/>
              </w:rPr>
              <w:t>-</w:t>
            </w:r>
            <w:r w:rsidRPr="002B17C6">
              <w:rPr>
                <w:color w:val="000000"/>
                <w:sz w:val="18"/>
                <w:szCs w:val="18"/>
                <w:lang w:val="uk-UA"/>
              </w:rPr>
              <w:t>ження облдержадмі</w:t>
            </w:r>
            <w:r w:rsidR="002B17C6">
              <w:rPr>
                <w:color w:val="000000"/>
                <w:sz w:val="18"/>
                <w:szCs w:val="18"/>
                <w:lang w:val="uk-UA"/>
              </w:rPr>
              <w:t>-</w:t>
            </w:r>
            <w:r w:rsidRPr="002B17C6">
              <w:rPr>
                <w:color w:val="000000"/>
                <w:sz w:val="18"/>
                <w:szCs w:val="18"/>
                <w:lang w:val="uk-UA"/>
              </w:rPr>
              <w:t xml:space="preserve">ністрації, </w:t>
            </w:r>
          </w:p>
          <w:p w:rsidR="009526D9" w:rsidRDefault="002B17C6" w:rsidP="004E76A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КП </w:t>
            </w:r>
            <w:r w:rsidR="004E76AF" w:rsidRPr="002B17C6">
              <w:rPr>
                <w:color w:val="000000"/>
                <w:sz w:val="18"/>
                <w:szCs w:val="18"/>
                <w:lang w:val="uk-UA"/>
              </w:rPr>
              <w:t>„</w:t>
            </w:r>
            <w:r w:rsidR="009526D9" w:rsidRPr="002B17C6">
              <w:rPr>
                <w:color w:val="000000"/>
                <w:sz w:val="18"/>
                <w:szCs w:val="18"/>
                <w:lang w:val="uk-UA"/>
              </w:rPr>
              <w:t>Департа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="009526D9" w:rsidRPr="002B17C6">
              <w:rPr>
                <w:color w:val="000000"/>
                <w:sz w:val="18"/>
                <w:szCs w:val="18"/>
                <w:lang w:val="uk-UA"/>
              </w:rPr>
              <w:t>мент екобез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="009526D9" w:rsidRPr="002B17C6">
              <w:rPr>
                <w:color w:val="000000"/>
                <w:sz w:val="18"/>
                <w:szCs w:val="18"/>
                <w:lang w:val="uk-UA"/>
              </w:rPr>
              <w:t>пеки, природо-</w:t>
            </w:r>
            <w:r w:rsidR="009526D9" w:rsidRPr="002B17C6">
              <w:rPr>
                <w:color w:val="000000"/>
                <w:sz w:val="18"/>
                <w:szCs w:val="18"/>
                <w:lang w:val="uk-UA"/>
              </w:rPr>
              <w:lastRenderedPageBreak/>
              <w:t>користування та енерго-збереження Дніпро-петровської обласної ради”  (за згодою)</w:t>
            </w:r>
          </w:p>
          <w:p w:rsidR="007C4963" w:rsidRPr="002B17C6" w:rsidRDefault="007C4963" w:rsidP="004E76AF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color w:val="000000"/>
                <w:sz w:val="18"/>
                <w:szCs w:val="18"/>
                <w:lang w:val="uk-UA"/>
              </w:rPr>
              <w:lastRenderedPageBreak/>
              <w:t>2016</w:t>
            </w:r>
          </w:p>
        </w:tc>
        <w:tc>
          <w:tcPr>
            <w:tcW w:w="851" w:type="dxa"/>
            <w:vMerge w:val="restart"/>
          </w:tcPr>
          <w:p w:rsidR="009526D9" w:rsidRPr="002B17C6" w:rsidRDefault="009526D9" w:rsidP="009526D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color w:val="000000"/>
                <w:sz w:val="18"/>
                <w:szCs w:val="18"/>
                <w:lang w:val="uk-UA"/>
              </w:rPr>
              <w:t>2025</w:t>
            </w:r>
          </w:p>
        </w:tc>
        <w:tc>
          <w:tcPr>
            <w:tcW w:w="1275" w:type="dxa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1 250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1 250</w:t>
            </w:r>
          </w:p>
        </w:tc>
        <w:tc>
          <w:tcPr>
            <w:tcW w:w="1560" w:type="dxa"/>
            <w:vMerge w:val="restart"/>
          </w:tcPr>
          <w:p w:rsidR="009526D9" w:rsidRPr="002B17C6" w:rsidRDefault="009526D9" w:rsidP="00912439">
            <w:pPr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Підвищення свідомості суспільства щодо запровадження енергозбер</w:t>
            </w:r>
            <w:r w:rsidR="00912439">
              <w:rPr>
                <w:sz w:val="18"/>
                <w:szCs w:val="18"/>
                <w:lang w:val="uk-UA"/>
              </w:rPr>
              <w:t>ежних</w:t>
            </w:r>
            <w:r w:rsidRPr="002B17C6">
              <w:rPr>
                <w:sz w:val="18"/>
                <w:szCs w:val="18"/>
                <w:lang w:val="uk-UA"/>
              </w:rPr>
              <w:t xml:space="preserve"> та енергоефек</w:t>
            </w:r>
            <w:r w:rsidR="00912439">
              <w:rPr>
                <w:sz w:val="18"/>
                <w:szCs w:val="18"/>
                <w:lang w:val="uk-UA"/>
              </w:rPr>
              <w:t>-</w:t>
            </w:r>
            <w:r w:rsidRPr="002B17C6">
              <w:rPr>
                <w:sz w:val="18"/>
                <w:szCs w:val="18"/>
                <w:lang w:val="uk-UA"/>
              </w:rPr>
              <w:t>тивних технологій</w:t>
            </w:r>
          </w:p>
        </w:tc>
      </w:tr>
      <w:tr w:rsidR="009526D9" w:rsidRPr="002B17C6" w:rsidTr="0067008B">
        <w:trPr>
          <w:trHeight w:val="652"/>
        </w:trPr>
        <w:tc>
          <w:tcPr>
            <w:tcW w:w="1277" w:type="dxa"/>
            <w:vMerge/>
          </w:tcPr>
          <w:p w:rsidR="009526D9" w:rsidRPr="002B17C6" w:rsidRDefault="009526D9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9526D9" w:rsidRPr="002B17C6" w:rsidRDefault="009526D9" w:rsidP="0067008B">
            <w:pPr>
              <w:rPr>
                <w:lang w:val="uk-UA"/>
              </w:rPr>
            </w:pPr>
          </w:p>
        </w:tc>
      </w:tr>
      <w:tr w:rsidR="009526D9" w:rsidRPr="002B17C6" w:rsidTr="0067008B">
        <w:trPr>
          <w:trHeight w:val="659"/>
        </w:trPr>
        <w:tc>
          <w:tcPr>
            <w:tcW w:w="1277" w:type="dxa"/>
            <w:vMerge/>
          </w:tcPr>
          <w:p w:rsidR="009526D9" w:rsidRPr="002B17C6" w:rsidRDefault="009526D9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1 250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250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1 250</w:t>
            </w:r>
          </w:p>
        </w:tc>
        <w:tc>
          <w:tcPr>
            <w:tcW w:w="1560" w:type="dxa"/>
            <w:vMerge/>
          </w:tcPr>
          <w:p w:rsidR="009526D9" w:rsidRPr="002B17C6" w:rsidRDefault="009526D9" w:rsidP="0067008B">
            <w:pPr>
              <w:rPr>
                <w:lang w:val="uk-UA"/>
              </w:rPr>
            </w:pPr>
          </w:p>
        </w:tc>
      </w:tr>
      <w:tr w:rsidR="009526D9" w:rsidRPr="002B17C6" w:rsidTr="0067008B">
        <w:trPr>
          <w:trHeight w:val="664"/>
        </w:trPr>
        <w:tc>
          <w:tcPr>
            <w:tcW w:w="1277" w:type="dxa"/>
            <w:vMerge/>
          </w:tcPr>
          <w:p w:rsidR="009526D9" w:rsidRPr="002B17C6" w:rsidRDefault="009526D9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9526D9" w:rsidRPr="002B17C6" w:rsidRDefault="009526D9" w:rsidP="0067008B">
            <w:pPr>
              <w:rPr>
                <w:lang w:val="uk-UA"/>
              </w:rPr>
            </w:pPr>
          </w:p>
        </w:tc>
      </w:tr>
      <w:tr w:rsidR="009526D9" w:rsidRPr="002B17C6" w:rsidTr="0067008B">
        <w:trPr>
          <w:trHeight w:val="812"/>
        </w:trPr>
        <w:tc>
          <w:tcPr>
            <w:tcW w:w="1277" w:type="dxa"/>
            <w:vMerge/>
          </w:tcPr>
          <w:p w:rsidR="009526D9" w:rsidRPr="002B17C6" w:rsidRDefault="009526D9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9526D9" w:rsidRPr="002B17C6" w:rsidRDefault="009526D9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526D9" w:rsidRPr="002B17C6" w:rsidRDefault="009526D9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2B17C6">
              <w:rPr>
                <w:b/>
                <w:color w:val="000000"/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851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9526D9" w:rsidRPr="002B17C6" w:rsidRDefault="009526D9" w:rsidP="004E76AF">
            <w:pPr>
              <w:jc w:val="center"/>
              <w:rPr>
                <w:sz w:val="18"/>
                <w:szCs w:val="18"/>
                <w:lang w:val="uk-UA"/>
              </w:rPr>
            </w:pPr>
            <w:r w:rsidRPr="002B17C6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9526D9" w:rsidRPr="002B17C6" w:rsidRDefault="009526D9" w:rsidP="0067008B">
            <w:pPr>
              <w:rPr>
                <w:lang w:val="uk-UA"/>
              </w:rPr>
            </w:pPr>
          </w:p>
        </w:tc>
      </w:tr>
      <w:tr w:rsidR="00DF0CC7" w:rsidRPr="00DF0CC7" w:rsidTr="0067008B">
        <w:trPr>
          <w:trHeight w:val="345"/>
        </w:trPr>
        <w:tc>
          <w:tcPr>
            <w:tcW w:w="1277" w:type="dxa"/>
            <w:vMerge w:val="restart"/>
          </w:tcPr>
          <w:p w:rsidR="00DF0CC7" w:rsidRPr="0067008B" w:rsidRDefault="00DF0CC7" w:rsidP="0067008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67008B">
              <w:rPr>
                <w:b/>
                <w:bCs/>
                <w:sz w:val="18"/>
                <w:szCs w:val="18"/>
                <w:lang w:val="uk-UA"/>
              </w:rPr>
              <w:lastRenderedPageBreak/>
              <w:t>6. Розбудова та удоскона</w:t>
            </w:r>
            <w:r w:rsidRPr="0067008B">
              <w:rPr>
                <w:b/>
                <w:bCs/>
                <w:sz w:val="18"/>
                <w:szCs w:val="18"/>
              </w:rPr>
              <w:t>-</w:t>
            </w:r>
            <w:r w:rsidRPr="0067008B">
              <w:rPr>
                <w:b/>
                <w:bCs/>
                <w:sz w:val="18"/>
                <w:szCs w:val="18"/>
                <w:lang w:val="uk-UA"/>
              </w:rPr>
              <w:t>лення регіональної системи моніторингу довкілля Дніпро</w:t>
            </w:r>
            <w:r w:rsidRPr="0067008B">
              <w:rPr>
                <w:b/>
                <w:bCs/>
                <w:sz w:val="18"/>
                <w:szCs w:val="18"/>
              </w:rPr>
              <w:t>-</w:t>
            </w:r>
            <w:r w:rsidRPr="0067008B">
              <w:rPr>
                <w:b/>
                <w:bCs/>
                <w:sz w:val="18"/>
                <w:szCs w:val="18"/>
                <w:lang w:val="uk-UA"/>
              </w:rPr>
              <w:t>петровської області</w:t>
            </w:r>
          </w:p>
        </w:tc>
        <w:tc>
          <w:tcPr>
            <w:tcW w:w="1559" w:type="dxa"/>
            <w:vMerge w:val="restart"/>
          </w:tcPr>
          <w:p w:rsidR="00DF0CC7" w:rsidRPr="0067008B" w:rsidRDefault="00DF0CC7" w:rsidP="0067008B">
            <w:pPr>
              <w:ind w:right="-114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6.1. Організація та утримання регіонального інформаційно-аналітичного центру моніторингу довкілля: оснащення обчислювальною, комунікаційною та оргтехнікою, лініями зв'язку та передачі даних</w:t>
            </w:r>
          </w:p>
        </w:tc>
        <w:tc>
          <w:tcPr>
            <w:tcW w:w="1418" w:type="dxa"/>
            <w:vMerge w:val="restart"/>
          </w:tcPr>
          <w:p w:rsidR="00DF0CC7" w:rsidRDefault="00DF0CC7" w:rsidP="0067008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67008B">
              <w:rPr>
                <w:color w:val="000000"/>
                <w:sz w:val="18"/>
                <w:szCs w:val="18"/>
                <w:lang w:val="uk-UA"/>
              </w:rPr>
              <w:t>Департамент екології та природних ресурсів облдержадмі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 xml:space="preserve">ністрації, </w:t>
            </w:r>
            <w:r>
              <w:rPr>
                <w:color w:val="000000"/>
                <w:sz w:val="18"/>
                <w:szCs w:val="18"/>
                <w:lang w:val="uk-UA"/>
              </w:rPr>
              <w:t>к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 xml:space="preserve">омунальне підприємство </w:t>
            </w:r>
            <w:r>
              <w:rPr>
                <w:color w:val="000000"/>
                <w:sz w:val="18"/>
                <w:szCs w:val="18"/>
                <w:lang w:val="uk-UA"/>
              </w:rPr>
              <w:t>„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Центр екологічного моніторингу” Дніпропетро</w:t>
            </w:r>
            <w:r>
              <w:rPr>
                <w:color w:val="000000"/>
                <w:sz w:val="18"/>
                <w:szCs w:val="18"/>
                <w:lang w:val="uk-UA"/>
              </w:rPr>
              <w:t>в-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ської обласної ради” (за згодою)</w:t>
            </w:r>
          </w:p>
          <w:p w:rsidR="00DF0CC7" w:rsidRPr="0067008B" w:rsidRDefault="00DF0CC7" w:rsidP="0067008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DF0CC7" w:rsidRPr="0067008B" w:rsidRDefault="00DF0CC7" w:rsidP="002525AB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2016</w:t>
            </w:r>
          </w:p>
        </w:tc>
        <w:tc>
          <w:tcPr>
            <w:tcW w:w="851" w:type="dxa"/>
            <w:vMerge w:val="restart"/>
          </w:tcPr>
          <w:p w:rsidR="00DF0CC7" w:rsidRPr="0067008B" w:rsidRDefault="00DF0CC7" w:rsidP="002525AB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2017</w:t>
            </w:r>
          </w:p>
        </w:tc>
        <w:tc>
          <w:tcPr>
            <w:tcW w:w="1275" w:type="dxa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3900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67008B">
              <w:rPr>
                <w:bCs/>
                <w:sz w:val="18"/>
                <w:szCs w:val="18"/>
                <w:lang w:val="uk-UA"/>
              </w:rPr>
              <w:t>300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67008B">
              <w:rPr>
                <w:bCs/>
                <w:sz w:val="18"/>
                <w:szCs w:val="18"/>
                <w:lang w:val="uk-UA"/>
              </w:rPr>
              <w:t>300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67008B">
              <w:rPr>
                <w:bCs/>
                <w:sz w:val="18"/>
                <w:szCs w:val="18"/>
                <w:lang w:val="uk-UA"/>
              </w:rPr>
              <w:t>1500</w:t>
            </w:r>
          </w:p>
        </w:tc>
        <w:tc>
          <w:tcPr>
            <w:tcW w:w="1560" w:type="dxa"/>
            <w:vMerge w:val="restart"/>
          </w:tcPr>
          <w:p w:rsidR="00DF0CC7" w:rsidRPr="00D07D5A" w:rsidRDefault="00DF0CC7" w:rsidP="0067008B">
            <w:pPr>
              <w:rPr>
                <w:b/>
                <w:bCs/>
                <w:sz w:val="18"/>
                <w:szCs w:val="18"/>
                <w:lang w:val="uk-UA"/>
              </w:rPr>
            </w:pPr>
            <w:r w:rsidRPr="00AC10B5">
              <w:rPr>
                <w:sz w:val="18"/>
                <w:szCs w:val="18"/>
                <w:lang w:val="uk-UA"/>
              </w:rPr>
              <w:t xml:space="preserve">Накопичення бази даних щодо стану та змін складових довкілля регіону, поліпшення прийняття управлінських рішень у </w:t>
            </w:r>
            <w:r>
              <w:rPr>
                <w:sz w:val="18"/>
                <w:szCs w:val="18"/>
                <w:lang w:val="uk-UA"/>
              </w:rPr>
              <w:t>природоохорон-</w:t>
            </w:r>
            <w:r w:rsidRPr="00AC10B5">
              <w:rPr>
                <w:sz w:val="18"/>
                <w:szCs w:val="18"/>
                <w:lang w:val="uk-UA"/>
              </w:rPr>
              <w:t>ній сфері</w:t>
            </w:r>
          </w:p>
        </w:tc>
      </w:tr>
      <w:tr w:rsidR="00DF0CC7" w:rsidRPr="00E462D5" w:rsidTr="0067008B">
        <w:trPr>
          <w:trHeight w:val="345"/>
        </w:trPr>
        <w:tc>
          <w:tcPr>
            <w:tcW w:w="1277" w:type="dxa"/>
            <w:vMerge/>
            <w:vAlign w:val="center"/>
          </w:tcPr>
          <w:p w:rsidR="00DF0CC7" w:rsidRPr="0067008B" w:rsidRDefault="00DF0CC7" w:rsidP="0067008B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  <w:vAlign w:val="center"/>
          </w:tcPr>
          <w:p w:rsidR="00DF0CC7" w:rsidRPr="00D07D5A" w:rsidRDefault="00DF0CC7" w:rsidP="006700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F0CC7" w:rsidRPr="00E462D5" w:rsidTr="0067008B">
        <w:trPr>
          <w:trHeight w:val="345"/>
        </w:trPr>
        <w:tc>
          <w:tcPr>
            <w:tcW w:w="1277" w:type="dxa"/>
            <w:vMerge/>
            <w:vAlign w:val="center"/>
          </w:tcPr>
          <w:p w:rsidR="00DF0CC7" w:rsidRPr="0067008B" w:rsidRDefault="00DF0CC7" w:rsidP="0067008B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3900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300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67008B">
              <w:rPr>
                <w:bCs/>
                <w:sz w:val="18"/>
                <w:szCs w:val="18"/>
                <w:lang w:val="uk-UA"/>
              </w:rPr>
              <w:t>300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67008B">
              <w:rPr>
                <w:bCs/>
                <w:sz w:val="18"/>
                <w:szCs w:val="18"/>
                <w:lang w:val="uk-UA"/>
              </w:rPr>
              <w:t>300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67008B">
              <w:rPr>
                <w:bCs/>
                <w:sz w:val="18"/>
                <w:szCs w:val="18"/>
                <w:lang w:val="uk-UA"/>
              </w:rPr>
              <w:t>1500</w:t>
            </w:r>
          </w:p>
        </w:tc>
        <w:tc>
          <w:tcPr>
            <w:tcW w:w="1560" w:type="dxa"/>
            <w:vMerge/>
            <w:vAlign w:val="center"/>
          </w:tcPr>
          <w:p w:rsidR="00DF0CC7" w:rsidRPr="00D07D5A" w:rsidRDefault="00DF0CC7" w:rsidP="006700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F0CC7" w:rsidRPr="00E462D5" w:rsidTr="0067008B">
        <w:trPr>
          <w:trHeight w:val="345"/>
        </w:trPr>
        <w:tc>
          <w:tcPr>
            <w:tcW w:w="1277" w:type="dxa"/>
            <w:vMerge/>
            <w:vAlign w:val="center"/>
          </w:tcPr>
          <w:p w:rsidR="00DF0CC7" w:rsidRPr="0067008B" w:rsidRDefault="00DF0CC7" w:rsidP="0067008B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  <w:vAlign w:val="center"/>
          </w:tcPr>
          <w:p w:rsidR="00DF0CC7" w:rsidRPr="00D07D5A" w:rsidRDefault="00DF0CC7" w:rsidP="006700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F0CC7" w:rsidRPr="00E462D5" w:rsidTr="0067008B">
        <w:trPr>
          <w:trHeight w:val="345"/>
        </w:trPr>
        <w:tc>
          <w:tcPr>
            <w:tcW w:w="1277" w:type="dxa"/>
            <w:vMerge/>
            <w:vAlign w:val="center"/>
          </w:tcPr>
          <w:p w:rsidR="00DF0CC7" w:rsidRPr="0067008B" w:rsidRDefault="00DF0CC7" w:rsidP="0067008B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  <w:vAlign w:val="center"/>
          </w:tcPr>
          <w:p w:rsidR="00DF0CC7" w:rsidRPr="00D07D5A" w:rsidRDefault="00DF0CC7" w:rsidP="0067008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F0CC7" w:rsidTr="0067008B">
        <w:trPr>
          <w:trHeight w:val="660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DF0CC7" w:rsidRPr="0067008B" w:rsidRDefault="00DF0CC7" w:rsidP="0067008B">
            <w:pPr>
              <w:ind w:right="-114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6.2. Упровадження єдиної регіональної інформаційної системи збору, обробки, збереження обміну, аналізу та оцінювання даних між суб’єктовим, об’єктовим та локальними рівнями системи моніторингу</w:t>
            </w:r>
          </w:p>
        </w:tc>
        <w:tc>
          <w:tcPr>
            <w:tcW w:w="1418" w:type="dxa"/>
            <w:vMerge w:val="restart"/>
          </w:tcPr>
          <w:p w:rsidR="00DF0CC7" w:rsidRDefault="00DF0CC7" w:rsidP="0067008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67008B">
              <w:rPr>
                <w:color w:val="000000"/>
                <w:sz w:val="18"/>
                <w:szCs w:val="18"/>
                <w:lang w:val="uk-UA"/>
              </w:rPr>
              <w:t>Департамент екології та природних ресурсів облдержадмі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 xml:space="preserve">ністрації, </w:t>
            </w:r>
            <w:r>
              <w:rPr>
                <w:color w:val="000000"/>
                <w:sz w:val="18"/>
                <w:szCs w:val="18"/>
                <w:lang w:val="uk-UA"/>
              </w:rPr>
              <w:t>комунальне підприємство „Ц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ентр еколог</w:t>
            </w:r>
            <w:r>
              <w:rPr>
                <w:color w:val="000000"/>
                <w:sz w:val="18"/>
                <w:szCs w:val="18"/>
                <w:lang w:val="uk-UA"/>
              </w:rPr>
              <w:t>ічного моніторингу” Дніпропетро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в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ської обласної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ради” (за згодою), Дніпропетро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в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 xml:space="preserve">ський регіональний 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lastRenderedPageBreak/>
              <w:t>центр з гідрометеоро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логії (за згодою),  Головне управління Дер</w:t>
            </w:r>
            <w:r>
              <w:rPr>
                <w:color w:val="000000"/>
                <w:sz w:val="18"/>
                <w:szCs w:val="18"/>
                <w:lang w:val="uk-UA"/>
              </w:rPr>
              <w:t>жпрод-споживслужби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 xml:space="preserve"> у Дніпро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петровській області та його органи на місцях (за згодою), райдержадмі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ністрації, та органи місцевого самоврядуван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ня (за згодою), підприємства, установи, організації (за згодою)</w:t>
            </w:r>
          </w:p>
          <w:p w:rsidR="00DF0CC7" w:rsidRPr="0067008B" w:rsidRDefault="00DF0CC7" w:rsidP="0067008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DF0CC7" w:rsidRPr="0067008B" w:rsidRDefault="00DF0CC7" w:rsidP="002525AB">
            <w:pPr>
              <w:jc w:val="center"/>
              <w:rPr>
                <w:color w:val="000000"/>
                <w:sz w:val="18"/>
                <w:szCs w:val="18"/>
              </w:rPr>
            </w:pPr>
            <w:r w:rsidRPr="0067008B">
              <w:rPr>
                <w:color w:val="000000"/>
                <w:sz w:val="18"/>
                <w:szCs w:val="18"/>
                <w:lang w:val="uk-UA"/>
              </w:rPr>
              <w:lastRenderedPageBreak/>
              <w:t>2016</w:t>
            </w:r>
          </w:p>
        </w:tc>
        <w:tc>
          <w:tcPr>
            <w:tcW w:w="851" w:type="dxa"/>
            <w:vMerge w:val="restart"/>
          </w:tcPr>
          <w:p w:rsidR="00DF0CC7" w:rsidRPr="0067008B" w:rsidRDefault="00DF0CC7" w:rsidP="002525AB">
            <w:pPr>
              <w:jc w:val="center"/>
              <w:rPr>
                <w:color w:val="000000"/>
                <w:sz w:val="18"/>
                <w:szCs w:val="18"/>
              </w:rPr>
            </w:pPr>
            <w:r w:rsidRPr="0067008B">
              <w:rPr>
                <w:color w:val="000000"/>
                <w:sz w:val="18"/>
                <w:szCs w:val="18"/>
                <w:lang w:val="uk-UA"/>
              </w:rPr>
              <w:t>2017</w:t>
            </w:r>
          </w:p>
        </w:tc>
        <w:tc>
          <w:tcPr>
            <w:tcW w:w="1275" w:type="dxa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800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800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2525AB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 w:val="restart"/>
          </w:tcPr>
          <w:p w:rsidR="00DF0CC7" w:rsidRPr="00D07D5A" w:rsidRDefault="00DF0CC7" w:rsidP="0067008B">
            <w:pPr>
              <w:rPr>
                <w:sz w:val="18"/>
                <w:szCs w:val="18"/>
                <w:lang w:val="uk-UA"/>
              </w:rPr>
            </w:pPr>
            <w:r w:rsidRPr="003208BF">
              <w:rPr>
                <w:sz w:val="18"/>
                <w:szCs w:val="18"/>
                <w:lang w:val="uk-UA"/>
              </w:rPr>
              <w:t>Автоматизація процесу збору та обробки даних щодо стану та змін складових довкілля регіону</w:t>
            </w:r>
          </w:p>
        </w:tc>
      </w:tr>
      <w:tr w:rsidR="00DF0CC7" w:rsidTr="0067008B">
        <w:trPr>
          <w:trHeight w:val="652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Tr="0067008B">
        <w:trPr>
          <w:trHeight w:val="659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800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800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2525AB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Tr="0067008B">
        <w:trPr>
          <w:trHeight w:val="664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Tr="0067008B">
        <w:trPr>
          <w:trHeight w:val="812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Tr="0067008B">
        <w:trPr>
          <w:trHeight w:val="660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DF0CC7" w:rsidRPr="0067008B" w:rsidRDefault="00DF0CC7" w:rsidP="0067008B">
            <w:pPr>
              <w:ind w:right="-114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6.3. Організація, розбудова та вдосконалення регіональної автоматизованої мережі спостережень за станом атмосферного повітря</w:t>
            </w:r>
          </w:p>
        </w:tc>
        <w:tc>
          <w:tcPr>
            <w:tcW w:w="1418" w:type="dxa"/>
            <w:vMerge w:val="restart"/>
          </w:tcPr>
          <w:p w:rsidR="00DF0CC7" w:rsidRDefault="00DF0CC7" w:rsidP="003B2A0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67008B">
              <w:rPr>
                <w:color w:val="000000"/>
                <w:sz w:val="18"/>
                <w:szCs w:val="18"/>
                <w:lang w:val="uk-UA"/>
              </w:rPr>
              <w:t>Департамент екології та природних ресурсів облдержадмі</w:t>
            </w:r>
            <w:r>
              <w:rPr>
                <w:color w:val="000000"/>
                <w:sz w:val="18"/>
                <w:szCs w:val="18"/>
                <w:lang w:val="uk-UA"/>
              </w:rPr>
              <w:t>-ністрації, к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 xml:space="preserve">омунальне підприємство </w:t>
            </w:r>
            <w:r>
              <w:rPr>
                <w:color w:val="000000"/>
                <w:sz w:val="18"/>
                <w:szCs w:val="18"/>
                <w:lang w:val="uk-UA"/>
              </w:rPr>
              <w:t>„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Центр екологічного моніторингу” Дніпропетро</w:t>
            </w:r>
            <w:r>
              <w:rPr>
                <w:color w:val="000000"/>
                <w:sz w:val="18"/>
                <w:szCs w:val="18"/>
                <w:lang w:val="uk-UA"/>
              </w:rPr>
              <w:t>в-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ської обласної ради” (за згодою), Дніпропетров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 xml:space="preserve">ський регіональний 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lastRenderedPageBreak/>
              <w:t>центр з гідрометеоро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логії, Головне управління Держ</w:t>
            </w:r>
            <w:r>
              <w:rPr>
                <w:color w:val="000000"/>
                <w:sz w:val="18"/>
                <w:szCs w:val="18"/>
                <w:lang w:val="uk-UA"/>
              </w:rPr>
              <w:t>прод-споживслужби у Дніпро-петро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вській області та його органи на місцях (за згодою), райдержадмі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ністрації та органи місцевого  самоврядуван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ня (за згодою), підприємства, установи, організації (за згодою)</w:t>
            </w:r>
          </w:p>
          <w:p w:rsidR="00DF0CC7" w:rsidRPr="0067008B" w:rsidRDefault="00DF0CC7" w:rsidP="003B2A0C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DF0CC7" w:rsidRPr="0067008B" w:rsidRDefault="00DF0CC7" w:rsidP="002525AB">
            <w:pPr>
              <w:jc w:val="center"/>
              <w:rPr>
                <w:color w:val="000000"/>
                <w:sz w:val="18"/>
                <w:szCs w:val="18"/>
              </w:rPr>
            </w:pPr>
            <w:r w:rsidRPr="0067008B">
              <w:rPr>
                <w:color w:val="000000"/>
                <w:sz w:val="18"/>
                <w:szCs w:val="18"/>
                <w:lang w:val="uk-UA"/>
              </w:rPr>
              <w:lastRenderedPageBreak/>
              <w:t>2016</w:t>
            </w:r>
          </w:p>
        </w:tc>
        <w:tc>
          <w:tcPr>
            <w:tcW w:w="851" w:type="dxa"/>
            <w:vMerge w:val="restart"/>
          </w:tcPr>
          <w:p w:rsidR="00DF0CC7" w:rsidRPr="0067008B" w:rsidRDefault="00DF0CC7" w:rsidP="002525AB">
            <w:pPr>
              <w:jc w:val="center"/>
              <w:rPr>
                <w:color w:val="000000"/>
                <w:sz w:val="18"/>
                <w:szCs w:val="18"/>
              </w:rPr>
            </w:pPr>
            <w:r w:rsidRPr="0067008B">
              <w:rPr>
                <w:color w:val="000000"/>
                <w:sz w:val="18"/>
                <w:szCs w:val="18"/>
                <w:lang w:val="uk-UA"/>
              </w:rPr>
              <w:t>2025</w:t>
            </w:r>
          </w:p>
        </w:tc>
        <w:tc>
          <w:tcPr>
            <w:tcW w:w="1275" w:type="dxa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7500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1560" w:type="dxa"/>
            <w:vMerge w:val="restart"/>
          </w:tcPr>
          <w:p w:rsidR="00DF0CC7" w:rsidRPr="00D07D5A" w:rsidRDefault="00DF0CC7" w:rsidP="0067008B">
            <w:pPr>
              <w:rPr>
                <w:color w:val="000000"/>
                <w:sz w:val="18"/>
                <w:szCs w:val="18"/>
              </w:rPr>
            </w:pPr>
            <w:r w:rsidRPr="003208BF">
              <w:rPr>
                <w:color w:val="000000"/>
                <w:sz w:val="18"/>
                <w:szCs w:val="18"/>
              </w:rPr>
              <w:t xml:space="preserve">Упровадження автоматизованих пунктів спостережень за станом </w:t>
            </w:r>
            <w:proofErr w:type="gramStart"/>
            <w:r w:rsidRPr="003208BF">
              <w:rPr>
                <w:color w:val="000000"/>
                <w:sz w:val="18"/>
                <w:szCs w:val="18"/>
              </w:rPr>
              <w:t>атмосферного</w:t>
            </w:r>
            <w:proofErr w:type="gramEnd"/>
            <w:r w:rsidRPr="003208BF">
              <w:rPr>
                <w:color w:val="000000"/>
                <w:sz w:val="18"/>
                <w:szCs w:val="18"/>
              </w:rPr>
              <w:t xml:space="preserve"> повітря, в першу чергу на територіях із промислово навантаженою інфраструктурою  </w:t>
            </w:r>
          </w:p>
        </w:tc>
      </w:tr>
      <w:tr w:rsidR="00DF0CC7" w:rsidTr="0067008B">
        <w:trPr>
          <w:trHeight w:val="652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  <w:vAlign w:val="center"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Tr="0067008B">
        <w:trPr>
          <w:trHeight w:val="659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7500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1500</w:t>
            </w:r>
          </w:p>
        </w:tc>
        <w:tc>
          <w:tcPr>
            <w:tcW w:w="1560" w:type="dxa"/>
            <w:vMerge/>
            <w:vAlign w:val="center"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Tr="0067008B">
        <w:trPr>
          <w:trHeight w:val="664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6804" w:type="dxa"/>
            <w:gridSpan w:val="7"/>
            <w:vAlign w:val="center"/>
          </w:tcPr>
          <w:p w:rsidR="00DF0CC7" w:rsidRPr="0067008B" w:rsidRDefault="00DF0CC7" w:rsidP="0067008B">
            <w:pPr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в обсягах, передбачених у місцевих бюджетах</w:t>
            </w:r>
          </w:p>
        </w:tc>
        <w:tc>
          <w:tcPr>
            <w:tcW w:w="1560" w:type="dxa"/>
            <w:vMerge/>
            <w:vAlign w:val="center"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Tr="0067008B">
        <w:trPr>
          <w:trHeight w:val="812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Tr="0067008B">
        <w:trPr>
          <w:trHeight w:val="660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DF0CC7" w:rsidRPr="0067008B" w:rsidRDefault="00DF0CC7" w:rsidP="0067008B">
            <w:pPr>
              <w:ind w:right="-114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6.5. Організація та розбудова  мережі спостережень за станом поверхневих вод та підземних водоносних горизонтів, удосконалення спостережень за їх якісними показниками та гідрологічними умовами</w:t>
            </w:r>
          </w:p>
        </w:tc>
        <w:tc>
          <w:tcPr>
            <w:tcW w:w="1418" w:type="dxa"/>
            <w:vMerge w:val="restart"/>
          </w:tcPr>
          <w:p w:rsidR="00DF0CC7" w:rsidRDefault="00DF0CC7" w:rsidP="0067008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67008B">
              <w:rPr>
                <w:color w:val="000000"/>
                <w:sz w:val="18"/>
                <w:szCs w:val="18"/>
                <w:lang w:val="uk-UA"/>
              </w:rPr>
              <w:t>Департамент екології та природних ресурсів облдержадмі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 xml:space="preserve">ністрації, </w:t>
            </w:r>
            <w:r>
              <w:rPr>
                <w:color w:val="000000"/>
                <w:sz w:val="18"/>
                <w:szCs w:val="18"/>
                <w:lang w:val="uk-UA"/>
              </w:rPr>
              <w:t>комунальне підприємство „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Центр еколог</w:t>
            </w:r>
            <w:r>
              <w:rPr>
                <w:color w:val="000000"/>
                <w:sz w:val="18"/>
                <w:szCs w:val="18"/>
                <w:lang w:val="uk-UA"/>
              </w:rPr>
              <w:t>ічного моніторингу” Дніпропетро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в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ської обласної ради” (за згодою), Дніпропетров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 xml:space="preserve">ське обласне управління водних ресурсів (за 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lastRenderedPageBreak/>
              <w:t>згодою), департамент житлово-комунального господарства та будівництва облдержадмі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ністрації, райдержадмі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ністрації та органи місцевого самоврядуван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 xml:space="preserve">ня (за згодою), КП </w:t>
            </w:r>
            <w:r>
              <w:rPr>
                <w:color w:val="000000"/>
                <w:sz w:val="18"/>
                <w:szCs w:val="18"/>
                <w:lang w:val="uk-UA"/>
              </w:rPr>
              <w:t>„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Півден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укргеологія” (за згодою)</w:t>
            </w:r>
          </w:p>
          <w:p w:rsidR="00DF0CC7" w:rsidRPr="0067008B" w:rsidRDefault="00DF0CC7" w:rsidP="0067008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DF0CC7" w:rsidRPr="0067008B" w:rsidRDefault="00DF0CC7" w:rsidP="002525A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7008B">
              <w:rPr>
                <w:color w:val="000000"/>
                <w:sz w:val="18"/>
                <w:szCs w:val="18"/>
                <w:lang w:val="uk-UA"/>
              </w:rPr>
              <w:lastRenderedPageBreak/>
              <w:t>2016</w:t>
            </w:r>
          </w:p>
        </w:tc>
        <w:tc>
          <w:tcPr>
            <w:tcW w:w="851" w:type="dxa"/>
            <w:vMerge w:val="restart"/>
          </w:tcPr>
          <w:p w:rsidR="00DF0CC7" w:rsidRPr="0067008B" w:rsidRDefault="00DF0CC7" w:rsidP="002525AB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7008B">
              <w:rPr>
                <w:color w:val="000000"/>
                <w:sz w:val="18"/>
                <w:szCs w:val="18"/>
                <w:lang w:val="uk-UA"/>
              </w:rPr>
              <w:t>2025</w:t>
            </w:r>
          </w:p>
        </w:tc>
        <w:tc>
          <w:tcPr>
            <w:tcW w:w="1275" w:type="dxa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13650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2330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2360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2380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2390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2410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1780</w:t>
            </w:r>
          </w:p>
        </w:tc>
        <w:tc>
          <w:tcPr>
            <w:tcW w:w="1560" w:type="dxa"/>
            <w:vMerge w:val="restart"/>
          </w:tcPr>
          <w:p w:rsidR="00DF0CC7" w:rsidRPr="00FE3102" w:rsidRDefault="00DF0CC7" w:rsidP="002525AB">
            <w:pPr>
              <w:rPr>
                <w:color w:val="000000"/>
                <w:sz w:val="18"/>
                <w:szCs w:val="18"/>
                <w:lang w:val="uk-UA"/>
              </w:rPr>
            </w:pPr>
            <w:r w:rsidRPr="004D0E80">
              <w:rPr>
                <w:color w:val="000000"/>
                <w:sz w:val="18"/>
                <w:szCs w:val="18"/>
                <w:lang w:val="uk-UA"/>
              </w:rPr>
              <w:t>Розбудова мережі автоматизова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4D0E80">
              <w:rPr>
                <w:color w:val="000000"/>
                <w:sz w:val="18"/>
                <w:szCs w:val="18"/>
                <w:lang w:val="uk-UA"/>
              </w:rPr>
              <w:t>ного контролю за станом водних об’єктів, збільшення кількості спостережних свердловин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для</w:t>
            </w:r>
            <w:r w:rsidRPr="004D0E80">
              <w:rPr>
                <w:color w:val="000000"/>
                <w:sz w:val="18"/>
                <w:szCs w:val="18"/>
                <w:lang w:val="uk-UA"/>
              </w:rPr>
              <w:t xml:space="preserve"> здійсн</w:t>
            </w:r>
            <w:r>
              <w:rPr>
                <w:color w:val="000000"/>
                <w:sz w:val="18"/>
                <w:szCs w:val="18"/>
                <w:lang w:val="uk-UA"/>
              </w:rPr>
              <w:t>ення</w:t>
            </w:r>
            <w:r w:rsidRPr="004D0E80">
              <w:rPr>
                <w:color w:val="000000"/>
                <w:sz w:val="18"/>
                <w:szCs w:val="18"/>
                <w:lang w:val="uk-UA"/>
              </w:rPr>
              <w:t xml:space="preserve"> аналіз</w:t>
            </w:r>
            <w:r>
              <w:rPr>
                <w:color w:val="000000"/>
                <w:sz w:val="18"/>
                <w:szCs w:val="18"/>
                <w:lang w:val="uk-UA"/>
              </w:rPr>
              <w:t>у</w:t>
            </w:r>
            <w:r w:rsidRPr="004D0E80">
              <w:rPr>
                <w:color w:val="000000"/>
                <w:sz w:val="18"/>
                <w:szCs w:val="18"/>
                <w:lang w:val="uk-UA"/>
              </w:rPr>
              <w:t xml:space="preserve"> підземних водоносних горизонтів</w:t>
            </w:r>
          </w:p>
        </w:tc>
      </w:tr>
      <w:tr w:rsidR="00DF0CC7" w:rsidTr="0067008B">
        <w:trPr>
          <w:trHeight w:val="652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3650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330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360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380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390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410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1780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Tr="0067008B">
        <w:trPr>
          <w:trHeight w:val="659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10000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2000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Tr="0067008B">
        <w:trPr>
          <w:trHeight w:val="664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6804" w:type="dxa"/>
            <w:gridSpan w:val="7"/>
            <w:vAlign w:val="center"/>
          </w:tcPr>
          <w:p w:rsidR="00DF0CC7" w:rsidRPr="0067008B" w:rsidRDefault="00DF0CC7" w:rsidP="0067008B">
            <w:pPr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в обсягах, передбачених у місцевих бюджетах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Tr="0067008B">
        <w:trPr>
          <w:trHeight w:val="812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RPr="00DF0CC7" w:rsidTr="007C4963">
        <w:trPr>
          <w:trHeight w:val="566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DF0CC7" w:rsidRDefault="00DF0CC7" w:rsidP="0067008B">
            <w:pPr>
              <w:ind w:right="-114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 xml:space="preserve">6.6. Організація та вдосконалення системи контролю за станом зливових вод у населених </w:t>
            </w:r>
          </w:p>
          <w:p w:rsidR="00DF0CC7" w:rsidRPr="0067008B" w:rsidRDefault="00DF0CC7" w:rsidP="0067008B">
            <w:pPr>
              <w:ind w:right="-114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пунктах області</w:t>
            </w:r>
          </w:p>
        </w:tc>
        <w:tc>
          <w:tcPr>
            <w:tcW w:w="1418" w:type="dxa"/>
            <w:vMerge w:val="restart"/>
          </w:tcPr>
          <w:p w:rsidR="00DF0CC7" w:rsidRPr="0067008B" w:rsidRDefault="00DF0CC7" w:rsidP="002525AB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67008B">
              <w:rPr>
                <w:color w:val="000000"/>
                <w:sz w:val="18"/>
                <w:szCs w:val="18"/>
                <w:lang w:val="uk-UA"/>
              </w:rPr>
              <w:t>Департамент екології та природних ресурсів облдержадмі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ністрації, департамент житлово-комунального господарства та будівництва облдержадмі</w:t>
            </w:r>
            <w:r>
              <w:rPr>
                <w:color w:val="000000"/>
                <w:sz w:val="18"/>
                <w:szCs w:val="18"/>
                <w:lang w:val="uk-UA"/>
              </w:rPr>
              <w:t>-ністрації Дніпропетро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в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 xml:space="preserve">ське обласне управління водних ресурсів (за згодою), </w:t>
            </w:r>
            <w:r>
              <w:rPr>
                <w:color w:val="000000"/>
                <w:sz w:val="18"/>
                <w:szCs w:val="18"/>
                <w:lang w:val="uk-UA"/>
              </w:rPr>
              <w:t>комунальне підприємство „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Центр екологічного мон</w:t>
            </w:r>
            <w:r>
              <w:rPr>
                <w:color w:val="000000"/>
                <w:sz w:val="18"/>
                <w:szCs w:val="18"/>
                <w:lang w:val="uk-UA"/>
              </w:rPr>
              <w:t>іторингу” Дніпропетро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в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lastRenderedPageBreak/>
              <w:t>ської обласної ради” (за згодою), райдержадмі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 xml:space="preserve">ністрації та органи місцевого </w:t>
            </w:r>
            <w:r>
              <w:rPr>
                <w:color w:val="000000"/>
                <w:sz w:val="18"/>
                <w:szCs w:val="18"/>
                <w:lang w:val="uk-UA"/>
              </w:rPr>
              <w:t>самовряду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ван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ня (за згодою), установи, підприємства</w:t>
            </w:r>
            <w:r>
              <w:rPr>
                <w:color w:val="000000"/>
                <w:sz w:val="18"/>
                <w:szCs w:val="18"/>
                <w:lang w:val="uk-UA"/>
              </w:rPr>
              <w:t>,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 xml:space="preserve"> організації (за згодою)</w:t>
            </w:r>
          </w:p>
        </w:tc>
        <w:tc>
          <w:tcPr>
            <w:tcW w:w="850" w:type="dxa"/>
            <w:vMerge w:val="restart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  <w:r w:rsidRPr="0067008B">
              <w:rPr>
                <w:color w:val="000000"/>
                <w:sz w:val="18"/>
                <w:szCs w:val="18"/>
                <w:lang w:val="uk-UA"/>
              </w:rPr>
              <w:lastRenderedPageBreak/>
              <w:t>2016</w:t>
            </w:r>
          </w:p>
        </w:tc>
        <w:tc>
          <w:tcPr>
            <w:tcW w:w="851" w:type="dxa"/>
            <w:vMerge w:val="restart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  <w:r w:rsidRPr="0067008B">
              <w:rPr>
                <w:color w:val="000000"/>
                <w:sz w:val="18"/>
                <w:szCs w:val="18"/>
                <w:lang w:val="uk-UA"/>
              </w:rPr>
              <w:t>2025</w:t>
            </w:r>
          </w:p>
        </w:tc>
        <w:tc>
          <w:tcPr>
            <w:tcW w:w="1275" w:type="dxa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9000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560" w:type="dxa"/>
            <w:vMerge w:val="restart"/>
          </w:tcPr>
          <w:p w:rsidR="00DF0CC7" w:rsidRPr="00D07D5A" w:rsidRDefault="00DF0CC7" w:rsidP="002525A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Запобігання забрудненню</w:t>
            </w:r>
            <w:r w:rsidRPr="00045C3D">
              <w:rPr>
                <w:sz w:val="18"/>
                <w:szCs w:val="18"/>
                <w:lang w:val="uk-UA"/>
              </w:rPr>
              <w:t xml:space="preserve"> підземних водоносних горизонтів, що </w:t>
            </w:r>
            <w:r>
              <w:rPr>
                <w:sz w:val="18"/>
                <w:szCs w:val="18"/>
                <w:lang w:val="uk-UA"/>
              </w:rPr>
              <w:t>забруднюються аварійними скиданнями</w:t>
            </w:r>
            <w:r w:rsidRPr="00045C3D">
              <w:rPr>
                <w:sz w:val="18"/>
                <w:szCs w:val="18"/>
                <w:lang w:val="uk-UA"/>
              </w:rPr>
              <w:t xml:space="preserve"> з мереж зливових каналізацій</w:t>
            </w:r>
          </w:p>
        </w:tc>
      </w:tr>
      <w:tr w:rsidR="00DF0CC7" w:rsidTr="0067008B">
        <w:trPr>
          <w:trHeight w:val="652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Tr="0067008B">
        <w:trPr>
          <w:trHeight w:val="659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9000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1000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Tr="0067008B">
        <w:trPr>
          <w:trHeight w:val="664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6804" w:type="dxa"/>
            <w:gridSpan w:val="7"/>
            <w:vAlign w:val="center"/>
          </w:tcPr>
          <w:p w:rsidR="00DF0CC7" w:rsidRPr="0067008B" w:rsidRDefault="00DF0CC7" w:rsidP="0067008B">
            <w:pPr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в обсягах, передбачених у місцевих бюджетах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Tr="0067008B">
        <w:trPr>
          <w:trHeight w:val="812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RPr="006F3A6C" w:rsidTr="0067008B">
        <w:trPr>
          <w:trHeight w:val="660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DF0CC7" w:rsidRPr="0067008B" w:rsidRDefault="00DF0CC7" w:rsidP="0067008B">
            <w:pPr>
              <w:ind w:right="-114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6.7. Організація та вдосконалення  мережі спостережень за станом земельних ресурсів Дніпропетров</w:t>
            </w:r>
            <w:r>
              <w:rPr>
                <w:sz w:val="18"/>
                <w:szCs w:val="18"/>
                <w:lang w:val="uk-UA"/>
              </w:rPr>
              <w:t>-</w:t>
            </w:r>
            <w:r w:rsidRPr="0067008B">
              <w:rPr>
                <w:sz w:val="18"/>
                <w:szCs w:val="18"/>
                <w:lang w:val="uk-UA"/>
              </w:rPr>
              <w:t>ської області</w:t>
            </w:r>
          </w:p>
        </w:tc>
        <w:tc>
          <w:tcPr>
            <w:tcW w:w="1418" w:type="dxa"/>
            <w:vMerge w:val="restart"/>
          </w:tcPr>
          <w:p w:rsidR="00DF0CC7" w:rsidRDefault="00DF0CC7" w:rsidP="007C4963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67008B">
              <w:rPr>
                <w:color w:val="000000"/>
                <w:sz w:val="18"/>
                <w:szCs w:val="18"/>
                <w:lang w:val="uk-UA"/>
              </w:rPr>
              <w:t>Департамент екології та природних ресурсів облдержадмі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 xml:space="preserve">ністрації, </w:t>
            </w:r>
            <w:r>
              <w:rPr>
                <w:color w:val="000000"/>
                <w:sz w:val="18"/>
                <w:szCs w:val="18"/>
                <w:lang w:val="uk-UA"/>
              </w:rPr>
              <w:t>комунальне підприємство „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Центр еколог</w:t>
            </w:r>
            <w:r>
              <w:rPr>
                <w:color w:val="000000"/>
                <w:sz w:val="18"/>
                <w:szCs w:val="18"/>
                <w:lang w:val="uk-UA"/>
              </w:rPr>
              <w:t>ічного моніторингу” Дніпропетро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в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ської обласної ради” (за згодою), райдержадмі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ністрації та органи місцевого самоврядуван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ня  (за згодою), підприємства, установи</w:t>
            </w:r>
            <w:r>
              <w:rPr>
                <w:color w:val="000000"/>
                <w:sz w:val="18"/>
                <w:szCs w:val="18"/>
                <w:lang w:val="uk-UA"/>
              </w:rPr>
              <w:t>,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 xml:space="preserve"> організації (за згодою)</w:t>
            </w:r>
          </w:p>
          <w:p w:rsidR="00DF0CC7" w:rsidRPr="0067008B" w:rsidRDefault="00DF0CC7" w:rsidP="007C4963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  <w:r w:rsidRPr="0067008B">
              <w:rPr>
                <w:color w:val="000000"/>
                <w:sz w:val="18"/>
                <w:szCs w:val="18"/>
                <w:lang w:val="uk-UA"/>
              </w:rPr>
              <w:t>2016</w:t>
            </w:r>
          </w:p>
        </w:tc>
        <w:tc>
          <w:tcPr>
            <w:tcW w:w="851" w:type="dxa"/>
            <w:vMerge w:val="restart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  <w:r w:rsidRPr="0067008B">
              <w:rPr>
                <w:color w:val="000000"/>
                <w:sz w:val="18"/>
                <w:szCs w:val="18"/>
                <w:lang w:val="uk-UA"/>
              </w:rPr>
              <w:t>2025</w:t>
            </w:r>
          </w:p>
        </w:tc>
        <w:tc>
          <w:tcPr>
            <w:tcW w:w="1275" w:type="dxa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2500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 w:val="restart"/>
          </w:tcPr>
          <w:p w:rsidR="00DF0CC7" w:rsidRPr="00D07D5A" w:rsidRDefault="00DF0CC7" w:rsidP="0067008B">
            <w:pPr>
              <w:rPr>
                <w:sz w:val="18"/>
                <w:szCs w:val="18"/>
                <w:lang w:val="uk-UA"/>
              </w:rPr>
            </w:pPr>
            <w:r w:rsidRPr="001A0BBE">
              <w:rPr>
                <w:sz w:val="18"/>
                <w:szCs w:val="18"/>
                <w:lang w:val="uk-UA"/>
              </w:rPr>
              <w:t>Підвищення якості спостережень за станом ґрунтів області та запобігання їх забрудненню</w:t>
            </w:r>
          </w:p>
        </w:tc>
      </w:tr>
      <w:tr w:rsidR="00DF0CC7" w:rsidTr="0067008B">
        <w:trPr>
          <w:trHeight w:val="652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Tr="0067008B">
        <w:trPr>
          <w:trHeight w:val="659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2500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Tr="0067008B">
        <w:trPr>
          <w:trHeight w:val="664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6804" w:type="dxa"/>
            <w:gridSpan w:val="7"/>
            <w:vAlign w:val="center"/>
          </w:tcPr>
          <w:p w:rsidR="00DF0CC7" w:rsidRPr="0067008B" w:rsidRDefault="00DF0CC7" w:rsidP="0067008B">
            <w:pPr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в обсягах, передбачених у місцевих бюджетах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Tr="0067008B">
        <w:trPr>
          <w:trHeight w:val="812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RPr="006F3A6C" w:rsidTr="0067008B">
        <w:trPr>
          <w:trHeight w:val="660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DF0CC7" w:rsidRPr="0067008B" w:rsidRDefault="00DF0CC7" w:rsidP="0067008B">
            <w:pPr>
              <w:ind w:right="-114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 xml:space="preserve">6.8. Організація та вдосконалення системи </w:t>
            </w:r>
            <w:r w:rsidRPr="0067008B">
              <w:rPr>
                <w:sz w:val="18"/>
                <w:szCs w:val="18"/>
                <w:lang w:val="uk-UA"/>
              </w:rPr>
              <w:lastRenderedPageBreak/>
              <w:t>монітори</w:t>
            </w:r>
            <w:r>
              <w:rPr>
                <w:sz w:val="18"/>
                <w:szCs w:val="18"/>
                <w:lang w:val="uk-UA"/>
              </w:rPr>
              <w:t>нгу за станом об’єктів природно-</w:t>
            </w:r>
            <w:r w:rsidRPr="0067008B">
              <w:rPr>
                <w:sz w:val="18"/>
                <w:szCs w:val="18"/>
                <w:lang w:val="uk-UA"/>
              </w:rPr>
              <w:t>заповідного фонду, лісів та біорізноманіття</w:t>
            </w:r>
          </w:p>
        </w:tc>
        <w:tc>
          <w:tcPr>
            <w:tcW w:w="1418" w:type="dxa"/>
            <w:vMerge w:val="restart"/>
          </w:tcPr>
          <w:p w:rsidR="00DF0CC7" w:rsidRDefault="00DF0CC7" w:rsidP="007C4963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67008B">
              <w:rPr>
                <w:color w:val="000000"/>
                <w:sz w:val="18"/>
                <w:szCs w:val="18"/>
                <w:lang w:val="uk-UA"/>
              </w:rPr>
              <w:lastRenderedPageBreak/>
              <w:t xml:space="preserve">Департамент екології та природних 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lastRenderedPageBreak/>
              <w:t>ресурсів облдержадмі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 xml:space="preserve">ністрації, </w:t>
            </w:r>
            <w:r>
              <w:rPr>
                <w:color w:val="000000"/>
                <w:sz w:val="18"/>
                <w:szCs w:val="18"/>
                <w:lang w:val="uk-UA"/>
              </w:rPr>
              <w:t>к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 xml:space="preserve">омунальне підприємство </w:t>
            </w:r>
            <w:r>
              <w:rPr>
                <w:color w:val="000000"/>
                <w:sz w:val="18"/>
                <w:szCs w:val="18"/>
                <w:lang w:val="uk-UA"/>
              </w:rPr>
              <w:t>„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Центр еколог</w:t>
            </w:r>
            <w:r>
              <w:rPr>
                <w:color w:val="000000"/>
                <w:sz w:val="18"/>
                <w:szCs w:val="18"/>
                <w:lang w:val="uk-UA"/>
              </w:rPr>
              <w:t>ічного моніторингу” Дніпропетро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в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ської обласної ради” (за згодою), Дніпропетров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ське обласне управління лісового та мисливського господарства (за згодою), райдержадмі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 xml:space="preserve">ністрації та органи місцевого </w:t>
            </w:r>
            <w:r>
              <w:rPr>
                <w:color w:val="000000"/>
                <w:sz w:val="18"/>
                <w:szCs w:val="18"/>
                <w:lang w:val="uk-UA"/>
              </w:rPr>
              <w:t>самовряду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ван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ня (за згодою)</w:t>
            </w:r>
          </w:p>
          <w:p w:rsidR="00DF0CC7" w:rsidRPr="0067008B" w:rsidRDefault="00DF0CC7" w:rsidP="007C4963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  <w:r w:rsidRPr="0067008B">
              <w:rPr>
                <w:color w:val="000000"/>
                <w:sz w:val="18"/>
                <w:szCs w:val="18"/>
                <w:lang w:val="uk-UA"/>
              </w:rPr>
              <w:lastRenderedPageBreak/>
              <w:t>2016</w:t>
            </w:r>
          </w:p>
        </w:tc>
        <w:tc>
          <w:tcPr>
            <w:tcW w:w="851" w:type="dxa"/>
            <w:vMerge w:val="restart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  <w:r w:rsidRPr="0067008B">
              <w:rPr>
                <w:color w:val="000000"/>
                <w:sz w:val="18"/>
                <w:szCs w:val="18"/>
                <w:lang w:val="uk-UA"/>
              </w:rPr>
              <w:t>2025</w:t>
            </w:r>
          </w:p>
        </w:tc>
        <w:tc>
          <w:tcPr>
            <w:tcW w:w="1275" w:type="dxa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450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550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350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650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560" w:type="dxa"/>
            <w:vMerge w:val="restart"/>
          </w:tcPr>
          <w:p w:rsidR="00DF0CC7" w:rsidRPr="00D07D5A" w:rsidRDefault="00DF0CC7" w:rsidP="0067008B">
            <w:pPr>
              <w:rPr>
                <w:sz w:val="18"/>
                <w:szCs w:val="18"/>
                <w:lang w:val="uk-UA"/>
              </w:rPr>
            </w:pPr>
            <w:r w:rsidRPr="00C74EC4">
              <w:rPr>
                <w:sz w:val="18"/>
                <w:szCs w:val="18"/>
                <w:lang w:val="uk-UA"/>
              </w:rPr>
              <w:t xml:space="preserve">Підвищення якості спостережень за </w:t>
            </w:r>
            <w:r w:rsidRPr="00C74EC4">
              <w:rPr>
                <w:sz w:val="18"/>
                <w:szCs w:val="18"/>
                <w:lang w:val="uk-UA"/>
              </w:rPr>
              <w:lastRenderedPageBreak/>
              <w:t>станом об’єктів природно-заповідного фонду, лісів та біорізноманіття</w:t>
            </w:r>
          </w:p>
        </w:tc>
      </w:tr>
      <w:tr w:rsidR="00DF0CC7" w:rsidTr="0067008B">
        <w:trPr>
          <w:trHeight w:val="652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Tr="0067008B">
        <w:trPr>
          <w:trHeight w:val="659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450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550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350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650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3000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Tr="0067008B">
        <w:trPr>
          <w:trHeight w:val="664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6804" w:type="dxa"/>
            <w:gridSpan w:val="7"/>
            <w:vAlign w:val="center"/>
          </w:tcPr>
          <w:p w:rsidR="00DF0CC7" w:rsidRPr="0067008B" w:rsidRDefault="00DF0CC7" w:rsidP="0067008B">
            <w:pPr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в обсягах, передбачених у місцевих бюджетах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Tr="0067008B">
        <w:trPr>
          <w:trHeight w:val="812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RPr="006F3A6C" w:rsidTr="0067008B">
        <w:trPr>
          <w:trHeight w:val="660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DF0CC7" w:rsidRPr="0067008B" w:rsidRDefault="00DF0CC7" w:rsidP="0067008B">
            <w:pPr>
              <w:ind w:right="-114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6.9. Організація та вдосконалення системи моніторингу у сфері поводження з відходами</w:t>
            </w:r>
          </w:p>
        </w:tc>
        <w:tc>
          <w:tcPr>
            <w:tcW w:w="1418" w:type="dxa"/>
            <w:vMerge w:val="restart"/>
          </w:tcPr>
          <w:p w:rsidR="00DF0CC7" w:rsidRDefault="00DF0CC7" w:rsidP="007C4963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  <w:r w:rsidRPr="0067008B">
              <w:rPr>
                <w:color w:val="000000"/>
                <w:sz w:val="18"/>
                <w:szCs w:val="18"/>
                <w:lang w:val="uk-UA"/>
              </w:rPr>
              <w:t>Департамент екології та природних ресурсів облдержадмі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ністрації, департамент житлово-комунального господарства та будівництва облдержадмі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 xml:space="preserve">ністрації, </w:t>
            </w:r>
            <w:r>
              <w:rPr>
                <w:color w:val="000000"/>
                <w:sz w:val="18"/>
                <w:szCs w:val="18"/>
                <w:lang w:val="uk-UA"/>
              </w:rPr>
              <w:t>комунальне підприємство „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Центр еколог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ічного </w:t>
            </w:r>
            <w:r>
              <w:rPr>
                <w:color w:val="000000"/>
                <w:sz w:val="18"/>
                <w:szCs w:val="18"/>
                <w:lang w:val="uk-UA"/>
              </w:rPr>
              <w:lastRenderedPageBreak/>
              <w:t>моніторингу” Дніпропетро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в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ської обласної ради” (за згодою), райдержадмі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ністрації та органи місцевого самоврядуван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ня (за з</w:t>
            </w:r>
            <w:r>
              <w:rPr>
                <w:color w:val="000000"/>
                <w:sz w:val="18"/>
                <w:szCs w:val="18"/>
                <w:lang w:val="uk-UA"/>
              </w:rPr>
              <w:t>годою), підприємства, установи,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 xml:space="preserve"> організації (за згодою)</w:t>
            </w:r>
          </w:p>
          <w:p w:rsidR="00DF0CC7" w:rsidRPr="0067008B" w:rsidRDefault="00DF0CC7" w:rsidP="007C4963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  <w:r w:rsidRPr="0067008B">
              <w:rPr>
                <w:color w:val="000000"/>
                <w:sz w:val="18"/>
                <w:szCs w:val="18"/>
                <w:lang w:val="uk-UA"/>
              </w:rPr>
              <w:lastRenderedPageBreak/>
              <w:t>2016</w:t>
            </w:r>
          </w:p>
        </w:tc>
        <w:tc>
          <w:tcPr>
            <w:tcW w:w="851" w:type="dxa"/>
            <w:vMerge w:val="restart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  <w:r w:rsidRPr="0067008B">
              <w:rPr>
                <w:color w:val="000000"/>
                <w:sz w:val="18"/>
                <w:szCs w:val="18"/>
                <w:lang w:val="uk-UA"/>
              </w:rPr>
              <w:t>2025</w:t>
            </w:r>
          </w:p>
        </w:tc>
        <w:tc>
          <w:tcPr>
            <w:tcW w:w="1275" w:type="dxa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450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550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350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650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2500</w:t>
            </w:r>
          </w:p>
        </w:tc>
        <w:tc>
          <w:tcPr>
            <w:tcW w:w="1560" w:type="dxa"/>
            <w:vMerge w:val="restart"/>
          </w:tcPr>
          <w:p w:rsidR="00DF0CC7" w:rsidRPr="00D07D5A" w:rsidRDefault="00DF0CC7" w:rsidP="0067008B">
            <w:pPr>
              <w:rPr>
                <w:sz w:val="18"/>
                <w:szCs w:val="18"/>
                <w:lang w:val="uk-UA"/>
              </w:rPr>
            </w:pPr>
            <w:r w:rsidRPr="00C74EC4">
              <w:rPr>
                <w:sz w:val="18"/>
                <w:szCs w:val="18"/>
                <w:lang w:val="uk-UA"/>
              </w:rPr>
              <w:t>Підвищення якості управління у сфері поводження з промисловими відходами</w:t>
            </w:r>
          </w:p>
        </w:tc>
      </w:tr>
      <w:tr w:rsidR="00DF0CC7" w:rsidTr="0067008B">
        <w:trPr>
          <w:trHeight w:val="652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Tr="0067008B">
        <w:trPr>
          <w:trHeight w:val="659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450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550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350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650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500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2500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Tr="0067008B">
        <w:trPr>
          <w:trHeight w:val="664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6804" w:type="dxa"/>
            <w:gridSpan w:val="7"/>
            <w:vAlign w:val="center"/>
          </w:tcPr>
          <w:p w:rsidR="00DF0CC7" w:rsidRPr="0067008B" w:rsidRDefault="00DF0CC7" w:rsidP="0067008B">
            <w:pPr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в обсягах, передбачених у місцевих бюджетах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DF0CC7" w:rsidTr="0067008B">
        <w:trPr>
          <w:trHeight w:val="812"/>
        </w:trPr>
        <w:tc>
          <w:tcPr>
            <w:tcW w:w="1277" w:type="dxa"/>
            <w:vMerge/>
          </w:tcPr>
          <w:p w:rsidR="00DF0CC7" w:rsidRPr="0067008B" w:rsidRDefault="00DF0CC7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F0CC7" w:rsidRPr="0067008B" w:rsidRDefault="00DF0CC7" w:rsidP="006700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F0CC7" w:rsidRPr="0067008B" w:rsidRDefault="00DF0CC7" w:rsidP="0067008B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851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DF0CC7" w:rsidRPr="0067008B" w:rsidRDefault="00DF0CC7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DF0CC7" w:rsidRPr="00D07D5A" w:rsidRDefault="00DF0CC7" w:rsidP="0067008B">
            <w:pPr>
              <w:rPr>
                <w:lang w:val="uk-UA"/>
              </w:rPr>
            </w:pPr>
          </w:p>
        </w:tc>
      </w:tr>
      <w:tr w:rsidR="00A522AE" w:rsidRPr="00DF0CC7" w:rsidTr="00E5327E">
        <w:trPr>
          <w:trHeight w:val="812"/>
        </w:trPr>
        <w:tc>
          <w:tcPr>
            <w:tcW w:w="1277" w:type="dxa"/>
            <w:vMerge/>
          </w:tcPr>
          <w:p w:rsidR="00A522AE" w:rsidRPr="0067008B" w:rsidRDefault="00A522AE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A522AE" w:rsidRPr="00DF0CC7" w:rsidRDefault="00A522AE" w:rsidP="00DF0CC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6.10. Досліджен-ня стану Криворізького залізорудного басейну для запобігання виникнення на його території катастрофи техногенного та природного характеру</w:t>
            </w:r>
          </w:p>
        </w:tc>
        <w:tc>
          <w:tcPr>
            <w:tcW w:w="1418" w:type="dxa"/>
            <w:vMerge w:val="restart"/>
          </w:tcPr>
          <w:p w:rsidR="00A522AE" w:rsidRPr="00DF0CC7" w:rsidRDefault="00A522AE" w:rsidP="00DF0CC7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Департамент екології та природних ресурсів облдержадмі-ністрації, комунальне підприємство „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Центр еколог</w:t>
            </w:r>
            <w:r>
              <w:rPr>
                <w:color w:val="000000"/>
                <w:sz w:val="18"/>
                <w:szCs w:val="18"/>
                <w:lang w:val="uk-UA"/>
              </w:rPr>
              <w:t>ічного моніторингу” Дніпропетро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в</w:t>
            </w:r>
            <w:r>
              <w:rPr>
                <w:color w:val="000000"/>
                <w:sz w:val="18"/>
                <w:szCs w:val="18"/>
                <w:lang w:val="uk-UA"/>
              </w:rPr>
              <w:t>-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ської обласної ради” (за згодою),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виконавчий комітет Криворізької міської ради </w:t>
            </w:r>
            <w:r w:rsidRPr="0067008B">
              <w:rPr>
                <w:color w:val="000000"/>
                <w:sz w:val="18"/>
                <w:szCs w:val="18"/>
                <w:lang w:val="uk-UA"/>
              </w:rPr>
              <w:t>(за згодою)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, райдержадмі-ністрації та органи місцевого самоврядуван-ня (за згодою), підприємства, </w:t>
            </w:r>
            <w:r>
              <w:rPr>
                <w:color w:val="000000"/>
                <w:sz w:val="18"/>
                <w:szCs w:val="18"/>
                <w:lang w:val="uk-UA"/>
              </w:rPr>
              <w:lastRenderedPageBreak/>
              <w:t xml:space="preserve">установи і організації (за згодою) </w:t>
            </w:r>
          </w:p>
        </w:tc>
        <w:tc>
          <w:tcPr>
            <w:tcW w:w="850" w:type="dxa"/>
            <w:vMerge w:val="restart"/>
          </w:tcPr>
          <w:p w:rsidR="00A522AE" w:rsidRPr="00DF0CC7" w:rsidRDefault="00A522AE" w:rsidP="00A522AE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lastRenderedPageBreak/>
              <w:t>2016</w:t>
            </w:r>
          </w:p>
        </w:tc>
        <w:tc>
          <w:tcPr>
            <w:tcW w:w="851" w:type="dxa"/>
            <w:vMerge w:val="restart"/>
          </w:tcPr>
          <w:p w:rsidR="00A522AE" w:rsidRPr="00DF0CC7" w:rsidRDefault="00A522AE" w:rsidP="00A522AE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2025</w:t>
            </w:r>
          </w:p>
        </w:tc>
        <w:tc>
          <w:tcPr>
            <w:tcW w:w="1275" w:type="dxa"/>
          </w:tcPr>
          <w:p w:rsidR="00A522AE" w:rsidRPr="0067008B" w:rsidRDefault="00A522AE" w:rsidP="00201CC0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Загальний обсяг, у т.ч.</w:t>
            </w:r>
          </w:p>
        </w:tc>
        <w:tc>
          <w:tcPr>
            <w:tcW w:w="851" w:type="dxa"/>
            <w:vAlign w:val="center"/>
          </w:tcPr>
          <w:p w:rsidR="00A522AE" w:rsidRPr="0067008B" w:rsidRDefault="00A522AE" w:rsidP="007C49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40000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7C49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8000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7C49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8000</w:t>
            </w:r>
          </w:p>
        </w:tc>
        <w:tc>
          <w:tcPr>
            <w:tcW w:w="993" w:type="dxa"/>
            <w:vAlign w:val="center"/>
          </w:tcPr>
          <w:p w:rsidR="00A522AE" w:rsidRPr="0067008B" w:rsidRDefault="00A522AE" w:rsidP="007C49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8000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7C49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8000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7C49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8000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 w:val="restart"/>
          </w:tcPr>
          <w:p w:rsidR="00A522AE" w:rsidRPr="00A522AE" w:rsidRDefault="00A522AE" w:rsidP="0067008B">
            <w:pPr>
              <w:rPr>
                <w:sz w:val="18"/>
                <w:szCs w:val="18"/>
                <w:lang w:val="uk-UA"/>
              </w:rPr>
            </w:pPr>
            <w:r w:rsidRPr="00A522AE">
              <w:rPr>
                <w:sz w:val="18"/>
                <w:szCs w:val="18"/>
                <w:lang w:val="uk-UA"/>
              </w:rPr>
              <w:t>Підв</w:t>
            </w:r>
            <w:r>
              <w:rPr>
                <w:sz w:val="18"/>
                <w:szCs w:val="18"/>
                <w:lang w:val="uk-UA"/>
              </w:rPr>
              <w:t>ищення якості управління у сфері поводження з промисловими відходами</w:t>
            </w:r>
          </w:p>
        </w:tc>
      </w:tr>
      <w:tr w:rsidR="00A522AE" w:rsidRPr="00DF0CC7" w:rsidTr="00E5327E">
        <w:trPr>
          <w:trHeight w:val="812"/>
        </w:trPr>
        <w:tc>
          <w:tcPr>
            <w:tcW w:w="1277" w:type="dxa"/>
            <w:vMerge/>
          </w:tcPr>
          <w:p w:rsidR="00A522AE" w:rsidRPr="0067008B" w:rsidRDefault="00A522AE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A522AE" w:rsidRPr="00DF0CC7" w:rsidRDefault="00A522AE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A522AE" w:rsidRPr="00DF0CC7" w:rsidRDefault="00A522AE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522AE" w:rsidRPr="00DF0CC7" w:rsidRDefault="00A522AE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A522AE" w:rsidRPr="00DF0CC7" w:rsidRDefault="00A522AE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A522AE" w:rsidRPr="0067008B" w:rsidRDefault="00A522AE" w:rsidP="00201CC0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Державний бюджет</w:t>
            </w:r>
          </w:p>
        </w:tc>
        <w:tc>
          <w:tcPr>
            <w:tcW w:w="851" w:type="dxa"/>
            <w:vAlign w:val="center"/>
          </w:tcPr>
          <w:p w:rsidR="00A522AE" w:rsidRPr="0067008B" w:rsidRDefault="00A522AE" w:rsidP="007C49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20000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7C49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7C49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993" w:type="dxa"/>
            <w:vAlign w:val="center"/>
          </w:tcPr>
          <w:p w:rsidR="00A522AE" w:rsidRPr="0067008B" w:rsidRDefault="00A522AE" w:rsidP="007C49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7C49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7C49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7C4963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A522AE" w:rsidRPr="00D07D5A" w:rsidRDefault="00A522AE" w:rsidP="0067008B">
            <w:pPr>
              <w:rPr>
                <w:lang w:val="uk-UA"/>
              </w:rPr>
            </w:pPr>
          </w:p>
        </w:tc>
      </w:tr>
      <w:tr w:rsidR="00A522AE" w:rsidRPr="00DF0CC7" w:rsidTr="0067008B">
        <w:trPr>
          <w:trHeight w:val="812"/>
        </w:trPr>
        <w:tc>
          <w:tcPr>
            <w:tcW w:w="1277" w:type="dxa"/>
            <w:vMerge/>
          </w:tcPr>
          <w:p w:rsidR="00A522AE" w:rsidRPr="0067008B" w:rsidRDefault="00A522AE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A522AE" w:rsidRPr="00DF0CC7" w:rsidRDefault="00A522AE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A522AE" w:rsidRPr="00DF0CC7" w:rsidRDefault="00A522AE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522AE" w:rsidRPr="00DF0CC7" w:rsidRDefault="00A522AE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A522AE" w:rsidRPr="00DF0CC7" w:rsidRDefault="00A522AE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A522AE" w:rsidRPr="0067008B" w:rsidRDefault="00A522AE" w:rsidP="00201CC0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851" w:type="dxa"/>
            <w:vAlign w:val="center"/>
          </w:tcPr>
          <w:p w:rsidR="00A522AE" w:rsidRPr="0067008B" w:rsidRDefault="00A522AE" w:rsidP="00201CC0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201CC0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201CC0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A522AE" w:rsidRPr="0067008B" w:rsidRDefault="00A522AE" w:rsidP="00201CC0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201CC0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201CC0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201CC0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A522AE" w:rsidRPr="00D07D5A" w:rsidRDefault="00A522AE" w:rsidP="0067008B">
            <w:pPr>
              <w:rPr>
                <w:lang w:val="uk-UA"/>
              </w:rPr>
            </w:pPr>
          </w:p>
        </w:tc>
      </w:tr>
      <w:tr w:rsidR="00A522AE" w:rsidRPr="00DF0CC7" w:rsidTr="0067008B">
        <w:trPr>
          <w:trHeight w:val="812"/>
        </w:trPr>
        <w:tc>
          <w:tcPr>
            <w:tcW w:w="1277" w:type="dxa"/>
            <w:vMerge/>
          </w:tcPr>
          <w:p w:rsidR="00A522AE" w:rsidRPr="0067008B" w:rsidRDefault="00A522AE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A522AE" w:rsidRPr="00DF0CC7" w:rsidRDefault="00A522AE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A522AE" w:rsidRPr="00DF0CC7" w:rsidRDefault="00A522AE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522AE" w:rsidRPr="00DF0CC7" w:rsidRDefault="00A522AE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A522AE" w:rsidRPr="00DF0CC7" w:rsidRDefault="00A522AE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A522AE" w:rsidRPr="0067008B" w:rsidRDefault="00A522AE" w:rsidP="00201CC0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851" w:type="dxa"/>
            <w:vAlign w:val="center"/>
          </w:tcPr>
          <w:p w:rsidR="00A522AE" w:rsidRPr="0067008B" w:rsidRDefault="00A522AE" w:rsidP="007C49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20000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7C49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201C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993" w:type="dxa"/>
            <w:vAlign w:val="center"/>
          </w:tcPr>
          <w:p w:rsidR="00A522AE" w:rsidRPr="0067008B" w:rsidRDefault="00A522AE" w:rsidP="00201C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201C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201CC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4000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201CC0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A522AE" w:rsidRPr="00D07D5A" w:rsidRDefault="00A522AE" w:rsidP="0067008B">
            <w:pPr>
              <w:rPr>
                <w:lang w:val="uk-UA"/>
              </w:rPr>
            </w:pPr>
          </w:p>
        </w:tc>
      </w:tr>
      <w:tr w:rsidR="00A522AE" w:rsidRPr="00DF0CC7" w:rsidTr="0067008B">
        <w:trPr>
          <w:trHeight w:val="812"/>
        </w:trPr>
        <w:tc>
          <w:tcPr>
            <w:tcW w:w="1277" w:type="dxa"/>
            <w:vMerge/>
          </w:tcPr>
          <w:p w:rsidR="00A522AE" w:rsidRPr="0067008B" w:rsidRDefault="00A522AE" w:rsidP="0067008B">
            <w:pPr>
              <w:ind w:left="-97" w:right="-123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A522AE" w:rsidRPr="00DF0CC7" w:rsidRDefault="00A522AE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A522AE" w:rsidRPr="00DF0CC7" w:rsidRDefault="00A522AE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522AE" w:rsidRPr="00DF0CC7" w:rsidRDefault="00A522AE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A522AE" w:rsidRPr="00DF0CC7" w:rsidRDefault="00A522AE" w:rsidP="0067008B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A522AE" w:rsidRPr="0067008B" w:rsidRDefault="00A522AE" w:rsidP="00201CC0">
            <w:pPr>
              <w:rPr>
                <w:b/>
                <w:color w:val="000000"/>
                <w:sz w:val="18"/>
                <w:szCs w:val="18"/>
              </w:rPr>
            </w:pPr>
            <w:r w:rsidRPr="0067008B">
              <w:rPr>
                <w:b/>
                <w:color w:val="000000"/>
                <w:sz w:val="18"/>
                <w:szCs w:val="18"/>
                <w:lang w:val="uk-UA"/>
              </w:rPr>
              <w:t>Інші джерела</w:t>
            </w:r>
          </w:p>
        </w:tc>
        <w:tc>
          <w:tcPr>
            <w:tcW w:w="851" w:type="dxa"/>
            <w:vAlign w:val="center"/>
          </w:tcPr>
          <w:p w:rsidR="00A522AE" w:rsidRPr="0067008B" w:rsidRDefault="00A522AE" w:rsidP="00201CC0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201CC0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201CC0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3" w:type="dxa"/>
            <w:vAlign w:val="center"/>
          </w:tcPr>
          <w:p w:rsidR="00A522AE" w:rsidRPr="0067008B" w:rsidRDefault="00A522AE" w:rsidP="00201CC0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201CC0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201CC0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992" w:type="dxa"/>
            <w:vAlign w:val="center"/>
          </w:tcPr>
          <w:p w:rsidR="00A522AE" w:rsidRPr="0067008B" w:rsidRDefault="00A522AE" w:rsidP="00201CC0">
            <w:pPr>
              <w:jc w:val="center"/>
              <w:rPr>
                <w:sz w:val="18"/>
                <w:szCs w:val="18"/>
                <w:lang w:val="uk-UA"/>
              </w:rPr>
            </w:pPr>
            <w:r w:rsidRPr="0067008B"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60" w:type="dxa"/>
            <w:vMerge/>
          </w:tcPr>
          <w:p w:rsidR="00A522AE" w:rsidRPr="00D07D5A" w:rsidRDefault="00A522AE" w:rsidP="0067008B">
            <w:pPr>
              <w:rPr>
                <w:lang w:val="uk-UA"/>
              </w:rPr>
            </w:pPr>
          </w:p>
        </w:tc>
      </w:tr>
    </w:tbl>
    <w:p w:rsidR="009526D9" w:rsidRDefault="009526D9" w:rsidP="009526D9">
      <w:pPr>
        <w:spacing w:line="280" w:lineRule="exact"/>
        <w:jc w:val="both"/>
        <w:rPr>
          <w:spacing w:val="-6"/>
          <w:lang w:val="uk-UA"/>
        </w:rPr>
      </w:pPr>
    </w:p>
    <w:p w:rsidR="007C4963" w:rsidRPr="002B17C6" w:rsidRDefault="007C4963" w:rsidP="009526D9">
      <w:pPr>
        <w:spacing w:line="280" w:lineRule="exact"/>
        <w:jc w:val="both"/>
        <w:rPr>
          <w:spacing w:val="-6"/>
          <w:lang w:val="uk-UA"/>
        </w:rPr>
      </w:pPr>
    </w:p>
    <w:p w:rsidR="009526D9" w:rsidRPr="002B17C6" w:rsidRDefault="009526D9" w:rsidP="00E70A6C">
      <w:pPr>
        <w:spacing w:line="280" w:lineRule="exact"/>
        <w:ind w:left="851"/>
        <w:jc w:val="both"/>
        <w:rPr>
          <w:b/>
          <w:spacing w:val="-6"/>
          <w:lang w:val="uk-UA"/>
        </w:rPr>
      </w:pPr>
      <w:r w:rsidRPr="002B17C6">
        <w:rPr>
          <w:b/>
          <w:spacing w:val="-6"/>
          <w:lang w:val="uk-UA"/>
        </w:rPr>
        <w:t xml:space="preserve">Перший заступник </w:t>
      </w:r>
    </w:p>
    <w:p w:rsidR="009526D9" w:rsidRPr="002B17C6" w:rsidRDefault="009526D9" w:rsidP="00E70A6C">
      <w:pPr>
        <w:spacing w:line="280" w:lineRule="exact"/>
        <w:ind w:left="851"/>
        <w:jc w:val="both"/>
        <w:rPr>
          <w:b/>
          <w:spacing w:val="-6"/>
          <w:lang w:val="uk-UA"/>
        </w:rPr>
      </w:pPr>
      <w:r w:rsidRPr="002B17C6">
        <w:rPr>
          <w:b/>
          <w:spacing w:val="-6"/>
          <w:lang w:val="uk-UA"/>
        </w:rPr>
        <w:t>голови обласної ради</w:t>
      </w:r>
      <w:r w:rsidR="00912439">
        <w:rPr>
          <w:b/>
          <w:spacing w:val="-6"/>
          <w:lang w:val="uk-UA"/>
        </w:rPr>
        <w:tab/>
      </w:r>
      <w:r w:rsidR="00912439">
        <w:rPr>
          <w:b/>
          <w:spacing w:val="-6"/>
          <w:lang w:val="uk-UA"/>
        </w:rPr>
        <w:tab/>
      </w:r>
      <w:r w:rsidR="00912439">
        <w:rPr>
          <w:b/>
          <w:spacing w:val="-6"/>
          <w:lang w:val="uk-UA"/>
        </w:rPr>
        <w:tab/>
      </w:r>
      <w:r w:rsidR="00912439">
        <w:rPr>
          <w:b/>
          <w:spacing w:val="-6"/>
          <w:lang w:val="uk-UA"/>
        </w:rPr>
        <w:tab/>
      </w:r>
      <w:r w:rsidR="00912439">
        <w:rPr>
          <w:b/>
          <w:spacing w:val="-6"/>
          <w:lang w:val="uk-UA"/>
        </w:rPr>
        <w:tab/>
      </w:r>
      <w:r w:rsidR="00912439">
        <w:rPr>
          <w:b/>
          <w:spacing w:val="-6"/>
          <w:lang w:val="uk-UA"/>
        </w:rPr>
        <w:tab/>
      </w:r>
      <w:r w:rsidR="00912439">
        <w:rPr>
          <w:b/>
          <w:spacing w:val="-6"/>
          <w:lang w:val="uk-UA"/>
        </w:rPr>
        <w:tab/>
      </w:r>
      <w:r w:rsidR="00912439">
        <w:rPr>
          <w:b/>
          <w:spacing w:val="-6"/>
          <w:lang w:val="uk-UA"/>
        </w:rPr>
        <w:tab/>
      </w:r>
      <w:r w:rsidR="00912439">
        <w:rPr>
          <w:b/>
          <w:spacing w:val="-6"/>
          <w:lang w:val="uk-UA"/>
        </w:rPr>
        <w:tab/>
      </w:r>
      <w:r w:rsidR="00912439">
        <w:rPr>
          <w:b/>
          <w:spacing w:val="-6"/>
          <w:lang w:val="uk-UA"/>
        </w:rPr>
        <w:tab/>
      </w:r>
      <w:r w:rsidRPr="002B17C6">
        <w:rPr>
          <w:b/>
          <w:spacing w:val="-6"/>
          <w:lang w:val="uk-UA"/>
        </w:rPr>
        <w:t>С. ОЛІЙНИК</w:t>
      </w:r>
    </w:p>
    <w:p w:rsidR="009526D9" w:rsidRPr="002B17C6" w:rsidRDefault="009526D9" w:rsidP="009526D9">
      <w:pPr>
        <w:spacing w:line="280" w:lineRule="exact"/>
        <w:jc w:val="both"/>
        <w:rPr>
          <w:spacing w:val="-6"/>
          <w:lang w:val="uk-UA"/>
        </w:rPr>
        <w:sectPr w:rsidR="009526D9" w:rsidRPr="002B17C6" w:rsidSect="002B17C6">
          <w:headerReference w:type="default" r:id="rId7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81"/>
        </w:sectPr>
      </w:pPr>
    </w:p>
    <w:p w:rsidR="009526D9" w:rsidRPr="002B17C6" w:rsidRDefault="009526D9" w:rsidP="009526D9">
      <w:pPr>
        <w:ind w:left="6096"/>
        <w:jc w:val="both"/>
        <w:rPr>
          <w:spacing w:val="-6"/>
          <w:lang w:val="uk-UA"/>
        </w:rPr>
      </w:pPr>
      <w:r w:rsidRPr="002B17C6">
        <w:rPr>
          <w:spacing w:val="-6"/>
          <w:lang w:val="uk-UA"/>
        </w:rPr>
        <w:lastRenderedPageBreak/>
        <w:t xml:space="preserve">Додаток 2 </w:t>
      </w:r>
    </w:p>
    <w:p w:rsidR="009526D9" w:rsidRPr="002B17C6" w:rsidRDefault="009526D9" w:rsidP="009526D9">
      <w:pPr>
        <w:ind w:left="6096"/>
        <w:jc w:val="both"/>
        <w:rPr>
          <w:spacing w:val="-6"/>
          <w:lang w:val="uk-UA"/>
        </w:rPr>
      </w:pPr>
      <w:r w:rsidRPr="002B17C6">
        <w:rPr>
          <w:spacing w:val="-6"/>
          <w:lang w:val="uk-UA"/>
        </w:rPr>
        <w:t>до рішення обласної ради</w:t>
      </w:r>
    </w:p>
    <w:p w:rsidR="009526D9" w:rsidRPr="002B17C6" w:rsidRDefault="009526D9" w:rsidP="009526D9">
      <w:pPr>
        <w:pStyle w:val="1"/>
        <w:spacing w:after="0" w:line="320" w:lineRule="exact"/>
        <w:ind w:left="0"/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  <w:lang w:val="uk-UA"/>
        </w:rPr>
      </w:pPr>
    </w:p>
    <w:p w:rsidR="009526D9" w:rsidRPr="002B17C6" w:rsidRDefault="009526D9" w:rsidP="009526D9">
      <w:pPr>
        <w:pStyle w:val="1"/>
        <w:spacing w:after="0" w:line="320" w:lineRule="exac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26D9" w:rsidRPr="002B17C6" w:rsidRDefault="00912439" w:rsidP="009526D9">
      <w:pPr>
        <w:pStyle w:val="1"/>
        <w:spacing w:after="0" w:line="320" w:lineRule="exac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Зміни до </w:t>
      </w:r>
      <w:r w:rsidRPr="002B17C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паспорт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</w:p>
    <w:p w:rsidR="009526D9" w:rsidRPr="002B17C6" w:rsidRDefault="009526D9" w:rsidP="009526D9">
      <w:pPr>
        <w:spacing w:line="320" w:lineRule="exact"/>
        <w:jc w:val="center"/>
        <w:rPr>
          <w:b/>
          <w:bCs/>
          <w:lang w:val="uk-UA"/>
        </w:rPr>
      </w:pPr>
      <w:r w:rsidRPr="002B17C6">
        <w:rPr>
          <w:b/>
          <w:bCs/>
          <w:lang w:val="uk-UA"/>
        </w:rPr>
        <w:t>Дніпропетровської обласної комплексної програми (стратегії) екологічної безпеки та запобігання змінам клімату на 2016 – 2025 роки</w:t>
      </w:r>
    </w:p>
    <w:p w:rsidR="009526D9" w:rsidRPr="002B17C6" w:rsidRDefault="009526D9" w:rsidP="009526D9">
      <w:pPr>
        <w:rPr>
          <w:b/>
          <w:bCs/>
          <w:lang w:val="uk-UA"/>
        </w:rPr>
      </w:pPr>
    </w:p>
    <w:p w:rsidR="009526D9" w:rsidRPr="002B17C6" w:rsidRDefault="009526D9" w:rsidP="009526D9">
      <w:pPr>
        <w:tabs>
          <w:tab w:val="left" w:pos="709"/>
          <w:tab w:val="left" w:pos="1134"/>
        </w:tabs>
        <w:autoSpaceDE w:val="0"/>
        <w:autoSpaceDN w:val="0"/>
        <w:adjustRightInd w:val="0"/>
        <w:ind w:firstLine="710"/>
        <w:jc w:val="both"/>
        <w:rPr>
          <w:spacing w:val="-6"/>
          <w:lang w:val="uk-UA"/>
        </w:rPr>
      </w:pPr>
      <w:r w:rsidRPr="002B17C6">
        <w:rPr>
          <w:spacing w:val="-6"/>
          <w:lang w:val="uk-UA"/>
        </w:rPr>
        <w:t>5. Відповідальні за виконання: департамент екології та природних ресурсів облдержадміністрації, департамент житлово-комунального господарства та будівництва облдержадміністрації, управління агропромислового розвитку облдержадміністрації, управління паливно-енергетичного комплексу та енергозбереження облдержадміністрації, Дніпропетровське обласне управління водних ресурсів, територіальні органи центральних органів виконавчої влади, місцеві органи виконавчої влади, органи місцевого самоврядування, комунальні підприємства: „</w:t>
      </w:r>
      <w:r w:rsidRPr="002B17C6">
        <w:rPr>
          <w:color w:val="000000"/>
          <w:spacing w:val="-6"/>
          <w:lang w:val="uk-UA" w:eastAsia="en-US"/>
        </w:rPr>
        <w:t>Дніпропетровський обласний центр поводження з відходами” Дніпропетровської обласної ради</w:t>
      </w:r>
      <w:r w:rsidRPr="002B17C6">
        <w:rPr>
          <w:spacing w:val="-6"/>
          <w:lang w:val="uk-UA"/>
        </w:rPr>
        <w:t xml:space="preserve">”, </w:t>
      </w:r>
      <w:r w:rsidRPr="002B17C6">
        <w:rPr>
          <w:color w:val="000000"/>
          <w:spacing w:val="-6"/>
          <w:lang w:val="uk-UA"/>
        </w:rPr>
        <w:t>„Департамент екобезпеки, природокористування та енергозбереження</w:t>
      </w:r>
      <w:r w:rsidR="009F33D1">
        <w:rPr>
          <w:color w:val="000000"/>
          <w:spacing w:val="-6"/>
          <w:lang w:val="uk-UA"/>
        </w:rPr>
        <w:t>”</w:t>
      </w:r>
      <w:r w:rsidRPr="002B17C6">
        <w:rPr>
          <w:color w:val="000000"/>
          <w:spacing w:val="-6"/>
          <w:lang w:val="uk-UA"/>
        </w:rPr>
        <w:t xml:space="preserve"> Дніпропетровської обласної ради”,</w:t>
      </w:r>
      <w:r w:rsidR="009F33D1">
        <w:rPr>
          <w:color w:val="000000"/>
          <w:spacing w:val="-6"/>
          <w:lang w:val="uk-UA"/>
        </w:rPr>
        <w:t xml:space="preserve"> „</w:t>
      </w:r>
      <w:r w:rsidR="009F33D1" w:rsidRPr="00B32320">
        <w:rPr>
          <w:color w:val="000000"/>
          <w:lang w:val="uk-UA"/>
        </w:rPr>
        <w:t>Центр екологічного моніторингу” Дніпропетровської обласної ради</w:t>
      </w:r>
      <w:r w:rsidR="009F33D1">
        <w:rPr>
          <w:color w:val="000000"/>
          <w:lang w:val="uk-UA"/>
        </w:rPr>
        <w:t>”,</w:t>
      </w:r>
      <w:r w:rsidRPr="002B17C6">
        <w:rPr>
          <w:spacing w:val="-6"/>
          <w:lang w:val="uk-UA"/>
        </w:rPr>
        <w:t xml:space="preserve"> „Дніпроводоканал” ДМР”, „Кривбасводоканал”, КВП ДМР „Міськводоканал”, ДТЕК КРИВОРІЗЬКА ТЕС, ДТЕК ПРИДНІПРОВСЬКА ТЕС, П</w:t>
      </w:r>
      <w:r w:rsidR="00912439">
        <w:rPr>
          <w:spacing w:val="-6"/>
          <w:lang w:val="uk-UA"/>
        </w:rPr>
        <w:t>р</w:t>
      </w:r>
      <w:r w:rsidRPr="002B17C6">
        <w:rPr>
          <w:spacing w:val="-6"/>
          <w:lang w:val="uk-UA"/>
        </w:rPr>
        <w:t>АТ „ЄВРАЗ</w:t>
      </w:r>
      <w:r w:rsidR="00912439">
        <w:rPr>
          <w:spacing w:val="-6"/>
          <w:lang w:val="uk-UA"/>
        </w:rPr>
        <w:t xml:space="preserve"> ДМЗ</w:t>
      </w:r>
      <w:r w:rsidRPr="002B17C6">
        <w:rPr>
          <w:spacing w:val="-6"/>
          <w:lang w:val="uk-UA"/>
        </w:rPr>
        <w:t xml:space="preserve">”, ПАТ „Дніпровський меткомбінат”, ПАТ „АрселорМіттал Кривий Ріг”, ПАТ „ЄВРАЗ Дніпродзержинський коксохімічний завод”, ПАТ „ЄВРАЗ Баглійкокс”, ПАТ „ІНТЕРПАЙП Нижньодніпровський трубопрокатний завод”, ПАТ „Нікопольський завод феросплавів”, ПАТ „ПівдГЗК”, </w:t>
      </w:r>
      <w:r w:rsidR="00912439">
        <w:rPr>
          <w:spacing w:val="-6"/>
          <w:lang w:val="uk-UA"/>
        </w:rPr>
        <w:br/>
      </w:r>
      <w:r w:rsidRPr="002B17C6">
        <w:rPr>
          <w:spacing w:val="-6"/>
          <w:lang w:val="uk-UA"/>
        </w:rPr>
        <w:t xml:space="preserve">ПАТ „ПІВНГЗК”, ПАТ „ІнГЗК”, ПАТ „ЦГЗК”, ПАТ „ОГЗК”, ПАТ „МГЗК”, ПАТ „ЄВРАЗ СУХА БАЛКА”, ПАТ „ДТЕК ПАВЛОГРАДВУГІЛЛЯ”, </w:t>
      </w:r>
      <w:r w:rsidRPr="002B17C6">
        <w:rPr>
          <w:spacing w:val="-6"/>
          <w:lang w:val="uk-UA"/>
        </w:rPr>
        <w:br/>
        <w:t>ПАТ „ДНІПРОАЗОТ”, ПАТ „ХайдельбергЦементУкраїна”, ПАТ „Кри</w:t>
      </w:r>
      <w:r w:rsidR="00E70A6C">
        <w:rPr>
          <w:spacing w:val="-6"/>
          <w:lang w:val="uk-UA"/>
        </w:rPr>
        <w:t>вбас-залізрудком”, ТОВ „МЗ „</w:t>
      </w:r>
      <w:r w:rsidRPr="002B17C6">
        <w:rPr>
          <w:spacing w:val="-6"/>
          <w:lang w:val="uk-UA"/>
        </w:rPr>
        <w:t>Дніпросталь”, Філія „Вільногірський ГМК”, ДП „Об’єднана гірничо-хімічна компанія”.</w:t>
      </w:r>
    </w:p>
    <w:p w:rsidR="009526D9" w:rsidRPr="002B17C6" w:rsidRDefault="009526D9" w:rsidP="009526D9">
      <w:pPr>
        <w:rPr>
          <w:spacing w:val="-6"/>
          <w:lang w:val="uk-UA"/>
        </w:rPr>
      </w:pPr>
    </w:p>
    <w:p w:rsidR="009526D9" w:rsidRPr="002B17C6" w:rsidRDefault="009526D9" w:rsidP="009526D9">
      <w:pPr>
        <w:rPr>
          <w:lang w:val="uk-UA"/>
        </w:rPr>
      </w:pPr>
    </w:p>
    <w:p w:rsidR="009526D9" w:rsidRPr="002B17C6" w:rsidRDefault="009526D9" w:rsidP="009526D9">
      <w:pPr>
        <w:spacing w:line="280" w:lineRule="exact"/>
        <w:jc w:val="both"/>
        <w:rPr>
          <w:b/>
          <w:lang w:val="uk-UA"/>
        </w:rPr>
      </w:pPr>
      <w:r w:rsidRPr="002B17C6">
        <w:rPr>
          <w:b/>
          <w:lang w:val="uk-UA"/>
        </w:rPr>
        <w:t xml:space="preserve">Перший заступник </w:t>
      </w:r>
    </w:p>
    <w:p w:rsidR="009526D9" w:rsidRPr="002B17C6" w:rsidRDefault="009526D9" w:rsidP="009526D9">
      <w:pPr>
        <w:spacing w:line="280" w:lineRule="exact"/>
        <w:jc w:val="both"/>
        <w:rPr>
          <w:lang w:val="uk-UA"/>
        </w:rPr>
      </w:pPr>
      <w:r w:rsidRPr="002B17C6">
        <w:rPr>
          <w:b/>
          <w:lang w:val="uk-UA"/>
        </w:rPr>
        <w:t>голови обласної ради</w:t>
      </w:r>
      <w:r w:rsidRPr="002B17C6">
        <w:rPr>
          <w:lang w:val="uk-UA"/>
        </w:rPr>
        <w:tab/>
      </w:r>
      <w:r w:rsidRPr="002B17C6">
        <w:rPr>
          <w:lang w:val="uk-UA"/>
        </w:rPr>
        <w:tab/>
      </w:r>
      <w:r w:rsidRPr="002B17C6">
        <w:rPr>
          <w:lang w:val="uk-UA"/>
        </w:rPr>
        <w:tab/>
      </w:r>
      <w:r w:rsidRPr="002B17C6">
        <w:rPr>
          <w:lang w:val="uk-UA"/>
        </w:rPr>
        <w:tab/>
      </w:r>
      <w:r w:rsidRPr="002B17C6">
        <w:rPr>
          <w:lang w:val="uk-UA"/>
        </w:rPr>
        <w:tab/>
      </w:r>
      <w:r w:rsidRPr="002B17C6">
        <w:rPr>
          <w:lang w:val="uk-UA"/>
        </w:rPr>
        <w:tab/>
      </w:r>
      <w:r w:rsidRPr="002B17C6">
        <w:rPr>
          <w:lang w:val="uk-UA"/>
        </w:rPr>
        <w:tab/>
        <w:t xml:space="preserve">     </w:t>
      </w:r>
      <w:r w:rsidRPr="002B17C6">
        <w:rPr>
          <w:b/>
          <w:lang w:val="uk-UA"/>
        </w:rPr>
        <w:t>С. ОЛІЙНИК</w:t>
      </w:r>
    </w:p>
    <w:p w:rsidR="009526D9" w:rsidRPr="002B17C6" w:rsidRDefault="009526D9" w:rsidP="009526D9">
      <w:pPr>
        <w:rPr>
          <w:lang w:val="uk-UA"/>
        </w:rPr>
      </w:pPr>
    </w:p>
    <w:p w:rsidR="00A9078F" w:rsidRPr="002B17C6" w:rsidRDefault="00A9078F">
      <w:pPr>
        <w:rPr>
          <w:lang w:val="uk-UA"/>
        </w:rPr>
      </w:pPr>
    </w:p>
    <w:sectPr w:rsidR="00A9078F" w:rsidRPr="002B17C6" w:rsidSect="00912439">
      <w:headerReference w:type="default" r:id="rId8"/>
      <w:pgSz w:w="11906" w:h="16838"/>
      <w:pgMar w:top="1134" w:right="851" w:bottom="1134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C9" w:rsidRDefault="00B448C9" w:rsidP="002B17C6">
      <w:r>
        <w:separator/>
      </w:r>
    </w:p>
  </w:endnote>
  <w:endnote w:type="continuationSeparator" w:id="0">
    <w:p w:rsidR="00B448C9" w:rsidRDefault="00B448C9" w:rsidP="002B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C9" w:rsidRDefault="00B448C9" w:rsidP="002B17C6">
      <w:r>
        <w:separator/>
      </w:r>
    </w:p>
  </w:footnote>
  <w:footnote w:type="continuationSeparator" w:id="0">
    <w:p w:rsidR="00B448C9" w:rsidRDefault="00B448C9" w:rsidP="002B1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279303"/>
      <w:docPartObj>
        <w:docPartGallery w:val="Page Numbers (Top of Page)"/>
        <w:docPartUnique/>
      </w:docPartObj>
    </w:sdtPr>
    <w:sdtEndPr/>
    <w:sdtContent>
      <w:p w:rsidR="00DF0CC7" w:rsidRPr="002B17C6" w:rsidRDefault="00DF0CC7" w:rsidP="002B17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E95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095083"/>
      <w:docPartObj>
        <w:docPartGallery w:val="Page Numbers (Top of Page)"/>
        <w:docPartUnique/>
      </w:docPartObj>
    </w:sdtPr>
    <w:sdtEndPr/>
    <w:sdtContent>
      <w:p w:rsidR="00DF0CC7" w:rsidRPr="002B17C6" w:rsidRDefault="00DF0CC7" w:rsidP="002B17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D9"/>
    <w:rsid w:val="002525AB"/>
    <w:rsid w:val="002B17C6"/>
    <w:rsid w:val="00384DE8"/>
    <w:rsid w:val="003B2A0C"/>
    <w:rsid w:val="004251D3"/>
    <w:rsid w:val="004E76AF"/>
    <w:rsid w:val="0067008B"/>
    <w:rsid w:val="007C4963"/>
    <w:rsid w:val="008F545F"/>
    <w:rsid w:val="00912439"/>
    <w:rsid w:val="009526D9"/>
    <w:rsid w:val="009F33D1"/>
    <w:rsid w:val="00A522AE"/>
    <w:rsid w:val="00A64E95"/>
    <w:rsid w:val="00A9078F"/>
    <w:rsid w:val="00AC1DA9"/>
    <w:rsid w:val="00B448C9"/>
    <w:rsid w:val="00B90DE3"/>
    <w:rsid w:val="00BB43E1"/>
    <w:rsid w:val="00C7154A"/>
    <w:rsid w:val="00CC31DC"/>
    <w:rsid w:val="00CC546A"/>
    <w:rsid w:val="00DF0CC7"/>
    <w:rsid w:val="00E70A6C"/>
    <w:rsid w:val="00EB2F86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D9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526D9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B1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7C6"/>
    <w:rPr>
      <w:rFonts w:eastAsia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B1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7C6"/>
    <w:rPr>
      <w:rFonts w:eastAsia="Times New Roman" w:cs="Times New Roman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D9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526D9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B1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7C6"/>
    <w:rPr>
      <w:rFonts w:eastAsia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B1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7C6"/>
    <w:rPr>
      <w:rFonts w:eastAsia="Times New Roman" w:cs="Times New Roman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4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4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РАДА1</cp:lastModifiedBy>
  <cp:revision>8</cp:revision>
  <cp:lastPrinted>2016-11-24T10:31:00Z</cp:lastPrinted>
  <dcterms:created xsi:type="dcterms:W3CDTF">2016-11-11T09:39:00Z</dcterms:created>
  <dcterms:modified xsi:type="dcterms:W3CDTF">2016-12-07T08:47:00Z</dcterms:modified>
</cp:coreProperties>
</file>