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81" w:rsidRDefault="004D3181" w:rsidP="004D3181">
      <w:pPr>
        <w:spacing w:line="228" w:lineRule="auto"/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4D3181" w:rsidRDefault="004D3181" w:rsidP="004D3181">
      <w:pPr>
        <w:ind w:left="6372"/>
        <w:outlineLvl w:val="6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t xml:space="preserve">до рішення обласної ради </w:t>
      </w:r>
    </w:p>
    <w:p w:rsidR="004D3181" w:rsidRDefault="004D3181" w:rsidP="004D3181">
      <w:pPr>
        <w:jc w:val="center"/>
        <w:outlineLvl w:val="6"/>
        <w:rPr>
          <w:b/>
          <w:sz w:val="28"/>
          <w:szCs w:val="28"/>
          <w:lang w:val="uk-UA" w:eastAsia="x-none"/>
        </w:rPr>
      </w:pPr>
    </w:p>
    <w:p w:rsidR="004D3181" w:rsidRDefault="004D3181" w:rsidP="004D3181">
      <w:pPr>
        <w:jc w:val="center"/>
        <w:outlineLvl w:val="6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>ПАСПОРТ</w:t>
      </w:r>
    </w:p>
    <w:p w:rsidR="004D3181" w:rsidRDefault="004D3181" w:rsidP="004D318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регіональної Програми </w:t>
      </w:r>
      <w:r>
        <w:rPr>
          <w:b/>
          <w:sz w:val="28"/>
          <w:szCs w:val="28"/>
          <w:lang w:val="uk-UA"/>
        </w:rPr>
        <w:t>забезпечення громадського порядку та громадської безпеки на території Дніпропетровської області на період до 2020 року</w:t>
      </w:r>
    </w:p>
    <w:p w:rsidR="004D3181" w:rsidRDefault="004D3181" w:rsidP="004D3181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uk-UA"/>
        </w:rPr>
      </w:pPr>
    </w:p>
    <w:p w:rsidR="004D3181" w:rsidRDefault="004D3181" w:rsidP="004D3181">
      <w:pPr>
        <w:shd w:val="clear" w:color="auto" w:fill="FFFFFF"/>
        <w:spacing w:line="204" w:lineRule="auto"/>
        <w:ind w:right="-44"/>
        <w:rPr>
          <w:b/>
          <w:bCs/>
          <w:spacing w:val="-1"/>
          <w:sz w:val="8"/>
          <w:szCs w:val="8"/>
          <w:lang w:val="uk-UA"/>
        </w:rPr>
      </w:pPr>
    </w:p>
    <w:p w:rsidR="004D3181" w:rsidRDefault="004D3181" w:rsidP="004D3181">
      <w:pPr>
        <w:shd w:val="clear" w:color="auto" w:fill="FFFFFF"/>
        <w:tabs>
          <w:tab w:val="left" w:pos="1186"/>
        </w:tabs>
        <w:spacing w:line="228" w:lineRule="auto"/>
        <w:ind w:firstLine="65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ab/>
        <w:t xml:space="preserve">Назва: </w:t>
      </w:r>
      <w:r>
        <w:rPr>
          <w:sz w:val="28"/>
          <w:szCs w:val="28"/>
          <w:lang w:val="uk-UA"/>
        </w:rPr>
        <w:t>регіональна Програма забезпечення громадського порядку та громадської безпеки на території Дніпропетровської області на період до                       2020 року.</w:t>
      </w:r>
    </w:p>
    <w:p w:rsidR="004D3181" w:rsidRDefault="004D3181" w:rsidP="004D3181">
      <w:pPr>
        <w:spacing w:line="228" w:lineRule="auto"/>
        <w:ind w:firstLine="65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Підстава </w:t>
      </w:r>
      <w:r>
        <w:rPr>
          <w:sz w:val="28"/>
          <w:szCs w:val="28"/>
          <w:lang w:val="uk-UA"/>
        </w:rPr>
        <w:t xml:space="preserve">для розроблення: закони України </w:t>
      </w:r>
      <w:proofErr w:type="spellStart"/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місцеві державні адміністрації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,,Про участь громадян в охороні громадського порядку і державного кордону”</w:t>
      </w:r>
      <w:r>
        <w:rPr>
          <w:bCs/>
          <w:sz w:val="28"/>
          <w:szCs w:val="28"/>
          <w:lang w:val="uk-UA"/>
        </w:rPr>
        <w:t>, протокол засідання Державної комісії з питань техногенно-екологічної безпеки та надзвичайних ситуацій від 21 квітня                   2015 року  № 3</w:t>
      </w:r>
      <w:r>
        <w:rPr>
          <w:sz w:val="28"/>
          <w:szCs w:val="28"/>
          <w:lang w:val="uk-UA"/>
        </w:rPr>
        <w:t xml:space="preserve">. </w:t>
      </w:r>
    </w:p>
    <w:p w:rsidR="004D3181" w:rsidRDefault="004D3181" w:rsidP="004D3181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28" w:lineRule="auto"/>
        <w:ind w:firstLine="65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Регіональний замовник Програми або координатор: </w:t>
      </w:r>
      <w:r>
        <w:rPr>
          <w:sz w:val="28"/>
          <w:szCs w:val="28"/>
          <w:lang w:val="uk-UA"/>
        </w:rPr>
        <w:t xml:space="preserve">управління взаємодії з правоохоронними органами та оборонної роботи  облдержадміністрації. </w:t>
      </w:r>
    </w:p>
    <w:p w:rsidR="004D3181" w:rsidRDefault="004D3181" w:rsidP="004D3181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28" w:lineRule="auto"/>
        <w:ind w:firstLine="65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Співзамовники</w:t>
      </w:r>
      <w:proofErr w:type="spellEnd"/>
      <w:r>
        <w:rPr>
          <w:sz w:val="28"/>
          <w:szCs w:val="28"/>
          <w:lang w:val="uk-UA"/>
        </w:rPr>
        <w:t xml:space="preserve"> Програми: – .</w:t>
      </w:r>
    </w:p>
    <w:p w:rsidR="004D3181" w:rsidRDefault="004D3181" w:rsidP="004D3181">
      <w:pPr>
        <w:spacing w:line="228" w:lineRule="auto"/>
        <w:ind w:firstLine="65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Відповідальні за виконання: структурні підрозділи облдержадміністрації: </w:t>
      </w:r>
      <w:r>
        <w:rPr>
          <w:sz w:val="28"/>
          <w:szCs w:val="28"/>
          <w:lang w:val="uk-UA"/>
        </w:rPr>
        <w:t>департамент інформаційної діяльності та комунікацій з громадськістю,</w:t>
      </w:r>
      <w:r>
        <w:rPr>
          <w:bCs/>
          <w:sz w:val="28"/>
          <w:szCs w:val="28"/>
          <w:lang w:val="uk-UA"/>
        </w:rPr>
        <w:t xml:space="preserve"> служба у справах дітей, д</w:t>
      </w:r>
      <w:r>
        <w:rPr>
          <w:sz w:val="28"/>
          <w:szCs w:val="28"/>
          <w:lang w:val="uk-UA"/>
        </w:rPr>
        <w:t>епартамент економічного розвитку,</w:t>
      </w:r>
      <w:r>
        <w:rPr>
          <w:bCs/>
          <w:sz w:val="28"/>
          <w:szCs w:val="28"/>
          <w:lang w:val="uk-UA"/>
        </w:rPr>
        <w:t xml:space="preserve"> департамент освіти і науки, управління молоді і спорту; райдержадміністрації; прокуратура Дніпропетровської області, управління Служби безпеки України у Дніпропетровській області, Головне управління Національної поліції в Дніпропетровській області, військова частина 3036 Національної гвардії України, Управління патрульної поліції у м. Дніпрі Департаменту патрульної поліції Національної поліції України, Управління патрульної поліції у                            м. Кривому Розі Департаменту патрульної поліції Національної поліції України, </w:t>
      </w:r>
      <w:r w:rsidR="00BD4A58" w:rsidRPr="00BD4A58">
        <w:rPr>
          <w:bCs/>
          <w:iCs/>
          <w:sz w:val="28"/>
          <w:szCs w:val="28"/>
          <w:lang w:val="uk-UA"/>
        </w:rPr>
        <w:t>Управління захисту економіки в Дніпропетровській області Департаменту захисту економіки Національної поліції України</w:t>
      </w:r>
      <w:r>
        <w:rPr>
          <w:bCs/>
          <w:sz w:val="28"/>
          <w:szCs w:val="28"/>
          <w:lang w:val="uk-UA"/>
        </w:rPr>
        <w:t>, Дніпропетровський державний університет внутрішніх справ, виконавчі комітети місцевих рад (за згодою).</w:t>
      </w:r>
    </w:p>
    <w:p w:rsidR="004D3181" w:rsidRDefault="004D3181" w:rsidP="004D3181">
      <w:pPr>
        <w:spacing w:line="228" w:lineRule="auto"/>
        <w:ind w:firstLine="65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Мета</w:t>
      </w:r>
      <w:r>
        <w:rPr>
          <w:sz w:val="28"/>
          <w:szCs w:val="28"/>
          <w:lang w:val="uk-UA"/>
        </w:rPr>
        <w:t xml:space="preserve">: підвищення рівня довіри населення до роботи правоохоронних органів, </w:t>
      </w:r>
      <w:r>
        <w:rPr>
          <w:bCs/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 xml:space="preserve">громадського порядку та громадської безпеки на території Дніпропетровської області шляхом здійснення заходів із профілактики правопорушень, протидії злочинності, усунення причин і умов, що спричинили вчинення протиправних дій, та поліпшення стану криміногенної ситуації в області. </w:t>
      </w:r>
    </w:p>
    <w:p w:rsidR="004D3181" w:rsidRDefault="004D3181" w:rsidP="004D318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28" w:lineRule="auto"/>
        <w:ind w:firstLine="65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Початок – </w:t>
      </w:r>
      <w:r>
        <w:rPr>
          <w:sz w:val="28"/>
          <w:szCs w:val="28"/>
          <w:lang w:val="uk-UA"/>
        </w:rPr>
        <w:t xml:space="preserve">березень 2016 року, </w:t>
      </w:r>
      <w:r>
        <w:rPr>
          <w:bCs/>
          <w:sz w:val="28"/>
          <w:szCs w:val="28"/>
          <w:lang w:val="uk-UA"/>
        </w:rPr>
        <w:t xml:space="preserve">закінчення – </w:t>
      </w:r>
      <w:r>
        <w:rPr>
          <w:sz w:val="28"/>
          <w:szCs w:val="28"/>
          <w:lang w:val="uk-UA"/>
        </w:rPr>
        <w:t>грудень 2020 року.</w:t>
      </w:r>
    </w:p>
    <w:p w:rsidR="004D3181" w:rsidRDefault="004D3181" w:rsidP="004D318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28" w:lineRule="auto"/>
        <w:ind w:firstLine="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Етапи виконання: Програма виконується в один етап.</w:t>
      </w:r>
    </w:p>
    <w:p w:rsidR="004D3181" w:rsidRDefault="004D3181" w:rsidP="004D3181">
      <w:pPr>
        <w:spacing w:line="228" w:lineRule="auto"/>
        <w:ind w:firstLine="65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9. Загальні обсяги фінансування за рахунок коштів обласного бюджету та інших джерел, не заборонених чинним законодавством: </w:t>
      </w:r>
    </w:p>
    <w:p w:rsidR="004D3181" w:rsidRDefault="004D3181" w:rsidP="004D3181">
      <w:pPr>
        <w:spacing w:after="120" w:line="228" w:lineRule="auto"/>
        <w:ind w:firstLine="65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</w:p>
    <w:p w:rsidR="004D3181" w:rsidRDefault="004D3181" w:rsidP="004D3181">
      <w:pPr>
        <w:spacing w:after="120" w:line="228" w:lineRule="auto"/>
        <w:ind w:firstLine="650"/>
        <w:jc w:val="both"/>
        <w:rPr>
          <w:bCs/>
          <w:sz w:val="28"/>
          <w:szCs w:val="28"/>
          <w:lang w:val="uk-UA"/>
        </w:rPr>
      </w:pPr>
    </w:p>
    <w:p w:rsidR="004D3181" w:rsidRDefault="004D3181" w:rsidP="004D3181">
      <w:pPr>
        <w:spacing w:after="120" w:line="228" w:lineRule="auto"/>
        <w:ind w:firstLine="650"/>
        <w:jc w:val="both"/>
        <w:rPr>
          <w:bCs/>
          <w:sz w:val="28"/>
          <w:szCs w:val="28"/>
          <w:lang w:val="uk-UA"/>
        </w:rPr>
      </w:pPr>
    </w:p>
    <w:tbl>
      <w:tblPr>
        <w:tblW w:w="94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0"/>
        <w:gridCol w:w="1690"/>
        <w:gridCol w:w="1133"/>
        <w:gridCol w:w="1133"/>
        <w:gridCol w:w="1133"/>
        <w:gridCol w:w="1133"/>
        <w:gridCol w:w="1133"/>
      </w:tblGrid>
      <w:tr w:rsidR="004D3181" w:rsidTr="004D3181">
        <w:trPr>
          <w:cantSplit/>
          <w:trHeight w:hRule="exact" w:val="355"/>
        </w:trPr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ind w:left="18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Джерела</w:t>
            </w:r>
          </w:p>
          <w:p w:rsidR="004D3181" w:rsidRDefault="004D318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фінансування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81" w:rsidRDefault="004D318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Обсяг фінансування,</w:t>
            </w:r>
          </w:p>
          <w:p w:rsidR="004D3181" w:rsidRDefault="004D318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  <w:p w:rsidR="004D3181" w:rsidRDefault="004D318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4D3181" w:rsidRDefault="004D318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181" w:rsidRDefault="004D318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За  роками  виконання,  тис.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4D3181" w:rsidTr="004D3181">
        <w:trPr>
          <w:cantSplit/>
          <w:trHeight w:hRule="exact" w:val="369"/>
        </w:trPr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181" w:rsidRDefault="004D318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181" w:rsidRDefault="004D318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181" w:rsidRDefault="004D318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2016 рік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181" w:rsidRDefault="004D318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181" w:rsidRDefault="004D318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2018 рік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181" w:rsidRDefault="004D318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181" w:rsidRDefault="004D318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2020 рік</w:t>
            </w:r>
          </w:p>
        </w:tc>
      </w:tr>
      <w:tr w:rsidR="004D3181" w:rsidTr="004D3181">
        <w:trPr>
          <w:trHeight w:hRule="exact" w:val="427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81" w:rsidRDefault="004D3181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Державний бюджет</w:t>
            </w:r>
          </w:p>
          <w:p w:rsidR="004D3181" w:rsidRDefault="004D3181">
            <w:pPr>
              <w:shd w:val="clear" w:color="auto" w:fill="FFFFFF"/>
              <w:rPr>
                <w:b/>
                <w:bCs/>
                <w:sz w:val="8"/>
                <w:szCs w:val="8"/>
                <w:lang w:val="uk-UA"/>
              </w:rPr>
            </w:pPr>
          </w:p>
          <w:p w:rsidR="004D3181" w:rsidRDefault="004D3181">
            <w:pPr>
              <w:shd w:val="clear" w:color="auto" w:fill="FFFFFF"/>
              <w:rPr>
                <w:b/>
                <w:bCs/>
                <w:sz w:val="8"/>
                <w:szCs w:val="8"/>
                <w:lang w:val="uk-UA"/>
              </w:rPr>
            </w:pPr>
          </w:p>
          <w:p w:rsidR="004D3181" w:rsidRDefault="004D3181">
            <w:pPr>
              <w:shd w:val="clear" w:color="auto" w:fill="FFFFFF"/>
              <w:rPr>
                <w:b/>
                <w:bCs/>
                <w:sz w:val="8"/>
                <w:szCs w:val="8"/>
                <w:lang w:val="uk-UA"/>
              </w:rPr>
            </w:pPr>
          </w:p>
          <w:p w:rsidR="004D3181" w:rsidRDefault="004D3181">
            <w:pPr>
              <w:shd w:val="clear" w:color="auto" w:fill="FFFFFF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81" w:rsidRDefault="004D318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81" w:rsidRDefault="004D318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81" w:rsidRDefault="004D318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81" w:rsidRDefault="004D318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81" w:rsidRDefault="004D318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81" w:rsidRDefault="004D318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D3181" w:rsidTr="004D3181">
        <w:trPr>
          <w:trHeight w:hRule="exact" w:val="356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 w:rsidP="00BD4A5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BD4A58">
              <w:rPr>
                <w:b/>
                <w:sz w:val="18"/>
                <w:szCs w:val="18"/>
                <w:lang w:val="uk-UA"/>
              </w:rPr>
              <w:t>96</w:t>
            </w:r>
            <w:r>
              <w:rPr>
                <w:b/>
                <w:sz w:val="18"/>
                <w:szCs w:val="18"/>
                <w:lang w:val="uk-UA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BD4A5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114</w:t>
            </w:r>
            <w:r w:rsidR="004D3181">
              <w:rPr>
                <w:b/>
                <w:sz w:val="18"/>
                <w:szCs w:val="18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2059</w:t>
            </w:r>
          </w:p>
        </w:tc>
      </w:tr>
      <w:tr w:rsidR="004D3181" w:rsidTr="004D3181">
        <w:trPr>
          <w:trHeight w:hRule="exact" w:val="480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11736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11736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11636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11606</w:t>
            </w:r>
          </w:p>
        </w:tc>
      </w:tr>
      <w:tr w:rsidR="004D3181" w:rsidTr="004D3181">
        <w:trPr>
          <w:trHeight w:hRule="exact" w:val="352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D3181" w:rsidTr="004D3181">
        <w:trPr>
          <w:trHeight w:hRule="exact" w:val="360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BD4A5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935</w:t>
            </w:r>
            <w:r w:rsidR="004D3181">
              <w:rPr>
                <w:b/>
                <w:sz w:val="18"/>
                <w:szCs w:val="18"/>
                <w:lang w:val="uk-UA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29235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BD4A58" w:rsidP="00BD4A5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4D3181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="004D3181">
              <w:rPr>
                <w:b/>
                <w:sz w:val="18"/>
                <w:szCs w:val="18"/>
                <w:lang w:val="uk-UA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81" w:rsidRDefault="004D318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13665</w:t>
            </w:r>
          </w:p>
        </w:tc>
      </w:tr>
    </w:tbl>
    <w:p w:rsidR="004D3181" w:rsidRDefault="004D3181" w:rsidP="004D3181">
      <w:pPr>
        <w:shd w:val="clear" w:color="auto" w:fill="FFFFFF"/>
        <w:ind w:firstLine="720"/>
        <w:jc w:val="center"/>
        <w:rPr>
          <w:bCs/>
          <w:sz w:val="16"/>
          <w:szCs w:val="16"/>
          <w:lang w:val="uk-UA"/>
        </w:rPr>
      </w:pPr>
    </w:p>
    <w:p w:rsidR="004D3181" w:rsidRDefault="004D3181" w:rsidP="004D3181">
      <w:pPr>
        <w:shd w:val="clear" w:color="auto" w:fill="FFFFFF"/>
        <w:tabs>
          <w:tab w:val="left" w:pos="1186"/>
        </w:tabs>
        <w:spacing w:line="264" w:lineRule="auto"/>
        <w:ind w:firstLine="65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10. Очікувані кінцеві результати виконання заходів регіональної Програми.</w:t>
      </w:r>
    </w:p>
    <w:p w:rsidR="004D3181" w:rsidRDefault="004D3181" w:rsidP="004D3181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2468"/>
        <w:gridCol w:w="1039"/>
        <w:gridCol w:w="910"/>
        <w:gridCol w:w="780"/>
        <w:gridCol w:w="780"/>
        <w:gridCol w:w="780"/>
        <w:gridCol w:w="780"/>
        <w:gridCol w:w="780"/>
      </w:tblGrid>
      <w:tr w:rsidR="004D3181" w:rsidTr="004D3181">
        <w:trPr>
          <w:cantSplit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1" w:rsidRDefault="004D3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Напрями показників Програми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1" w:rsidRDefault="004D3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Найменування показників виконання Програми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1" w:rsidRDefault="004D3181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4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1" w:rsidRDefault="004D3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Значення показника</w:t>
            </w:r>
          </w:p>
        </w:tc>
      </w:tr>
      <w:tr w:rsidR="004D3181" w:rsidTr="004D3181">
        <w:trPr>
          <w:cantSplit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1" w:rsidRDefault="004D318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1" w:rsidRDefault="004D318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1" w:rsidRDefault="004D318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1" w:rsidRDefault="004D318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1" w:rsidRDefault="004D318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2016 рік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1" w:rsidRDefault="004D318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1" w:rsidRDefault="004D318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2018 рік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1" w:rsidRDefault="004D318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1" w:rsidRDefault="004D318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2020 рік</w:t>
            </w:r>
          </w:p>
        </w:tc>
      </w:tr>
      <w:tr w:rsidR="004D3181" w:rsidTr="004D3181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1" w:rsidRDefault="004D31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соціальні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1" w:rsidRDefault="004D3181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Оперативне реагування правоохоронними органами на вчинене правопорушення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1" w:rsidRDefault="004D31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хвилини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1" w:rsidRDefault="004D318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10 хв.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1" w:rsidRDefault="004D318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10 хв.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1" w:rsidRDefault="004D318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10 хв.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1" w:rsidRDefault="004D318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10 хв.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1" w:rsidRDefault="004D318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10 хв.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1" w:rsidRDefault="004D318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10 хв.</w:t>
            </w:r>
          </w:p>
        </w:tc>
      </w:tr>
    </w:tbl>
    <w:p w:rsidR="004D3181" w:rsidRDefault="004D3181" w:rsidP="004D3181">
      <w:pPr>
        <w:shd w:val="clear" w:color="auto" w:fill="FFFFFF"/>
        <w:ind w:firstLine="655"/>
        <w:jc w:val="both"/>
        <w:rPr>
          <w:bCs/>
          <w:sz w:val="16"/>
          <w:szCs w:val="16"/>
          <w:lang w:val="uk-UA"/>
        </w:rPr>
      </w:pPr>
    </w:p>
    <w:p w:rsidR="004D3181" w:rsidRDefault="004D3181" w:rsidP="004D3181">
      <w:pPr>
        <w:shd w:val="clear" w:color="auto" w:fill="FFFFFF"/>
        <w:tabs>
          <w:tab w:val="left" w:pos="1040"/>
        </w:tabs>
        <w:ind w:firstLine="65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11. Координацію роботи щодо виконання Програми здійснює у</w:t>
      </w:r>
      <w:r>
        <w:rPr>
          <w:sz w:val="28"/>
          <w:szCs w:val="28"/>
          <w:lang w:val="uk-UA"/>
        </w:rPr>
        <w:t xml:space="preserve">правління </w:t>
      </w:r>
      <w:r>
        <w:rPr>
          <w:bCs/>
          <w:sz w:val="28"/>
          <w:szCs w:val="28"/>
          <w:lang w:val="uk-UA"/>
        </w:rPr>
        <w:t xml:space="preserve">взаємодії з правоохоронними органами та оборонної роботи облдержадміністрації, контроль – постійна комісія обласної ради з питань забезпечення правоохоронної діяльності. </w:t>
      </w:r>
    </w:p>
    <w:p w:rsidR="004D3181" w:rsidRDefault="004D3181" w:rsidP="004D3181">
      <w:pPr>
        <w:shd w:val="clear" w:color="auto" w:fill="FFFFFF"/>
        <w:tabs>
          <w:tab w:val="left" w:pos="1040"/>
        </w:tabs>
        <w:ind w:firstLine="65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Строки надання звітності: щокварталу до 15 числа місяця, що настає за звітним періодом, звіти надаються до обласної ради та облдержадміністрації. </w:t>
      </w:r>
    </w:p>
    <w:p w:rsidR="004D3181" w:rsidRDefault="004D3181" w:rsidP="004D3181">
      <w:pPr>
        <w:rPr>
          <w:b/>
          <w:bCs/>
          <w:iCs/>
          <w:sz w:val="28"/>
          <w:szCs w:val="28"/>
          <w:lang w:val="uk-UA"/>
        </w:rPr>
      </w:pPr>
    </w:p>
    <w:p w:rsidR="004D3181" w:rsidRDefault="004D3181" w:rsidP="004D3181">
      <w:pPr>
        <w:rPr>
          <w:b/>
          <w:bCs/>
          <w:iCs/>
          <w:sz w:val="28"/>
          <w:szCs w:val="28"/>
          <w:lang w:val="uk-UA"/>
        </w:rPr>
      </w:pPr>
    </w:p>
    <w:p w:rsidR="004D3181" w:rsidRDefault="004D3181" w:rsidP="004D3181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Перший з</w:t>
      </w:r>
      <w:r w:rsidRPr="00E6375F">
        <w:rPr>
          <w:b/>
          <w:bCs/>
          <w:iCs/>
          <w:sz w:val="28"/>
          <w:szCs w:val="28"/>
          <w:lang w:val="uk-UA"/>
        </w:rPr>
        <w:t xml:space="preserve">аступник </w:t>
      </w:r>
    </w:p>
    <w:p w:rsidR="004D3181" w:rsidRDefault="004D3181" w:rsidP="004D3181">
      <w:pPr>
        <w:rPr>
          <w:b/>
          <w:bCs/>
          <w:iCs/>
          <w:sz w:val="28"/>
          <w:szCs w:val="28"/>
          <w:lang w:val="uk-UA"/>
        </w:rPr>
      </w:pPr>
      <w:r w:rsidRPr="00E6375F">
        <w:rPr>
          <w:b/>
          <w:bCs/>
          <w:iCs/>
          <w:sz w:val="28"/>
          <w:szCs w:val="28"/>
          <w:lang w:val="uk-UA"/>
        </w:rPr>
        <w:t>голови обласної ради</w:t>
      </w:r>
      <w:r>
        <w:rPr>
          <w:b/>
          <w:bCs/>
          <w:iCs/>
          <w:sz w:val="28"/>
          <w:szCs w:val="28"/>
          <w:lang w:val="uk-UA"/>
        </w:rPr>
        <w:t xml:space="preserve">                                                          С. ОЛІЙНИК</w:t>
      </w:r>
    </w:p>
    <w:p w:rsidR="008302A0" w:rsidRPr="004D3181" w:rsidRDefault="008302A0">
      <w:pPr>
        <w:rPr>
          <w:lang w:val="uk-UA"/>
        </w:rPr>
      </w:pPr>
    </w:p>
    <w:sectPr w:rsidR="008302A0" w:rsidRPr="004D3181" w:rsidSect="004D3181">
      <w:headerReference w:type="default" r:id="rId7"/>
      <w:pgSz w:w="11906" w:h="16838"/>
      <w:pgMar w:top="851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24" w:rsidRDefault="00DF4224" w:rsidP="004D3181">
      <w:r>
        <w:separator/>
      </w:r>
    </w:p>
  </w:endnote>
  <w:endnote w:type="continuationSeparator" w:id="0">
    <w:p w:rsidR="00DF4224" w:rsidRDefault="00DF4224" w:rsidP="004D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24" w:rsidRDefault="00DF4224" w:rsidP="004D3181">
      <w:r>
        <w:separator/>
      </w:r>
    </w:p>
  </w:footnote>
  <w:footnote w:type="continuationSeparator" w:id="0">
    <w:p w:rsidR="00DF4224" w:rsidRDefault="00DF4224" w:rsidP="004D3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17950"/>
      <w:docPartObj>
        <w:docPartGallery w:val="Page Numbers (Top of Page)"/>
        <w:docPartUnique/>
      </w:docPartObj>
    </w:sdtPr>
    <w:sdtEndPr/>
    <w:sdtContent>
      <w:p w:rsidR="004D3181" w:rsidRDefault="004D31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A58">
          <w:rPr>
            <w:noProof/>
          </w:rPr>
          <w:t>2</w:t>
        </w:r>
        <w:r>
          <w:fldChar w:fldCharType="end"/>
        </w:r>
      </w:p>
    </w:sdtContent>
  </w:sdt>
  <w:p w:rsidR="004D3181" w:rsidRDefault="004D31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DD"/>
    <w:rsid w:val="004D3181"/>
    <w:rsid w:val="008302A0"/>
    <w:rsid w:val="008342DD"/>
    <w:rsid w:val="00B44F62"/>
    <w:rsid w:val="00BD4A58"/>
    <w:rsid w:val="00DE7E51"/>
    <w:rsid w:val="00D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18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1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318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1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18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18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1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318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1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18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</cp:lastModifiedBy>
  <cp:revision>4</cp:revision>
  <cp:lastPrinted>2017-03-16T08:55:00Z</cp:lastPrinted>
  <dcterms:created xsi:type="dcterms:W3CDTF">2017-03-16T08:50:00Z</dcterms:created>
  <dcterms:modified xsi:type="dcterms:W3CDTF">2017-03-21T11:50:00Z</dcterms:modified>
</cp:coreProperties>
</file>