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76" w:rsidRPr="0030492B" w:rsidRDefault="00473D76" w:rsidP="00473D76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492B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473D76" w:rsidRPr="0030492B" w:rsidRDefault="00473D76" w:rsidP="00473D76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 w:eastAsia="ru-RU"/>
        </w:rPr>
      </w:pPr>
      <w:r w:rsidRPr="0030492B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473D76" w:rsidRDefault="00473D76" w:rsidP="00473D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3D76" w:rsidRPr="00A35F57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>ПАСПОРТ</w:t>
      </w:r>
    </w:p>
    <w:p w:rsidR="00473D76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регіональної цільової програми</w:t>
      </w:r>
    </w:p>
    <w:p w:rsidR="00473D76" w:rsidRPr="00A35F57" w:rsidRDefault="00473D76" w:rsidP="00473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3D76" w:rsidRPr="00A35F57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1. Назва: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Програма створення та використання матеріальних резервів для запобігання і ліквідації наслідків надзвичайних ситуацій  у Дніпропетровській області до 2022 року.</w:t>
      </w:r>
    </w:p>
    <w:p w:rsidR="00473D76" w:rsidRPr="0030492B" w:rsidRDefault="00473D76" w:rsidP="00473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3D76">
        <w:rPr>
          <w:rFonts w:ascii="Times New Roman" w:hAnsi="Times New Roman"/>
          <w:sz w:val="28"/>
          <w:szCs w:val="28"/>
          <w:lang w:val="uk-UA" w:eastAsia="ru-RU"/>
        </w:rPr>
        <w:t>2. Підстава для розроблення: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Кодекс цивільного захисту України;</w:t>
      </w:r>
      <w:r w:rsidRPr="0030492B">
        <w:rPr>
          <w:rFonts w:ascii="Times New Roman" w:hAnsi="Times New Roman"/>
          <w:sz w:val="28"/>
          <w:szCs w:val="28"/>
          <w:lang w:val="uk-UA" w:eastAsia="ru-RU"/>
        </w:rPr>
        <w:t xml:space="preserve">  Бюджетни</w:t>
      </w:r>
      <w:r>
        <w:rPr>
          <w:rFonts w:ascii="Times New Roman" w:hAnsi="Times New Roman"/>
          <w:sz w:val="28"/>
          <w:szCs w:val="28"/>
          <w:lang w:val="uk-UA" w:eastAsia="ru-RU"/>
        </w:rPr>
        <w:t>й кодекс України, Закон України ,,</w:t>
      </w:r>
      <w:r w:rsidRPr="0030492B">
        <w:rPr>
          <w:rFonts w:ascii="Times New Roman" w:hAnsi="Times New Roman"/>
          <w:sz w:val="28"/>
          <w:szCs w:val="28"/>
          <w:lang w:val="uk-UA" w:eastAsia="ru-RU"/>
        </w:rPr>
        <w:t>Про місцеві державні адміністрації”, Постанов</w:t>
      </w:r>
      <w:r>
        <w:rPr>
          <w:rFonts w:ascii="Times New Roman" w:hAnsi="Times New Roman"/>
          <w:sz w:val="28"/>
          <w:szCs w:val="28"/>
          <w:lang w:val="uk-UA" w:eastAsia="ru-RU"/>
        </w:rPr>
        <w:t>а Кабінету Міністрів України від 30 вересня 2015 року № 775 ,,</w:t>
      </w:r>
      <w:r w:rsidRPr="0030492B">
        <w:rPr>
          <w:rFonts w:ascii="Times New Roman" w:hAnsi="Times New Roman"/>
          <w:sz w:val="28"/>
          <w:szCs w:val="28"/>
          <w:lang w:val="uk-UA" w:eastAsia="ru-RU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ситуацій”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73D76" w:rsidRPr="00A35F57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3. Регіональний замовник Програми або координатор: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цивільного захисту Дніпропетровської обласної державної адміністрації.</w:t>
      </w:r>
    </w:p>
    <w:p w:rsidR="00473D76" w:rsidRPr="00A35F57" w:rsidRDefault="00473D76" w:rsidP="00473D7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473D76">
        <w:rPr>
          <w:rFonts w:ascii="Times New Roman" w:hAnsi="Times New Roman"/>
          <w:sz w:val="28"/>
          <w:szCs w:val="28"/>
          <w:lang w:val="uk-UA" w:eastAsia="ru-RU"/>
        </w:rPr>
        <w:t>Співзамовники</w:t>
      </w:r>
      <w:proofErr w:type="spellEnd"/>
      <w:r w:rsidRPr="00473D76">
        <w:rPr>
          <w:rFonts w:ascii="Times New Roman" w:hAnsi="Times New Roman"/>
          <w:sz w:val="28"/>
          <w:szCs w:val="28"/>
          <w:lang w:val="uk-UA" w:eastAsia="ru-RU"/>
        </w:rPr>
        <w:t xml:space="preserve"> Програми: 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відсутні.</w:t>
      </w:r>
    </w:p>
    <w:p w:rsidR="00473D76" w:rsidRPr="00A35F57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5. Відповідальні за виконання: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управління цивільного захисту Дніпропетровської обласної державної адміністрації.</w:t>
      </w:r>
    </w:p>
    <w:p w:rsidR="00473D76" w:rsidRPr="00A35F57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6. Мета: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та природного характеру з найменшими фінансовими витратами.</w:t>
      </w:r>
    </w:p>
    <w:p w:rsidR="00473D76" w:rsidRPr="00473D76" w:rsidRDefault="00473D76" w:rsidP="00473D7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7. Початок: 2003 рік, закінчення: 2022 рік.</w:t>
      </w:r>
    </w:p>
    <w:p w:rsidR="00473D76" w:rsidRPr="00A35F57" w:rsidRDefault="00473D76" w:rsidP="00473D7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8. Етапи виконання: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програма виконується у ІV етапи: </w:t>
      </w:r>
    </w:p>
    <w:p w:rsidR="00473D76" w:rsidRDefault="00473D76" w:rsidP="00473D76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І етап: 2003 – 2007 роки;</w:t>
      </w:r>
    </w:p>
    <w:p w:rsidR="00B74BB7" w:rsidRPr="00B74BB7" w:rsidRDefault="00B74BB7" w:rsidP="00473D76">
      <w:pPr>
        <w:spacing w:after="0" w:line="240" w:lineRule="auto"/>
        <w:ind w:left="1560"/>
        <w:rPr>
          <w:rFonts w:ascii="Times New Roman" w:hAnsi="Times New Roman"/>
          <w:sz w:val="16"/>
          <w:szCs w:val="16"/>
          <w:lang w:val="uk-UA" w:eastAsia="ru-RU"/>
        </w:rPr>
      </w:pPr>
    </w:p>
    <w:p w:rsidR="00473D76" w:rsidRDefault="00473D76" w:rsidP="00473D76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ІІ етап: 2008 – 2012 роки;</w:t>
      </w:r>
    </w:p>
    <w:p w:rsidR="00B74BB7" w:rsidRPr="00B74BB7" w:rsidRDefault="00B74BB7" w:rsidP="00473D76">
      <w:pPr>
        <w:spacing w:after="0" w:line="240" w:lineRule="auto"/>
        <w:ind w:left="1560"/>
        <w:rPr>
          <w:rFonts w:ascii="Times New Roman" w:hAnsi="Times New Roman"/>
          <w:sz w:val="16"/>
          <w:szCs w:val="16"/>
          <w:lang w:val="uk-UA" w:eastAsia="ru-RU"/>
        </w:rPr>
      </w:pPr>
    </w:p>
    <w:p w:rsidR="00473D76" w:rsidRDefault="00473D76" w:rsidP="00473D76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>ІІІ етап: 2013 – 2017 роки;</w:t>
      </w:r>
    </w:p>
    <w:p w:rsidR="00B74BB7" w:rsidRPr="00B74BB7" w:rsidRDefault="00B74BB7" w:rsidP="00473D76">
      <w:pPr>
        <w:spacing w:after="0" w:line="240" w:lineRule="auto"/>
        <w:ind w:left="1560"/>
        <w:rPr>
          <w:rFonts w:ascii="Times New Roman" w:hAnsi="Times New Roman"/>
          <w:sz w:val="16"/>
          <w:szCs w:val="16"/>
          <w:lang w:val="uk-UA" w:eastAsia="ru-RU"/>
        </w:rPr>
      </w:pPr>
    </w:p>
    <w:p w:rsidR="00473D76" w:rsidRPr="00A35F57" w:rsidRDefault="00473D76" w:rsidP="00473D76">
      <w:pPr>
        <w:spacing w:after="0" w:line="240" w:lineRule="auto"/>
        <w:ind w:left="1560"/>
        <w:rPr>
          <w:rFonts w:ascii="Times New Roman" w:hAnsi="Times New Roman"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ІV етап: 2018 – 2022 роки.       </w:t>
      </w:r>
    </w:p>
    <w:p w:rsidR="00B74BB7" w:rsidRDefault="00B74BB7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73D76" w:rsidRPr="00473D76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9. Загальні обсяги фінансування:</w:t>
      </w:r>
    </w:p>
    <w:p w:rsidR="00473D76" w:rsidRPr="00A35F57" w:rsidRDefault="00473D76" w:rsidP="00473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657"/>
        <w:gridCol w:w="1036"/>
        <w:gridCol w:w="760"/>
        <w:gridCol w:w="744"/>
        <w:gridCol w:w="744"/>
        <w:gridCol w:w="744"/>
        <w:gridCol w:w="744"/>
        <w:gridCol w:w="912"/>
        <w:gridCol w:w="912"/>
      </w:tblGrid>
      <w:tr w:rsidR="00473D76" w:rsidRPr="00A35F57" w:rsidTr="00473D76">
        <w:tc>
          <w:tcPr>
            <w:tcW w:w="1602" w:type="dxa"/>
            <w:vMerge w:val="restart"/>
          </w:tcPr>
          <w:p w:rsidR="00473D76" w:rsidRPr="00473D76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473D76">
              <w:rPr>
                <w:rFonts w:ascii="Times New Roman" w:hAnsi="Times New Roman"/>
                <w:b/>
                <w:lang w:val="uk-UA" w:eastAsia="ru-RU"/>
              </w:rPr>
              <w:t>Джерела фінансування</w:t>
            </w:r>
          </w:p>
        </w:tc>
        <w:tc>
          <w:tcPr>
            <w:tcW w:w="1657" w:type="dxa"/>
            <w:vMerge w:val="restart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Обсяг фінансування, усього</w:t>
            </w:r>
          </w:p>
        </w:tc>
        <w:tc>
          <w:tcPr>
            <w:tcW w:w="6596" w:type="dxa"/>
            <w:gridSpan w:val="8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За рока</w:t>
            </w:r>
            <w:r>
              <w:rPr>
                <w:rFonts w:ascii="Times New Roman" w:hAnsi="Times New Roman"/>
                <w:b/>
                <w:lang w:val="uk-UA" w:eastAsia="ru-RU"/>
              </w:rPr>
              <w:t>ми</w:t>
            </w:r>
            <w:r w:rsidRPr="00A35F57">
              <w:rPr>
                <w:rFonts w:ascii="Times New Roman" w:hAnsi="Times New Roman"/>
                <w:b/>
                <w:lang w:val="uk-UA" w:eastAsia="ru-RU"/>
              </w:rPr>
              <w:t xml:space="preserve"> виконання, тис. </w:t>
            </w:r>
            <w:proofErr w:type="spellStart"/>
            <w:r w:rsidRPr="00A35F57">
              <w:rPr>
                <w:rFonts w:ascii="Times New Roman" w:hAnsi="Times New Roman"/>
                <w:b/>
                <w:lang w:val="uk-UA" w:eastAsia="ru-RU"/>
              </w:rPr>
              <w:t>грн</w:t>
            </w:r>
            <w:proofErr w:type="spellEnd"/>
          </w:p>
        </w:tc>
      </w:tr>
      <w:tr w:rsidR="00473D76" w:rsidRPr="00A35F57" w:rsidTr="00473D76">
        <w:tc>
          <w:tcPr>
            <w:tcW w:w="1602" w:type="dxa"/>
            <w:vMerge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57" w:type="dxa"/>
            <w:vMerge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36" w:type="dxa"/>
            <w:vMerge w:val="restart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Усього за І та ІІ етапи (2003</w:t>
            </w:r>
            <w:r>
              <w:rPr>
                <w:rFonts w:ascii="Times New Roman" w:hAnsi="Times New Roman"/>
                <w:b/>
                <w:lang w:val="uk-UA" w:eastAsia="ru-RU"/>
              </w:rPr>
              <w:t xml:space="preserve"> – </w:t>
            </w:r>
            <w:r w:rsidRPr="00A35F57">
              <w:rPr>
                <w:rFonts w:ascii="Times New Roman" w:hAnsi="Times New Roman"/>
                <w:b/>
                <w:lang w:val="uk-UA" w:eastAsia="ru-RU"/>
              </w:rPr>
              <w:t>2012)</w:t>
            </w:r>
          </w:p>
        </w:tc>
        <w:tc>
          <w:tcPr>
            <w:tcW w:w="3736" w:type="dxa"/>
            <w:gridSpan w:val="5"/>
          </w:tcPr>
          <w:p w:rsidR="00473D76" w:rsidRPr="00A35F57" w:rsidRDefault="00473D76" w:rsidP="00473D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</w:t>
            </w:r>
            <w:r w:rsidRPr="00A35F57">
              <w:rPr>
                <w:rFonts w:ascii="Times New Roman" w:hAnsi="Times New Roman"/>
                <w:lang w:val="uk-UA" w:eastAsia="ru-RU"/>
              </w:rPr>
              <w:t xml:space="preserve"> рока</w:t>
            </w:r>
            <w:r>
              <w:rPr>
                <w:rFonts w:ascii="Times New Roman" w:hAnsi="Times New Roman"/>
                <w:lang w:val="uk-UA" w:eastAsia="ru-RU"/>
              </w:rPr>
              <w:t>ми</w:t>
            </w:r>
            <w:r w:rsidRPr="00A35F57">
              <w:rPr>
                <w:rFonts w:ascii="Times New Roman" w:hAnsi="Times New Roman"/>
                <w:lang w:val="uk-UA" w:eastAsia="ru-RU"/>
              </w:rPr>
              <w:t xml:space="preserve"> за ІІІ етап</w:t>
            </w:r>
          </w:p>
        </w:tc>
        <w:tc>
          <w:tcPr>
            <w:tcW w:w="912" w:type="dxa"/>
            <w:vMerge w:val="restart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Усього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ІІІ етап</w:t>
            </w:r>
          </w:p>
        </w:tc>
        <w:tc>
          <w:tcPr>
            <w:tcW w:w="912" w:type="dxa"/>
            <w:vMerge w:val="restart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Усього  IV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етап</w:t>
            </w:r>
          </w:p>
        </w:tc>
      </w:tr>
      <w:tr w:rsidR="00473D76" w:rsidRPr="00A35F57" w:rsidTr="00473D76">
        <w:tc>
          <w:tcPr>
            <w:tcW w:w="1602" w:type="dxa"/>
            <w:vMerge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57" w:type="dxa"/>
            <w:vMerge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36" w:type="dxa"/>
            <w:vMerge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60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35F5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744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35F57"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744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35F57">
              <w:rPr>
                <w:rFonts w:ascii="Times New Roman" w:hAnsi="Times New Roman"/>
                <w:lang w:val="uk-UA" w:eastAsia="ru-RU"/>
              </w:rPr>
              <w:t>2015</w:t>
            </w:r>
          </w:p>
        </w:tc>
        <w:tc>
          <w:tcPr>
            <w:tcW w:w="744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35F57">
              <w:rPr>
                <w:rFonts w:ascii="Times New Roman" w:hAnsi="Times New Roman"/>
                <w:lang w:val="uk-UA" w:eastAsia="ru-RU"/>
              </w:rPr>
              <w:t>2016</w:t>
            </w:r>
          </w:p>
        </w:tc>
        <w:tc>
          <w:tcPr>
            <w:tcW w:w="744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35F57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912" w:type="dxa"/>
            <w:vMerge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912" w:type="dxa"/>
            <w:vMerge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473D76" w:rsidRPr="00A35F57" w:rsidTr="00473D76">
        <w:tc>
          <w:tcPr>
            <w:tcW w:w="1602" w:type="dxa"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657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1036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760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744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744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744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744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912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  <w:tc>
          <w:tcPr>
            <w:tcW w:w="912" w:type="dxa"/>
          </w:tcPr>
          <w:p w:rsidR="00473D76" w:rsidRDefault="00473D76" w:rsidP="00473D76">
            <w:pPr>
              <w:jc w:val="center"/>
            </w:pPr>
            <w:r w:rsidRPr="001E1103">
              <w:rPr>
                <w:rFonts w:ascii="Times New Roman" w:hAnsi="Times New Roman"/>
                <w:b/>
                <w:lang w:val="uk-UA" w:eastAsia="ru-RU"/>
              </w:rPr>
              <w:t>–</w:t>
            </w:r>
          </w:p>
        </w:tc>
      </w:tr>
      <w:tr w:rsidR="00473D76" w:rsidRPr="00A35F57" w:rsidTr="00473D76">
        <w:tc>
          <w:tcPr>
            <w:tcW w:w="1602" w:type="dxa"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1657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46071,50</w:t>
            </w:r>
          </w:p>
        </w:tc>
        <w:tc>
          <w:tcPr>
            <w:tcW w:w="1036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7 335,50</w:t>
            </w:r>
          </w:p>
        </w:tc>
        <w:tc>
          <w:tcPr>
            <w:tcW w:w="760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285,00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2085,00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12256,00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3685,00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20311,00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18425,00</w:t>
            </w:r>
          </w:p>
        </w:tc>
      </w:tr>
      <w:tr w:rsidR="00473D76" w:rsidRPr="00A35F57" w:rsidTr="00473D76">
        <w:tc>
          <w:tcPr>
            <w:tcW w:w="1602" w:type="dxa"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Місцеві бюджети</w:t>
            </w:r>
          </w:p>
        </w:tc>
        <w:tc>
          <w:tcPr>
            <w:tcW w:w="1657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100001,47</w:t>
            </w:r>
          </w:p>
        </w:tc>
        <w:tc>
          <w:tcPr>
            <w:tcW w:w="1036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10 630,44</w:t>
            </w:r>
          </w:p>
        </w:tc>
        <w:tc>
          <w:tcPr>
            <w:tcW w:w="760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11436,10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19938,17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17988,64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18025,91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17257,21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84646,03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4725,00</w:t>
            </w:r>
          </w:p>
        </w:tc>
      </w:tr>
      <w:tr w:rsidR="00473D76" w:rsidRPr="00A35F57" w:rsidTr="00473D76">
        <w:tc>
          <w:tcPr>
            <w:tcW w:w="1602" w:type="dxa"/>
          </w:tcPr>
          <w:p w:rsidR="00473D76" w:rsidRPr="00A35F57" w:rsidRDefault="00473D76" w:rsidP="003C4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1657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190 319,40</w:t>
            </w:r>
          </w:p>
        </w:tc>
        <w:tc>
          <w:tcPr>
            <w:tcW w:w="1036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74 619,40</w:t>
            </w:r>
          </w:p>
        </w:tc>
        <w:tc>
          <w:tcPr>
            <w:tcW w:w="760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7500,00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8200,00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11000,00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45700,00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70000,00</w:t>
            </w:r>
          </w:p>
        </w:tc>
      </w:tr>
      <w:tr w:rsidR="00473D76" w:rsidRPr="00A35F57" w:rsidTr="00473D76">
        <w:tc>
          <w:tcPr>
            <w:tcW w:w="160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lang w:val="uk-UA" w:eastAsia="ru-RU"/>
              </w:rPr>
              <w:t>Усього</w:t>
            </w:r>
          </w:p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57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336392,37</w:t>
            </w:r>
          </w:p>
        </w:tc>
        <w:tc>
          <w:tcPr>
            <w:tcW w:w="1036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92 585,34</w:t>
            </w:r>
          </w:p>
        </w:tc>
        <w:tc>
          <w:tcPr>
            <w:tcW w:w="760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19221,10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30223,17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39244,64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31710,91</w:t>
            </w:r>
          </w:p>
        </w:tc>
        <w:tc>
          <w:tcPr>
            <w:tcW w:w="744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30257,21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150657,03</w:t>
            </w:r>
          </w:p>
        </w:tc>
        <w:tc>
          <w:tcPr>
            <w:tcW w:w="912" w:type="dxa"/>
            <w:vAlign w:val="center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93150,00</w:t>
            </w:r>
          </w:p>
        </w:tc>
      </w:tr>
    </w:tbl>
    <w:p w:rsidR="00473D76" w:rsidRPr="00A35F57" w:rsidRDefault="00473D76" w:rsidP="00473D76">
      <w:pPr>
        <w:tabs>
          <w:tab w:val="left" w:pos="20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5F57"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473D76" w:rsidRPr="00473D76" w:rsidRDefault="00473D76" w:rsidP="00473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lastRenderedPageBreak/>
        <w:t>10. Очікувані кінцеві результати виконання регіональної цільової  програми.</w:t>
      </w:r>
    </w:p>
    <w:p w:rsidR="00473D76" w:rsidRPr="00A35F57" w:rsidRDefault="00473D76" w:rsidP="00473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603"/>
        <w:gridCol w:w="882"/>
        <w:gridCol w:w="766"/>
        <w:gridCol w:w="691"/>
        <w:gridCol w:w="766"/>
        <w:gridCol w:w="645"/>
        <w:gridCol w:w="619"/>
        <w:gridCol w:w="666"/>
        <w:gridCol w:w="666"/>
        <w:gridCol w:w="619"/>
        <w:gridCol w:w="725"/>
      </w:tblGrid>
      <w:tr w:rsidR="00473D76" w:rsidRPr="00A35F57" w:rsidTr="003C4ADF">
        <w:trPr>
          <w:tblHeader/>
        </w:trPr>
        <w:tc>
          <w:tcPr>
            <w:tcW w:w="12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Назва показників Програми</w:t>
            </w:r>
          </w:p>
        </w:tc>
        <w:tc>
          <w:tcPr>
            <w:tcW w:w="16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Найменування показників виконання Програми</w:t>
            </w:r>
          </w:p>
        </w:tc>
        <w:tc>
          <w:tcPr>
            <w:tcW w:w="8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Одиниця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виміру</w:t>
            </w:r>
          </w:p>
        </w:tc>
        <w:tc>
          <w:tcPr>
            <w:tcW w:w="6163" w:type="dxa"/>
            <w:gridSpan w:val="9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Значення показників</w:t>
            </w:r>
          </w:p>
        </w:tc>
      </w:tr>
      <w:tr w:rsidR="00473D76" w:rsidRPr="00A35F57" w:rsidTr="003C4ADF">
        <w:trPr>
          <w:tblHeader/>
        </w:trPr>
        <w:tc>
          <w:tcPr>
            <w:tcW w:w="1208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1603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882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7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Усього за І </w:t>
            </w: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–</w:t>
            </w: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 IV етапи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2003 – </w:t>
            </w: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2022</w:t>
            </w:r>
          </w:p>
        </w:tc>
        <w:tc>
          <w:tcPr>
            <w:tcW w:w="6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Усього за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І і ІІ етапи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2003 – </w:t>
            </w: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2012</w:t>
            </w:r>
          </w:p>
        </w:tc>
        <w:tc>
          <w:tcPr>
            <w:tcW w:w="7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Усього за ІІІ етап</w:t>
            </w:r>
          </w:p>
        </w:tc>
        <w:tc>
          <w:tcPr>
            <w:tcW w:w="3215" w:type="dxa"/>
            <w:gridSpan w:val="5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У тому числі за роками</w:t>
            </w:r>
          </w:p>
        </w:tc>
        <w:tc>
          <w:tcPr>
            <w:tcW w:w="7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Усього за IV етап</w:t>
            </w:r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2018 – </w:t>
            </w: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2022</w:t>
            </w:r>
          </w:p>
        </w:tc>
      </w:tr>
      <w:tr w:rsidR="00473D76" w:rsidRPr="00A35F57" w:rsidTr="003C4ADF">
        <w:trPr>
          <w:tblHeader/>
        </w:trPr>
        <w:tc>
          <w:tcPr>
            <w:tcW w:w="1208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1603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882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766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691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766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2013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2014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2015</w:t>
            </w:r>
          </w:p>
        </w:tc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2016</w:t>
            </w:r>
          </w:p>
        </w:tc>
        <w:tc>
          <w:tcPr>
            <w:tcW w:w="619" w:type="dxa"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2017</w:t>
            </w:r>
          </w:p>
        </w:tc>
        <w:tc>
          <w:tcPr>
            <w:tcW w:w="725" w:type="dxa"/>
            <w:vMerge/>
            <w:tcMar>
              <w:left w:w="28" w:type="dxa"/>
              <w:right w:w="28" w:type="dxa"/>
            </w:tcMar>
            <w:vAlign w:val="center"/>
          </w:tcPr>
          <w:p w:rsidR="00473D76" w:rsidRPr="00A35F57" w:rsidRDefault="00473D76" w:rsidP="003C4A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</w:p>
        </w:tc>
      </w:tr>
      <w:tr w:rsidR="00473D76" w:rsidRPr="00A35F57" w:rsidTr="003C4ADF">
        <w:tc>
          <w:tcPr>
            <w:tcW w:w="1208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Економічні</w:t>
            </w:r>
          </w:p>
        </w:tc>
        <w:tc>
          <w:tcPr>
            <w:tcW w:w="1603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Збереження регіонального матеріального резерву, підтримання матеріально-технічних засобів у постійній готовності до використання</w:t>
            </w:r>
          </w:p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82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млн</w:t>
            </w:r>
            <w:proofErr w:type="spellEnd"/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4,24</w:t>
            </w:r>
          </w:p>
        </w:tc>
        <w:tc>
          <w:tcPr>
            <w:tcW w:w="691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0,8</w:t>
            </w:r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1,77</w:t>
            </w:r>
          </w:p>
        </w:tc>
        <w:tc>
          <w:tcPr>
            <w:tcW w:w="645" w:type="dxa"/>
          </w:tcPr>
          <w:p w:rsidR="00473D76" w:rsidRPr="00A35F57" w:rsidRDefault="00473D76" w:rsidP="003C4AD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0,335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0,335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0,285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0,345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0,</w:t>
            </w:r>
            <w:r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70</w:t>
            </w:r>
          </w:p>
        </w:tc>
        <w:tc>
          <w:tcPr>
            <w:tcW w:w="725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1,675</w:t>
            </w:r>
          </w:p>
        </w:tc>
      </w:tr>
      <w:tr w:rsidR="00473D76" w:rsidRPr="00A35F57" w:rsidTr="003C4ADF">
        <w:tc>
          <w:tcPr>
            <w:tcW w:w="1208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Соціальні</w:t>
            </w:r>
          </w:p>
        </w:tc>
        <w:tc>
          <w:tcPr>
            <w:tcW w:w="1603" w:type="dxa"/>
          </w:tcPr>
          <w:p w:rsidR="00473D76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Запобігання та реагування на надзвичайні ситуації  з н</w:t>
            </w:r>
            <w:r>
              <w:rPr>
                <w:rFonts w:ascii="Times New Roman" w:hAnsi="Times New Roman"/>
                <w:sz w:val="20"/>
                <w:lang w:val="uk-UA" w:eastAsia="ru-RU"/>
              </w:rPr>
              <w:t>айменшими фінансовими витратами</w:t>
            </w:r>
          </w:p>
          <w:p w:rsidR="00473D76" w:rsidRPr="00A35F57" w:rsidRDefault="00473D76" w:rsidP="00473D76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</w:p>
        </w:tc>
        <w:tc>
          <w:tcPr>
            <w:tcW w:w="882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 xml:space="preserve">млн. </w:t>
            </w:r>
            <w:proofErr w:type="spellStart"/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50,27</w:t>
            </w:r>
          </w:p>
        </w:tc>
        <w:tc>
          <w:tcPr>
            <w:tcW w:w="691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9,25</w:t>
            </w:r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31,46</w:t>
            </w:r>
          </w:p>
        </w:tc>
        <w:tc>
          <w:tcPr>
            <w:tcW w:w="645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2,34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2,71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10,72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8,812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6,88</w:t>
            </w:r>
          </w:p>
        </w:tc>
        <w:tc>
          <w:tcPr>
            <w:tcW w:w="725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9,56</w:t>
            </w:r>
          </w:p>
        </w:tc>
      </w:tr>
      <w:tr w:rsidR="00473D76" w:rsidRPr="00A35F57" w:rsidTr="003C4ADF">
        <w:tc>
          <w:tcPr>
            <w:tcW w:w="1208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Екологічні</w:t>
            </w:r>
          </w:p>
        </w:tc>
        <w:tc>
          <w:tcPr>
            <w:tcW w:w="1603" w:type="dxa"/>
          </w:tcPr>
          <w:p w:rsidR="00473D76" w:rsidRPr="00A35F57" w:rsidRDefault="00473D76" w:rsidP="003C4ADF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 xml:space="preserve">Підвищення ефективності захисту населення і територій, запобігання та ліквідації наслідків надзвичайних ситуацій </w:t>
            </w:r>
          </w:p>
        </w:tc>
        <w:tc>
          <w:tcPr>
            <w:tcW w:w="882" w:type="dxa"/>
          </w:tcPr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млн</w:t>
            </w:r>
            <w:proofErr w:type="spellEnd"/>
          </w:p>
          <w:p w:rsidR="00473D76" w:rsidRPr="00A35F57" w:rsidRDefault="00473D76" w:rsidP="003C4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proofErr w:type="spellStart"/>
            <w:r w:rsidRPr="00A35F57">
              <w:rPr>
                <w:rFonts w:ascii="Times New Roman" w:hAnsi="Times New Roman"/>
                <w:sz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b/>
                <w:sz w:val="20"/>
                <w:lang w:val="uk-UA" w:eastAsia="ru-RU"/>
              </w:rPr>
              <w:t>281,90</w:t>
            </w:r>
          </w:p>
        </w:tc>
        <w:tc>
          <w:tcPr>
            <w:tcW w:w="691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82,54</w:t>
            </w:r>
          </w:p>
        </w:tc>
        <w:tc>
          <w:tcPr>
            <w:tcW w:w="7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117,44</w:t>
            </w:r>
          </w:p>
        </w:tc>
        <w:tc>
          <w:tcPr>
            <w:tcW w:w="645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16,55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27,18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27,92</w:t>
            </w:r>
          </w:p>
        </w:tc>
        <w:tc>
          <w:tcPr>
            <w:tcW w:w="666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22,88</w:t>
            </w:r>
          </w:p>
        </w:tc>
        <w:tc>
          <w:tcPr>
            <w:tcW w:w="619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22,91</w:t>
            </w:r>
          </w:p>
        </w:tc>
        <w:tc>
          <w:tcPr>
            <w:tcW w:w="725" w:type="dxa"/>
          </w:tcPr>
          <w:p w:rsidR="00473D76" w:rsidRPr="00A35F57" w:rsidRDefault="00473D76" w:rsidP="003C4A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A35F57">
              <w:rPr>
                <w:rFonts w:ascii="Times New Roman" w:hAnsi="Times New Roman"/>
                <w:sz w:val="20"/>
                <w:lang w:val="uk-UA" w:eastAsia="ru-RU"/>
              </w:rPr>
              <w:t>81,92</w:t>
            </w:r>
          </w:p>
        </w:tc>
      </w:tr>
    </w:tbl>
    <w:p w:rsidR="00473D76" w:rsidRPr="00A35F57" w:rsidRDefault="00473D76" w:rsidP="00473D76">
      <w:pPr>
        <w:tabs>
          <w:tab w:val="right" w:leader="dot" w:pos="10206"/>
        </w:tabs>
        <w:spacing w:after="0" w:line="240" w:lineRule="auto"/>
        <w:ind w:right="-1"/>
        <w:jc w:val="both"/>
        <w:rPr>
          <w:rFonts w:ascii="Times New Roman" w:hAnsi="Times New Roman"/>
          <w:lang w:val="uk-UA" w:eastAsia="ru-RU"/>
        </w:rPr>
      </w:pPr>
    </w:p>
    <w:p w:rsidR="00473D76" w:rsidRPr="00A35F57" w:rsidRDefault="00473D76" w:rsidP="00473D76">
      <w:pPr>
        <w:tabs>
          <w:tab w:val="right" w:leader="do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73D76" w:rsidRPr="00A35F57" w:rsidRDefault="00473D76" w:rsidP="00473D76">
      <w:pPr>
        <w:tabs>
          <w:tab w:val="right" w:leader="do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3D76">
        <w:rPr>
          <w:rFonts w:ascii="Times New Roman" w:hAnsi="Times New Roman"/>
          <w:sz w:val="28"/>
          <w:szCs w:val="28"/>
          <w:lang w:val="uk-UA" w:eastAsia="ru-RU"/>
        </w:rPr>
        <w:t>11. Координація та контроль за виконанням: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координацію здійснює управління цивільного захисту Дніпропетровської обласної  державної адміністрації, яке надає інформацію про стан та результат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виконання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щоквартально, до 15 числа місяця, що настає за зв</w:t>
      </w:r>
      <w:r>
        <w:rPr>
          <w:rFonts w:ascii="Times New Roman" w:hAnsi="Times New Roman"/>
          <w:sz w:val="28"/>
          <w:szCs w:val="28"/>
          <w:lang w:val="uk-UA" w:eastAsia="ru-RU"/>
        </w:rPr>
        <w:t>ітни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м періодом, до обласн</w:t>
      </w:r>
      <w:r>
        <w:rPr>
          <w:rFonts w:ascii="Times New Roman" w:hAnsi="Times New Roman"/>
          <w:sz w:val="28"/>
          <w:szCs w:val="28"/>
          <w:lang w:val="uk-UA" w:eastAsia="ru-RU"/>
        </w:rPr>
        <w:t>ої ради та облдержадміністрації; к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онтроль – постійна комісія обласної ради з питань забезпечення правоохоронної  діяльності.</w:t>
      </w:r>
    </w:p>
    <w:p w:rsidR="00FD2EF6" w:rsidRDefault="00FD2EF6" w:rsidP="00FD2EF6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D2EF6" w:rsidRPr="00FD2EF6" w:rsidRDefault="00FD2EF6" w:rsidP="00FD2EF6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D2EF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FD2EF6" w:rsidRPr="00FD2EF6" w:rsidRDefault="00FD2EF6" w:rsidP="00FD2EF6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D2EF6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                                                          С. ОЛІЙНИК</w:t>
      </w:r>
    </w:p>
    <w:p w:rsidR="008302A0" w:rsidRPr="00473D76" w:rsidRDefault="008302A0">
      <w:pPr>
        <w:rPr>
          <w:lang w:val="uk-UA"/>
        </w:rPr>
      </w:pPr>
    </w:p>
    <w:sectPr w:rsidR="008302A0" w:rsidRPr="00473D76" w:rsidSect="00473D7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76" w:rsidRDefault="004B1576" w:rsidP="00473D76">
      <w:pPr>
        <w:spacing w:after="0" w:line="240" w:lineRule="auto"/>
      </w:pPr>
      <w:r>
        <w:separator/>
      </w:r>
    </w:p>
  </w:endnote>
  <w:endnote w:type="continuationSeparator" w:id="0">
    <w:p w:rsidR="004B1576" w:rsidRDefault="004B1576" w:rsidP="004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76" w:rsidRDefault="004B1576" w:rsidP="00473D76">
      <w:pPr>
        <w:spacing w:after="0" w:line="240" w:lineRule="auto"/>
      </w:pPr>
      <w:r>
        <w:separator/>
      </w:r>
    </w:p>
  </w:footnote>
  <w:footnote w:type="continuationSeparator" w:id="0">
    <w:p w:rsidR="004B1576" w:rsidRDefault="004B1576" w:rsidP="004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9044"/>
      <w:docPartObj>
        <w:docPartGallery w:val="Page Numbers (Top of Page)"/>
        <w:docPartUnique/>
      </w:docPartObj>
    </w:sdtPr>
    <w:sdtEndPr/>
    <w:sdtContent>
      <w:p w:rsidR="00473D76" w:rsidRDefault="00473D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B7">
          <w:rPr>
            <w:noProof/>
          </w:rPr>
          <w:t>2</w:t>
        </w:r>
        <w:r>
          <w:fldChar w:fldCharType="end"/>
        </w:r>
      </w:p>
    </w:sdtContent>
  </w:sdt>
  <w:p w:rsidR="00473D76" w:rsidRDefault="00473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9"/>
    <w:rsid w:val="00473D76"/>
    <w:rsid w:val="004B1576"/>
    <w:rsid w:val="004C1459"/>
    <w:rsid w:val="008302A0"/>
    <w:rsid w:val="00B44F62"/>
    <w:rsid w:val="00B74BB7"/>
    <w:rsid w:val="00DA51E9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7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7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D7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73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D7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F37F-0956-4723-A003-69A44C9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3</cp:revision>
  <dcterms:created xsi:type="dcterms:W3CDTF">2017-03-16T09:20:00Z</dcterms:created>
  <dcterms:modified xsi:type="dcterms:W3CDTF">2017-03-16T12:55:00Z</dcterms:modified>
</cp:coreProperties>
</file>