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61" w:rsidRPr="00B80C2E" w:rsidRDefault="00C64B61" w:rsidP="00782197">
      <w:pPr>
        <w:ind w:left="5954"/>
        <w:jc w:val="both"/>
        <w:outlineLvl w:val="0"/>
        <w:rPr>
          <w:rFonts w:ascii="Times New Roman" w:hAnsi="Times New Roman"/>
          <w:bCs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bCs/>
          <w:spacing w:val="2"/>
          <w:position w:val="2"/>
          <w:sz w:val="28"/>
          <w:szCs w:val="28"/>
        </w:rPr>
        <w:t>Додаток 3</w:t>
      </w:r>
    </w:p>
    <w:p w:rsidR="00C64B61" w:rsidRDefault="00C64B61" w:rsidP="00782197">
      <w:pPr>
        <w:spacing w:line="228" w:lineRule="auto"/>
        <w:ind w:left="5954"/>
        <w:rPr>
          <w:rFonts w:ascii="Times New Roman" w:hAnsi="Times New Roman"/>
          <w:spacing w:val="2"/>
          <w:position w:val="2"/>
          <w:sz w:val="28"/>
          <w:szCs w:val="28"/>
        </w:rPr>
      </w:pPr>
      <w:r w:rsidRPr="00016D8F">
        <w:rPr>
          <w:rFonts w:ascii="Times New Roman" w:hAnsi="Times New Roman"/>
          <w:bCs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/>
          <w:spacing w:val="2"/>
          <w:position w:val="2"/>
          <w:sz w:val="28"/>
          <w:szCs w:val="28"/>
        </w:rPr>
        <w:t>рішення обласної ради</w:t>
      </w:r>
    </w:p>
    <w:p w:rsidR="00782197" w:rsidRDefault="00782197" w:rsidP="00C64B61">
      <w:pPr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2197" w:rsidRDefault="00782197" w:rsidP="00C64B61">
      <w:pPr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B61" w:rsidRPr="00B80C2E" w:rsidRDefault="00C64B61" w:rsidP="00C64B61">
      <w:pPr>
        <w:spacing w:line="228" w:lineRule="auto"/>
        <w:jc w:val="center"/>
        <w:outlineLvl w:val="0"/>
        <w:rPr>
          <w:rFonts w:ascii="Times New Roman" w:hAnsi="Times New Roman"/>
          <w:b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b/>
          <w:spacing w:val="2"/>
          <w:position w:val="2"/>
          <w:sz w:val="28"/>
          <w:szCs w:val="28"/>
        </w:rPr>
        <w:t>ПАСПОРТ</w:t>
      </w:r>
    </w:p>
    <w:p w:rsidR="00C64B61" w:rsidRPr="00B80C2E" w:rsidRDefault="00C64B61" w:rsidP="00C64B61">
      <w:pPr>
        <w:spacing w:line="228" w:lineRule="auto"/>
        <w:jc w:val="center"/>
        <w:rPr>
          <w:rFonts w:ascii="Times New Roman" w:hAnsi="Times New Roman"/>
          <w:b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b/>
          <w:spacing w:val="2"/>
          <w:position w:val="2"/>
          <w:sz w:val="28"/>
          <w:szCs w:val="28"/>
        </w:rPr>
        <w:t>Цільової соціальної комплексної програми</w:t>
      </w:r>
    </w:p>
    <w:p w:rsidR="00C64B61" w:rsidRPr="00B80C2E" w:rsidRDefault="00C64B61" w:rsidP="00C64B61">
      <w:pPr>
        <w:spacing w:line="228" w:lineRule="auto"/>
        <w:jc w:val="center"/>
        <w:rPr>
          <w:rFonts w:ascii="Times New Roman" w:hAnsi="Times New Roman"/>
          <w:b/>
          <w:spacing w:val="2"/>
          <w:position w:val="2"/>
          <w:sz w:val="28"/>
          <w:szCs w:val="28"/>
        </w:rPr>
      </w:pP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1. Назва: Цільова соціальна комплексна програма розвитку фізичної культури і спорту в Дніпропетровській області до 2021 року.</w:t>
      </w:r>
    </w:p>
    <w:p w:rsidR="00C64B61" w:rsidRPr="00B80C2E" w:rsidRDefault="00C64B61" w:rsidP="00C64B61">
      <w:pPr>
        <w:pStyle w:val="a40"/>
        <w:tabs>
          <w:tab w:val="left" w:pos="993"/>
        </w:tabs>
        <w:spacing w:before="0" w:beforeAutospacing="0" w:after="0" w:afterAutospacing="0" w:line="228" w:lineRule="auto"/>
        <w:ind w:firstLine="720"/>
        <w:jc w:val="both"/>
        <w:rPr>
          <w:spacing w:val="2"/>
          <w:position w:val="2"/>
          <w:sz w:val="28"/>
          <w:szCs w:val="28"/>
          <w:lang w:val="uk-UA"/>
        </w:rPr>
      </w:pPr>
      <w:r w:rsidRPr="00B80C2E">
        <w:rPr>
          <w:spacing w:val="2"/>
          <w:position w:val="2"/>
          <w:sz w:val="28"/>
          <w:szCs w:val="28"/>
          <w:lang w:val="uk-UA"/>
        </w:rPr>
        <w:t xml:space="preserve">2. Підстава для розроблення: розпорядження Кабінету Міністрів України від 09 грудня 2015 року № 1320-р </w:t>
      </w:r>
      <w:r w:rsidR="00DB20B9">
        <w:rPr>
          <w:spacing w:val="2"/>
          <w:position w:val="2"/>
          <w:sz w:val="28"/>
          <w:szCs w:val="28"/>
          <w:lang w:val="uk-UA"/>
        </w:rPr>
        <w:t>„</w:t>
      </w:r>
      <w:r w:rsidRPr="00B80C2E">
        <w:rPr>
          <w:spacing w:val="2"/>
          <w:position w:val="2"/>
          <w:sz w:val="28"/>
          <w:szCs w:val="28"/>
          <w:lang w:val="uk-UA"/>
        </w:rPr>
        <w:t>Про схвалення Концепції Державної цільової соціальної програми розвитку фізичної культури і спорту на період до 2020 року”.</w:t>
      </w:r>
    </w:p>
    <w:p w:rsidR="00C64B61" w:rsidRPr="00B80C2E" w:rsidRDefault="00C64B61" w:rsidP="00C64B61">
      <w:pPr>
        <w:pStyle w:val="a40"/>
        <w:tabs>
          <w:tab w:val="left" w:pos="993"/>
        </w:tabs>
        <w:spacing w:before="0" w:beforeAutospacing="0" w:after="0" w:afterAutospacing="0" w:line="228" w:lineRule="auto"/>
        <w:ind w:firstLine="720"/>
        <w:jc w:val="both"/>
        <w:rPr>
          <w:spacing w:val="2"/>
          <w:position w:val="2"/>
          <w:sz w:val="28"/>
          <w:szCs w:val="28"/>
        </w:rPr>
      </w:pPr>
      <w:r w:rsidRPr="00B80C2E">
        <w:rPr>
          <w:spacing w:val="2"/>
          <w:position w:val="2"/>
          <w:sz w:val="28"/>
          <w:szCs w:val="28"/>
          <w:lang w:val="uk-UA"/>
        </w:rPr>
        <w:t>3. Регіональний замовник Програми</w:t>
      </w:r>
      <w:r w:rsidRPr="00B80C2E">
        <w:rPr>
          <w:spacing w:val="2"/>
          <w:position w:val="2"/>
          <w:sz w:val="28"/>
          <w:szCs w:val="28"/>
        </w:rPr>
        <w:t xml:space="preserve"> </w:t>
      </w:r>
      <w:r w:rsidRPr="00B80C2E">
        <w:rPr>
          <w:spacing w:val="2"/>
          <w:position w:val="2"/>
          <w:sz w:val="28"/>
          <w:szCs w:val="28"/>
          <w:lang w:val="uk-UA"/>
        </w:rPr>
        <w:t>та</w:t>
      </w:r>
      <w:r w:rsidRPr="00B80C2E">
        <w:rPr>
          <w:spacing w:val="2"/>
          <w:position w:val="2"/>
          <w:sz w:val="28"/>
          <w:szCs w:val="28"/>
        </w:rPr>
        <w:t xml:space="preserve"> координатор: </w:t>
      </w:r>
      <w:r w:rsidRPr="00B80C2E">
        <w:rPr>
          <w:spacing w:val="2"/>
          <w:position w:val="2"/>
          <w:sz w:val="28"/>
          <w:szCs w:val="28"/>
          <w:lang w:val="uk-UA"/>
        </w:rPr>
        <w:t>управління</w:t>
      </w:r>
      <w:r w:rsidRPr="00B80C2E">
        <w:rPr>
          <w:spacing w:val="2"/>
          <w:position w:val="2"/>
          <w:sz w:val="28"/>
          <w:szCs w:val="28"/>
        </w:rPr>
        <w:t xml:space="preserve"> молод</w:t>
      </w:r>
      <w:r w:rsidRPr="00B80C2E">
        <w:rPr>
          <w:spacing w:val="2"/>
          <w:position w:val="2"/>
          <w:sz w:val="28"/>
          <w:szCs w:val="28"/>
          <w:lang w:val="uk-UA"/>
        </w:rPr>
        <w:t xml:space="preserve">і </w:t>
      </w:r>
      <w:proofErr w:type="spellStart"/>
      <w:r w:rsidRPr="00B80C2E">
        <w:rPr>
          <w:spacing w:val="2"/>
          <w:position w:val="2"/>
          <w:sz w:val="28"/>
          <w:szCs w:val="28"/>
          <w:lang w:val="uk-UA"/>
        </w:rPr>
        <w:t>і</w:t>
      </w:r>
      <w:proofErr w:type="spellEnd"/>
      <w:r w:rsidRPr="00B80C2E">
        <w:rPr>
          <w:spacing w:val="2"/>
          <w:position w:val="2"/>
          <w:sz w:val="28"/>
          <w:szCs w:val="28"/>
        </w:rPr>
        <w:t xml:space="preserve"> спорту </w:t>
      </w:r>
      <w:r w:rsidRPr="00B80C2E">
        <w:rPr>
          <w:spacing w:val="2"/>
          <w:position w:val="2"/>
          <w:sz w:val="28"/>
          <w:szCs w:val="28"/>
          <w:lang w:val="uk-UA"/>
        </w:rPr>
        <w:t>облдержадміністрації</w:t>
      </w:r>
      <w:r w:rsidRPr="00B80C2E">
        <w:rPr>
          <w:spacing w:val="2"/>
          <w:position w:val="2"/>
          <w:sz w:val="28"/>
          <w:szCs w:val="28"/>
        </w:rPr>
        <w:t>.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4. </w:t>
      </w:r>
      <w:proofErr w:type="spellStart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Програми: департамент освіти і науки </w:t>
      </w:r>
      <w:proofErr w:type="spellStart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облдерж</w:t>
      </w:r>
      <w:proofErr w:type="spellEnd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-адміністрації.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5. Відповідальні за виконання: структурні підрозділи </w:t>
      </w:r>
      <w:proofErr w:type="spellStart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облдерж</w:t>
      </w:r>
      <w:proofErr w:type="spellEnd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-</w:t>
      </w:r>
      <w:r>
        <w:rPr>
          <w:rFonts w:ascii="Times New Roman" w:hAnsi="Times New Roman"/>
          <w:spacing w:val="2"/>
          <w:position w:val="2"/>
          <w:sz w:val="28"/>
          <w:szCs w:val="28"/>
        </w:rPr>
        <w:t>адміністрації, районні державні адміністрації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, органи місцевого самоврядування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 xml:space="preserve"> (за згодою)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, об’єднані територіальні громади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 xml:space="preserve"> (за згодою)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, обласні ради фізкультурно-спортивних товариств і відомств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 xml:space="preserve"> (за згодою)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, обласні комунальні заклади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 xml:space="preserve"> (за згодою)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.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6. Мета: створення умов для розвитку фізичної культури і спорту, зокрема вдосконалення відповідного організаційного та нормативно-правового механізму, залучення широких верств населення до масового спорту, популяризація здорового способу життя та фізичної реабілітації</w:t>
      </w:r>
      <w:bookmarkStart w:id="0" w:name="43"/>
      <w:bookmarkEnd w:id="0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, максимальна реалізація здібностей обдарованої молоді в дитячо-юнацькому, резервному спорті, спорті вищих досягнень та виховання її 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>в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дусі </w:t>
      </w:r>
      <w:proofErr w:type="spellStart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олімпізму</w:t>
      </w:r>
      <w:proofErr w:type="spellEnd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. 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7. Початок: січень 2017 року, закінчення: грудень 2021 року.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8. Етапи виконання: в один етап (з 01 січня 2017 року по 31 грудня 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br/>
        <w:t>2021 року).</w:t>
      </w:r>
    </w:p>
    <w:p w:rsidR="00C64B61" w:rsidRPr="00B80C2E" w:rsidRDefault="00C64B61" w:rsidP="00C64B61">
      <w:pPr>
        <w:tabs>
          <w:tab w:val="left" w:pos="993"/>
        </w:tabs>
        <w:spacing w:line="228" w:lineRule="auto"/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  <w:u w:val="single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9. Загальні обсяги фінансування, у тому числі видатки з обласного бюджету (тис. грн):</w:t>
      </w:r>
    </w:p>
    <w:tbl>
      <w:tblPr>
        <w:tblpPr w:leftFromText="180" w:rightFromText="180" w:vertAnchor="text" w:horzAnchor="margin" w:tblpX="108" w:tblpY="2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134"/>
        <w:gridCol w:w="1134"/>
        <w:gridCol w:w="1134"/>
        <w:gridCol w:w="1134"/>
      </w:tblGrid>
      <w:tr w:rsidR="00C64B61" w:rsidRPr="00B80C2E" w:rsidTr="00DB20B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Джерела фінансування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Обсяг фінансування, усього, тис. грн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За роками виконання</w:t>
            </w:r>
          </w:p>
        </w:tc>
      </w:tr>
      <w:tr w:rsidR="00C64B61" w:rsidRPr="00B80C2E" w:rsidTr="00DB20B9">
        <w:trPr>
          <w:trHeight w:val="5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2021</w:t>
            </w:r>
          </w:p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C64B61" w:rsidRPr="00B80C2E" w:rsidTr="00DB20B9">
        <w:trPr>
          <w:trHeight w:val="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</w:tr>
      <w:tr w:rsidR="00C64B61" w:rsidRPr="00B80C2E" w:rsidTr="00DB2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jc w:val="both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Обласний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146261,04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26588,4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24718,38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30801,74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32130,59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32021,93</w:t>
            </w:r>
          </w:p>
        </w:tc>
      </w:tr>
      <w:tr w:rsidR="00C64B61" w:rsidRPr="00B80C2E" w:rsidTr="00DB2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Місцеві</w:t>
            </w:r>
          </w:p>
          <w:p w:rsidR="00C64B61" w:rsidRPr="00DB20B9" w:rsidRDefault="003F6B0B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б</w:t>
            </w:r>
            <w:r w:rsidR="00C64B61"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юджети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346294,4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61862,6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65348,5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69040,2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72952,5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77090,6</w:t>
            </w:r>
          </w:p>
        </w:tc>
      </w:tr>
      <w:tr w:rsidR="00C64B61" w:rsidRPr="00B80C2E" w:rsidTr="00DB2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Pr="00DB20B9" w:rsidRDefault="00C64B61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Інші</w:t>
            </w:r>
          </w:p>
          <w:p w:rsidR="00C64B61" w:rsidRPr="00DB20B9" w:rsidRDefault="003F6B0B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д</w:t>
            </w:r>
            <w:bookmarkStart w:id="1" w:name="_GoBack"/>
            <w:bookmarkEnd w:id="1"/>
            <w:r w:rsidR="00C64B61"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жерела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90230,4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15351,7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16675,5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17928,3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19409,7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20865,2</w:t>
            </w:r>
          </w:p>
        </w:tc>
      </w:tr>
      <w:tr w:rsidR="00C64B61" w:rsidRPr="00B80C2E" w:rsidTr="00DB2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61" w:rsidRDefault="00C64B61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УСЬОГО</w:t>
            </w:r>
          </w:p>
          <w:p w:rsidR="00DB20B9" w:rsidRPr="00DB20B9" w:rsidRDefault="00DB20B9" w:rsidP="00DB20B9">
            <w:pP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582785,84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103802,7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106742,38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117770,24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124492,79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61" w:rsidRPr="00DB20B9" w:rsidRDefault="00C64B61" w:rsidP="00DB20B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0B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129977,7</w:t>
            </w:r>
          </w:p>
        </w:tc>
      </w:tr>
    </w:tbl>
    <w:p w:rsidR="00DB20B9" w:rsidRDefault="00DB20B9" w:rsidP="00C64B61">
      <w:pPr>
        <w:ind w:firstLine="709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C64B61" w:rsidRPr="00B80C2E" w:rsidRDefault="00C64B61" w:rsidP="00C64B61">
      <w:pPr>
        <w:ind w:firstLine="709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lastRenderedPageBreak/>
        <w:t>10. Очікувані результати виконання:</w:t>
      </w:r>
    </w:p>
    <w:p w:rsidR="00C64B61" w:rsidRPr="00B80C2E" w:rsidRDefault="00C64B61" w:rsidP="00C64B61">
      <w:pPr>
        <w:pStyle w:val="a5"/>
        <w:spacing w:before="0"/>
        <w:ind w:firstLine="709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851"/>
        <w:gridCol w:w="708"/>
        <w:gridCol w:w="709"/>
        <w:gridCol w:w="709"/>
        <w:gridCol w:w="709"/>
        <w:gridCol w:w="708"/>
      </w:tblGrid>
      <w:tr w:rsidR="00DB20B9" w:rsidRPr="00DB20B9" w:rsidTr="00DB20B9">
        <w:trPr>
          <w:trHeight w:val="1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DB20B9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Напрями показників </w:t>
            </w:r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</w:t>
            </w: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рограми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DB20B9">
            <w:pPr>
              <w:spacing w:line="233" w:lineRule="auto"/>
              <w:ind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Найменування показників виконання </w:t>
            </w:r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</w:t>
            </w: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рограми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DB20B9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Значення показників</w:t>
            </w:r>
          </w:p>
        </w:tc>
      </w:tr>
      <w:tr w:rsidR="00DB20B9" w:rsidRPr="00DB20B9" w:rsidTr="00DB20B9">
        <w:trPr>
          <w:trHeight w:val="1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ind w:right="-108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C64B61">
            <w:pPr>
              <w:spacing w:line="233" w:lineRule="auto"/>
              <w:ind w:left="-108" w:right="-107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2021</w:t>
            </w:r>
          </w:p>
        </w:tc>
      </w:tr>
      <w:tr w:rsidR="00DB20B9" w:rsidRPr="00DB20B9" w:rsidTr="00DB20B9">
        <w:trPr>
          <w:trHeight w:val="1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ind w:right="-108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DB20B9">
            <w:pPr>
              <w:spacing w:line="233" w:lineRule="auto"/>
              <w:ind w:left="-108" w:right="-107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DB20B9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DB20B9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B20B9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8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Питома вага осіб, додатково залучених до занять усіма видами фізкультурно-оздоровчої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та спортивної діяльності (% від загальної чисельності населення)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5,5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1,3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Питома вага учнів та студентів, </w:t>
            </w:r>
          </w:p>
          <w:p w:rsidR="00DB20B9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які щороку долучаються до фізкультурно-оздоровчої роботи </w:t>
            </w:r>
          </w:p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у закладах освіти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(% від загальної чисельності  контингенту)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2,45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Питома вага осіб, залучених до обласних інформаційно-просвітницьких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62BE3" wp14:editId="2EDE836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576580</wp:posOffset>
                      </wp:positionV>
                      <wp:extent cx="47625" cy="349250"/>
                      <wp:effectExtent l="0" t="0" r="0" b="44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20B9" w:rsidRPr="00707B04" w:rsidRDefault="00DB20B9" w:rsidP="00C64B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7.9pt;margin-top:45.4pt;width:3.7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" stroked="f">
                      <v:textbox>
                        <w:txbxContent>
                          <w:p w:rsidR="00DB20B9" w:rsidRPr="00707B04" w:rsidRDefault="00DB20B9" w:rsidP="00C64B61"/>
                        </w:txbxContent>
                      </v:textbox>
                    </v:shape>
                  </w:pict>
                </mc:Fallback>
              </mc:AlternateContent>
            </w:r>
            <w:r w:rsidRPr="00B80C2E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Default="00DB20B9" w:rsidP="0091601F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Питома вага осіб,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які залучилися 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            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до фізкультурно-оздоровчої </w:t>
            </w:r>
          </w:p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роботи завдяки проведеним заходам із вдосконалення мережі закладів спортивного профілю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2,9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0,7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Питома вага дітей та молоді, які займаються в ДЮСШ та СДЮШОР (% від загальної чисельності контингенту)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Питома вага інвалідів, 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які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займаються фізкультурно-оздоровчою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та реабілітаційною роботою (% від загальної чисельності інвалідів)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1,75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0,45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Кількість членів національних збірних команд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5880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1250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Чисельність спортсменів та тренерів, яким вирішено соціально-побутові питання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val="ru-RU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DB20B9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Кількість тренерів 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і вчителів фізичного виховання,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які підвищили професійну підготовку 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             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та пройшли щорічну атестацію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115</w:t>
            </w:r>
          </w:p>
        </w:tc>
      </w:tr>
      <w:tr w:rsidR="00DB20B9" w:rsidRPr="00B80C2E" w:rsidTr="00DB20B9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ind w:right="-108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Кількість побудованих капітальних </w:t>
            </w: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            </w:t>
            </w: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та площинних спортивних споруд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9" w:rsidRPr="00B80C2E" w:rsidRDefault="00DB20B9" w:rsidP="0091601F">
            <w:pPr>
              <w:spacing w:line="233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B80C2E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70</w:t>
            </w:r>
          </w:p>
        </w:tc>
      </w:tr>
    </w:tbl>
    <w:p w:rsidR="00C64B61" w:rsidRPr="00B80C2E" w:rsidRDefault="00C64B61" w:rsidP="00C64B61">
      <w:pPr>
        <w:spacing w:after="60"/>
        <w:rPr>
          <w:rFonts w:ascii="Times New Roman" w:hAnsi="Times New Roman"/>
          <w:b/>
          <w:spacing w:val="2"/>
          <w:position w:val="2"/>
          <w:sz w:val="28"/>
          <w:szCs w:val="28"/>
          <w:lang w:val="en-US"/>
        </w:rPr>
      </w:pPr>
    </w:p>
    <w:p w:rsidR="00C64B61" w:rsidRPr="00B80C2E" w:rsidRDefault="00C64B61" w:rsidP="00C64B61">
      <w:pPr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11. Координація та контроль за вик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онанням: координацію здійснює 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замовник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>п</w:t>
      </w:r>
      <w:r>
        <w:rPr>
          <w:rFonts w:ascii="Times New Roman" w:hAnsi="Times New Roman"/>
          <w:spacing w:val="2"/>
          <w:position w:val="2"/>
          <w:sz w:val="28"/>
          <w:szCs w:val="28"/>
        </w:rPr>
        <w:t>рограми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– управління молоді і спорту  облдержадміністрації. </w:t>
      </w:r>
      <w:proofErr w:type="spellStart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– департамент освіти і науки облдержадміністрації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– 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надає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             до управління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молоді і спорту облдержадміністрації інформацію щокварталу до 12 числа місяця, що настає за звітним. </w:t>
      </w:r>
    </w:p>
    <w:p w:rsidR="00C64B61" w:rsidRPr="00B80C2E" w:rsidRDefault="00C64B61" w:rsidP="00C64B61">
      <w:pPr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lastRenderedPageBreak/>
        <w:t xml:space="preserve">Замовник 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>п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рограми узагальнює інформацію щокварталу</w:t>
      </w:r>
      <w:r w:rsidR="00DB20B9">
        <w:rPr>
          <w:rFonts w:ascii="Times New Roman" w:hAnsi="Times New Roman"/>
          <w:spacing w:val="2"/>
          <w:position w:val="2"/>
          <w:sz w:val="28"/>
          <w:szCs w:val="28"/>
        </w:rPr>
        <w:t xml:space="preserve"> і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 до 15 числа місяця, що настає за звітним, надає звіти до обласної ради </w:t>
      </w:r>
      <w:r>
        <w:rPr>
          <w:rFonts w:ascii="Times New Roman" w:hAnsi="Times New Roman"/>
          <w:spacing w:val="2"/>
          <w:position w:val="2"/>
          <w:sz w:val="28"/>
          <w:szCs w:val="28"/>
        </w:rPr>
        <w:t xml:space="preserve">                                   </w:t>
      </w:r>
      <w:r w:rsidRPr="00B80C2E">
        <w:rPr>
          <w:rFonts w:ascii="Times New Roman" w:hAnsi="Times New Roman"/>
          <w:spacing w:val="2"/>
          <w:position w:val="2"/>
          <w:sz w:val="28"/>
          <w:szCs w:val="28"/>
        </w:rPr>
        <w:t>та облдержадміністрації.</w:t>
      </w:r>
    </w:p>
    <w:p w:rsidR="00C64B61" w:rsidRPr="00B80C2E" w:rsidRDefault="00DB20B9" w:rsidP="00C64B61">
      <w:pPr>
        <w:ind w:firstLine="720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>
        <w:rPr>
          <w:rFonts w:ascii="Times New Roman" w:hAnsi="Times New Roman"/>
          <w:spacing w:val="2"/>
          <w:position w:val="2"/>
          <w:sz w:val="28"/>
          <w:szCs w:val="28"/>
        </w:rPr>
        <w:t>Контроль за виконанням п</w:t>
      </w:r>
      <w:r w:rsidR="00C64B61" w:rsidRPr="00B80C2E">
        <w:rPr>
          <w:rFonts w:ascii="Times New Roman" w:hAnsi="Times New Roman"/>
          <w:spacing w:val="2"/>
          <w:position w:val="2"/>
          <w:sz w:val="28"/>
          <w:szCs w:val="28"/>
        </w:rPr>
        <w:t xml:space="preserve">рограми здійснює постійна комісія з питань культури, духовності та спорту обласної ради. </w:t>
      </w:r>
    </w:p>
    <w:p w:rsidR="00C64B61" w:rsidRPr="00C64B61" w:rsidRDefault="00C64B61" w:rsidP="00C64B61">
      <w:pPr>
        <w:jc w:val="both"/>
        <w:rPr>
          <w:rFonts w:ascii="Times New Roman" w:hAnsi="Times New Roman"/>
          <w:spacing w:val="2"/>
          <w:position w:val="2"/>
          <w:sz w:val="28"/>
          <w:szCs w:val="28"/>
          <w:lang w:val="ru-RU"/>
        </w:rPr>
      </w:pPr>
    </w:p>
    <w:p w:rsidR="00C64B61" w:rsidRPr="00153A0B" w:rsidRDefault="00C64B61" w:rsidP="00C64B61">
      <w:pPr>
        <w:jc w:val="both"/>
        <w:rPr>
          <w:rFonts w:ascii="Times New Roman" w:hAnsi="Times New Roman"/>
          <w:spacing w:val="2"/>
          <w:position w:val="2"/>
          <w:sz w:val="28"/>
          <w:szCs w:val="28"/>
          <w:lang w:val="ru-RU"/>
        </w:rPr>
      </w:pPr>
    </w:p>
    <w:p w:rsidR="00C64B61" w:rsidRPr="00B80C2E" w:rsidRDefault="00C64B61" w:rsidP="00C64B61">
      <w:pPr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C64B61" w:rsidRDefault="00C64B61" w:rsidP="00C64B61">
      <w:pPr>
        <w:jc w:val="both"/>
        <w:rPr>
          <w:rFonts w:ascii="Times New Roman" w:hAnsi="Times New Roman"/>
          <w:b/>
          <w:spacing w:val="2"/>
          <w:position w:val="2"/>
          <w:sz w:val="28"/>
          <w:szCs w:val="28"/>
        </w:rPr>
      </w:pPr>
      <w:r w:rsidRPr="00CF435A">
        <w:rPr>
          <w:rFonts w:ascii="Times New Roman" w:hAnsi="Times New Roman"/>
          <w:b/>
          <w:spacing w:val="2"/>
          <w:position w:val="2"/>
          <w:sz w:val="28"/>
          <w:szCs w:val="28"/>
        </w:rPr>
        <w:t>Перший заступник</w:t>
      </w:r>
    </w:p>
    <w:p w:rsidR="00C64B61" w:rsidRPr="00153A0B" w:rsidRDefault="00C64B61" w:rsidP="00C64B61">
      <w:pPr>
        <w:jc w:val="both"/>
        <w:rPr>
          <w:rFonts w:ascii="Times New Roman" w:hAnsi="Times New Roman"/>
          <w:sz w:val="28"/>
          <w:szCs w:val="28"/>
        </w:rPr>
      </w:pPr>
      <w:r w:rsidRPr="00CF435A">
        <w:rPr>
          <w:rFonts w:ascii="Times New Roman" w:hAnsi="Times New Roman"/>
          <w:b/>
          <w:spacing w:val="2"/>
          <w:position w:val="2"/>
          <w:sz w:val="28"/>
          <w:szCs w:val="28"/>
        </w:rPr>
        <w:t xml:space="preserve">голови обласної ради </w:t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>
        <w:rPr>
          <w:rFonts w:ascii="Times New Roman" w:hAnsi="Times New Roman"/>
          <w:b/>
          <w:spacing w:val="2"/>
          <w:position w:val="2"/>
          <w:sz w:val="28"/>
          <w:szCs w:val="28"/>
        </w:rPr>
        <w:tab/>
      </w:r>
      <w:r w:rsidRPr="00CF435A">
        <w:rPr>
          <w:rFonts w:ascii="Times New Roman" w:hAnsi="Times New Roman"/>
          <w:b/>
          <w:spacing w:val="2"/>
          <w:position w:val="2"/>
          <w:sz w:val="28"/>
          <w:szCs w:val="28"/>
        </w:rPr>
        <w:t>С. ОЛІЙНИК</w:t>
      </w:r>
    </w:p>
    <w:p w:rsidR="001B371F" w:rsidRDefault="001B371F"/>
    <w:sectPr w:rsidR="001B371F" w:rsidSect="00DB20B9">
      <w:headerReference w:type="default" r:id="rId8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40" w:rsidRDefault="00D44240" w:rsidP="00C64B61">
      <w:r>
        <w:separator/>
      </w:r>
    </w:p>
  </w:endnote>
  <w:endnote w:type="continuationSeparator" w:id="0">
    <w:p w:rsidR="00D44240" w:rsidRDefault="00D44240" w:rsidP="00C6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40" w:rsidRDefault="00D44240" w:rsidP="00C64B61">
      <w:r>
        <w:separator/>
      </w:r>
    </w:p>
  </w:footnote>
  <w:footnote w:type="continuationSeparator" w:id="0">
    <w:p w:rsidR="00D44240" w:rsidRDefault="00D44240" w:rsidP="00C6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4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64B61" w:rsidRPr="00C64B61" w:rsidRDefault="00C64B61">
        <w:pPr>
          <w:pStyle w:val="a3"/>
          <w:jc w:val="center"/>
          <w:rPr>
            <w:rFonts w:ascii="Times New Roman" w:hAnsi="Times New Roman"/>
            <w:sz w:val="28"/>
          </w:rPr>
        </w:pPr>
        <w:r w:rsidRPr="00C64B61">
          <w:rPr>
            <w:rFonts w:ascii="Times New Roman" w:hAnsi="Times New Roman"/>
            <w:sz w:val="28"/>
          </w:rPr>
          <w:fldChar w:fldCharType="begin"/>
        </w:r>
        <w:r w:rsidRPr="00C64B61">
          <w:rPr>
            <w:rFonts w:ascii="Times New Roman" w:hAnsi="Times New Roman"/>
            <w:sz w:val="28"/>
          </w:rPr>
          <w:instrText>PAGE   \* MERGEFORMAT</w:instrText>
        </w:r>
        <w:r w:rsidRPr="00C64B61">
          <w:rPr>
            <w:rFonts w:ascii="Times New Roman" w:hAnsi="Times New Roman"/>
            <w:sz w:val="28"/>
          </w:rPr>
          <w:fldChar w:fldCharType="separate"/>
        </w:r>
        <w:r w:rsidR="003F6B0B" w:rsidRPr="003F6B0B">
          <w:rPr>
            <w:rFonts w:ascii="Times New Roman" w:hAnsi="Times New Roman"/>
            <w:noProof/>
            <w:sz w:val="28"/>
            <w:lang w:val="ru-RU"/>
          </w:rPr>
          <w:t>2</w:t>
        </w:r>
        <w:r w:rsidRPr="00C64B61">
          <w:rPr>
            <w:rFonts w:ascii="Times New Roman" w:hAnsi="Times New Roman"/>
            <w:sz w:val="28"/>
          </w:rPr>
          <w:fldChar w:fldCharType="end"/>
        </w:r>
      </w:p>
    </w:sdtContent>
  </w:sdt>
  <w:p w:rsidR="00C64B61" w:rsidRDefault="00C64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61"/>
    <w:rsid w:val="001B371F"/>
    <w:rsid w:val="003F6B0B"/>
    <w:rsid w:val="004B49F7"/>
    <w:rsid w:val="006E3F16"/>
    <w:rsid w:val="00782197"/>
    <w:rsid w:val="007F76EA"/>
    <w:rsid w:val="00A8339B"/>
    <w:rsid w:val="00C64B61"/>
    <w:rsid w:val="00D44240"/>
    <w:rsid w:val="00D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6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C64B6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uiPriority w:val="99"/>
    <w:rsid w:val="00C64B61"/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customStyle="1" w:styleId="1">
    <w:name w:val="Верхний колонтитул Знак1"/>
    <w:link w:val="a3"/>
    <w:uiPriority w:val="99"/>
    <w:rsid w:val="00C64B61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customStyle="1" w:styleId="a5">
    <w:name w:val="Нормальний текст"/>
    <w:basedOn w:val="a"/>
    <w:rsid w:val="00C64B61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customStyle="1" w:styleId="a40">
    <w:name w:val="a4"/>
    <w:basedOn w:val="a"/>
    <w:rsid w:val="00C64B6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64B6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B61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E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1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6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C64B6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uiPriority w:val="99"/>
    <w:rsid w:val="00C64B61"/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customStyle="1" w:styleId="1">
    <w:name w:val="Верхний колонтитул Знак1"/>
    <w:link w:val="a3"/>
    <w:uiPriority w:val="99"/>
    <w:rsid w:val="00C64B61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customStyle="1" w:styleId="a5">
    <w:name w:val="Нормальний текст"/>
    <w:basedOn w:val="a"/>
    <w:rsid w:val="00C64B61"/>
    <w:pPr>
      <w:suppressAutoHyphens w:val="0"/>
      <w:spacing w:before="120"/>
      <w:ind w:firstLine="567"/>
    </w:pPr>
    <w:rPr>
      <w:rFonts w:ascii="Antiqua" w:hAnsi="Antiqua" w:cs="Times New Roman"/>
      <w:lang w:eastAsia="ru-RU"/>
    </w:rPr>
  </w:style>
  <w:style w:type="paragraph" w:customStyle="1" w:styleId="a40">
    <w:name w:val="a4"/>
    <w:basedOn w:val="a"/>
    <w:rsid w:val="00C64B6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64B6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B61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E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26C-FAF7-4A5B-8D96-7B4056D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2017-09-18T10:02:00Z</cp:lastPrinted>
  <dcterms:created xsi:type="dcterms:W3CDTF">2017-09-13T12:38:00Z</dcterms:created>
  <dcterms:modified xsi:type="dcterms:W3CDTF">2017-09-18T12:43:00Z</dcterms:modified>
</cp:coreProperties>
</file>