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85" w:rsidRDefault="003F6385" w:rsidP="003F6385">
      <w:pPr>
        <w:ind w:left="6237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0F0B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Додаток 1 до додатка </w:t>
      </w:r>
      <w:r w:rsidRPr="000F0B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br/>
        <w:t>до рішення обласної ради</w:t>
      </w:r>
    </w:p>
    <w:p w:rsidR="003F6385" w:rsidRPr="003F6385" w:rsidRDefault="003F6385" w:rsidP="003F6385">
      <w:pPr>
        <w:ind w:left="6237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3F6385" w:rsidRPr="00354337" w:rsidRDefault="003F6385" w:rsidP="003F638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6746B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Пріоритети державної та регіональної політики у сфері сталої енергетики та клімату</w:t>
      </w:r>
    </w:p>
    <w:p w:rsidR="003F6385" w:rsidRPr="00354337" w:rsidRDefault="003F6385" w:rsidP="003F638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6236"/>
        <w:gridCol w:w="3119"/>
      </w:tblGrid>
      <w:tr w:rsidR="003F6385" w:rsidRPr="006746B0" w:rsidTr="002A30C8"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6385" w:rsidRPr="006746B0" w:rsidRDefault="003F6385" w:rsidP="002A30C8">
            <w:pPr>
              <w:pStyle w:val="TableContents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6746B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Пріоритети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6385" w:rsidRPr="006746B0" w:rsidRDefault="003F6385" w:rsidP="002A30C8">
            <w:pPr>
              <w:pStyle w:val="TableContents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6746B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Документ</w:t>
            </w:r>
          </w:p>
        </w:tc>
      </w:tr>
      <w:tr w:rsidR="003F6385" w:rsidRPr="006746B0" w:rsidTr="002A30C8">
        <w:trPr>
          <w:trHeight w:val="114"/>
        </w:trPr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6385" w:rsidRPr="00B50D50" w:rsidRDefault="003F6385" w:rsidP="002A30C8">
            <w:pPr>
              <w:pStyle w:val="TableContents"/>
              <w:ind w:firstLine="70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50D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6385" w:rsidRPr="00B50D50" w:rsidRDefault="003F6385" w:rsidP="002A30C8">
            <w:pPr>
              <w:pStyle w:val="TableContents"/>
              <w:ind w:firstLine="70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50D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3F6385" w:rsidRPr="00837310" w:rsidTr="002A30C8">
        <w:tc>
          <w:tcPr>
            <w:tcW w:w="6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6385" w:rsidRPr="00792241" w:rsidRDefault="003F6385" w:rsidP="002A30C8">
            <w:pPr>
              <w:pStyle w:val="TableContents"/>
              <w:ind w:firstLine="65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Метою Стратегії є впровадження в Україні європейських стандартів життя та вихід України на провідні позиції у світі. Дорожня карта та першочергові пріоритети реалізації Стратегії включають реформу енергетик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и, програму енергоефективності, реформу житлово-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комуналь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ного господарства (вектор розвитку), а також програму енергонезалежності та програму збереження навколишнього природного середо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вища (вектор безпеки). Програма</w:t>
            </w:r>
            <w:r w:rsidR="00094439" w:rsidRPr="00B223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енерго-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незалежності є першочерговою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а її головне завдання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–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забезпечення енергетичної безпеки і перехід до енергоефективного та енергоощадного використання та споживання енергоресурсів із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провадженням інноваційних технологій. Основ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ними цілями державної політики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цій сфері є, зокрема, зниження енергоємності валового внутрішнього продукту (на 20 відсотків до кінця 2020 року) та забезпечення максимально широкої диверсифікації шляхів та джерел постачання первинних енергоресурсів, а також залучення іноземних інвестицій в енергетичний сектор України. Передбачається, що у 2020 році енергоємність валов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ого внутрішнього продукту становитиме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0,2 тонни нафтового еквівалента на 1000 доларів США валового внутрішнього продукту за даними Міжна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родного енергетичного агентства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6385" w:rsidRPr="00792241" w:rsidRDefault="003F6385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Страт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егія сталого розвит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ку ,,Україна-2020</w:t>
            </w:r>
            <w:r w:rsidRPr="003C5D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”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схва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лена Указом Президента України від 12 січня 2015 року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 5/2015</w:t>
            </w:r>
          </w:p>
        </w:tc>
      </w:tr>
      <w:tr w:rsidR="003F6385" w:rsidRPr="00837310" w:rsidTr="002A30C8">
        <w:tc>
          <w:tcPr>
            <w:tcW w:w="6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6385" w:rsidRPr="00FC30C9" w:rsidRDefault="003F6385" w:rsidP="002A30C8">
            <w:pPr>
              <w:pStyle w:val="TableContents"/>
              <w:ind w:firstLine="65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Підвищення енергетичної незалежності, розвиток відновлюваної енергетики, забезпечення енергоефективності та енергозбереження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під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вищення ефективності виробництва та постачання теплової енергії включено до пріоритетних дій для досягнення структурної модернізації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економіки, по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ліпшення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умов для ведення бізнесу. Для </w:t>
            </w:r>
            <w:r w:rsidRPr="00817D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підви-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6385" w:rsidRPr="006746B0" w:rsidRDefault="003F6385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Розпорядження Кабінету Міністрів України від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0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 квітня 2017 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№ 275-р ,,Про 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затверд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ження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середньостроко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вого плану пріоритетних дій Уряду до 2020 року </w:t>
            </w:r>
          </w:p>
        </w:tc>
      </w:tr>
      <w:tr w:rsidR="003F6385" w:rsidRPr="00AF3CD2" w:rsidTr="002A30C8">
        <w:trPr>
          <w:trHeight w:val="297"/>
        </w:trPr>
        <w:tc>
          <w:tcPr>
            <w:tcW w:w="6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6385" w:rsidRPr="006746B0" w:rsidRDefault="003F6385" w:rsidP="002A30C8">
            <w:pPr>
              <w:pStyle w:val="TableContents"/>
              <w:ind w:firstLine="6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6385" w:rsidRPr="006746B0" w:rsidRDefault="003F6385" w:rsidP="002A30C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3F6385" w:rsidRPr="009B0F6B" w:rsidTr="002A30C8">
        <w:tc>
          <w:tcPr>
            <w:tcW w:w="6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6385" w:rsidRPr="0097562D" w:rsidRDefault="003F6385" w:rsidP="002A30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щення енергетичної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безпеки передбачається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нарощування власного виробництва енергетичних ресурсів; модернізація енергетичної інфраструктури, диверсифікація джерел постачання енергоресурсів; перехід енергетичного сектору України на ринкові принципи функціонування, запровадження стандартів системи європейської енергетичної безпеки з акцентом на кібербезпеку і безпеку постачання енергоресурсів; збільшення регулюючих маневрових потужностей гідроелектростанцій і гідроакумулюючих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електростанцій. Розвиток відновлюваної енергетики передбачає збільшення частки енергоносіїв, вироблених з відновлюваних джерел енергії, у структурі загального кінцевого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енергоспоживання. Забезпечення 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енерго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ефективності та енергозбереження буде досягнуто внаслідок зменшення обсягів спожива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ння енергоресурсів, у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провадження сучасних енергоефективних технологій; стимулю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вання здійснення заходів щодо підвищення енергоефективності, забезпечення економного використання енергетичних ресурсів населенням, підвищення рівня життя населення в результаті зменшення витрат на оплату енергетичних ресурсів, раціональне використання коштів державного та місцевих бюджетів, які спрямовуються на компенсацію витрат, пов’яза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них з використанням енергетичних ресурсів. Підвищення ефективності виробництва та постачання теплов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ої енергії передбачає поліпшен-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ня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фінансового стану підприємств галузі теплопостачання, залучення інвестицій для модернізації технічної бази, підвищення операційної ефективності та зменшення обсягу споживання енергоресурсів. Крім того, до пріоритетних дій дл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 досягнення стратегічної цілі ,,Ефективне в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рядування” віднесено запобіган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ня змін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ам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клімату та адаптація до 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их, а також належне екологічне в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ряд</w:t>
            </w:r>
            <w:r w:rsidR="002D2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ування</w:t>
            </w:r>
          </w:p>
          <w:p w:rsidR="009B0F6B" w:rsidRPr="00094439" w:rsidRDefault="00D852DE" w:rsidP="00D852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</w:t>
            </w:r>
          </w:p>
          <w:p w:rsidR="009B0F6B" w:rsidRPr="00094439" w:rsidRDefault="009B0F6B" w:rsidP="00D852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F6385" w:rsidRPr="00FC30C9" w:rsidRDefault="009B0F6B" w:rsidP="009B0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6385" w:rsidRPr="009B0F6B" w:rsidRDefault="003F6385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та плану пріоритетних дій Уряду на 2017 рік”</w:t>
            </w: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B0F6B" w:rsidRPr="009B0F6B" w:rsidRDefault="009B0F6B" w:rsidP="009B0F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</w:tr>
      <w:tr w:rsidR="009B0F6B" w:rsidRPr="00837310" w:rsidTr="009B0F6B">
        <w:trPr>
          <w:trHeight w:val="10211"/>
        </w:trPr>
        <w:tc>
          <w:tcPr>
            <w:tcW w:w="62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0F6B" w:rsidRPr="001C553E" w:rsidRDefault="009B0F6B" w:rsidP="009B0F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B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        </w:t>
            </w:r>
            <w:r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Одна з цілей державної політики регіонального розвитку (ціль 1) – підвищення </w:t>
            </w:r>
          </w:p>
          <w:p w:rsidR="009B0F6B" w:rsidRPr="001C553E" w:rsidRDefault="009B0F6B" w:rsidP="00BF09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рівня конкуренто спроможності регіонів.</w:t>
            </w:r>
          </w:p>
          <w:p w:rsidR="009B0F6B" w:rsidRPr="001C553E" w:rsidRDefault="009B0F6B" w:rsidP="009B0F6B">
            <w:pPr>
              <w:pStyle w:val="TableContents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Досягнення її полягає у створенні оптимальних умов для розкриття регіонами власного потенціалу та ефективного використання конкурентних переваг регіональної економіки, а також поширення процесу розвитку з центрів економічного зростання (обласні центри, міста обласного значення) на інші території. Важливим елементами досягнення цілі є підвищення інвестиційної спроможності регіонів та розвиток підприємницького середовища, зокрема: підтрим-</w:t>
            </w:r>
            <w:r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ка підприємств, діяльність яких спрямована на підвищення рівня енергоефективності в регіонах, збільшення частки енергії, отриманої з відновлю-</w:t>
            </w:r>
            <w:r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ваних джерел та </w:t>
            </w:r>
            <w:r w:rsidR="00D814D2"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біопалива</w:t>
            </w:r>
            <w:r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Іншим ключовим елементом підвищення рівня конкурентоспроможності регіонів є диверси-</w:t>
            </w:r>
            <w:r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фікація джерел енергопостачання та підвищення рівня енергоефективності. Досягнення цього завдання полягає у зниженні рівня енергоємності виробництва продукції через оновлення основних фондів, модернізацію виробничих потужностей та запровадження енергоефективних технологій, а також в оптимізації структури регіонального енергетичного балансу шляхом заміщення природного газу енергоресурсами, отриманими з відновлюваних джерел енергії та </w:t>
            </w:r>
            <w:r w:rsidR="00D814D2"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біопалива</w:t>
            </w:r>
            <w:r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насамперед на об’єктах соціальної сфери</w:t>
            </w:r>
          </w:p>
          <w:p w:rsidR="009B0F6B" w:rsidRPr="001C553E" w:rsidRDefault="009B0F6B" w:rsidP="009B0F6B">
            <w:pPr>
              <w:pStyle w:val="TableContents"/>
              <w:rPr>
                <w:lang w:val="uk-UA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0F6B" w:rsidRPr="009B0F6B" w:rsidRDefault="009B0F6B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Державна стратегія ре-</w:t>
            </w:r>
            <w:r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гіонального розвитку на період до 2020 року</w:t>
            </w:r>
          </w:p>
        </w:tc>
      </w:tr>
      <w:tr w:rsidR="003F6385" w:rsidRPr="00354337" w:rsidTr="002A30C8">
        <w:tc>
          <w:tcPr>
            <w:tcW w:w="6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6385" w:rsidRDefault="003F6385" w:rsidP="002A30C8">
            <w:pPr>
              <w:pStyle w:val="TableContents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 результатами реалізації завдань Енегетичної стратегії України планується досягнути зниження енергоємності ВВП більш ніж у два рази до 2035 року. На першому етапі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2020 року очікується досягнути радикального прогресу у сфері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відновлюваних джерел енергії (ВДЕ)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через збільшення їх частки у кінцевому споживанні до 11% (8% від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загального первинного постачання енергії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). На другому етапі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2025 року очікується формування місцевих систем </w:t>
            </w:r>
          </w:p>
          <w:p w:rsidR="003F6385" w:rsidRPr="00362241" w:rsidRDefault="003F6385" w:rsidP="002A30C8">
            <w:pPr>
              <w:pStyle w:val="TableContents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6385" w:rsidRPr="00E35E1F" w:rsidRDefault="003F6385" w:rsidP="002A30C8">
            <w:pPr>
              <w:pStyle w:val="TableContents"/>
              <w:jc w:val="both"/>
              <w:rPr>
                <w:sz w:val="28"/>
              </w:rPr>
            </w:pPr>
            <w:r w:rsidRPr="00354337">
              <w:rPr>
                <w:sz w:val="28"/>
                <w:lang w:val="uk-UA"/>
              </w:rPr>
              <w:lastRenderedPageBreak/>
              <w:t>Енергетична стратегія України на період до 2035 року ,,Безпека, енергоефективність, конкурентоспромож</w:t>
            </w:r>
            <w:r>
              <w:rPr>
                <w:sz w:val="28"/>
                <w:lang w:val="uk-UA"/>
              </w:rPr>
              <w:t>-</w:t>
            </w:r>
            <w:r w:rsidRPr="00354337">
              <w:rPr>
                <w:sz w:val="28"/>
                <w:lang w:val="uk-UA"/>
              </w:rPr>
              <w:t>ність”, схвалена розпо</w:t>
            </w:r>
            <w:r>
              <w:rPr>
                <w:sz w:val="28"/>
                <w:lang w:val="uk-UA"/>
              </w:rPr>
              <w:t>-</w:t>
            </w:r>
            <w:r w:rsidRPr="00354337">
              <w:rPr>
                <w:sz w:val="28"/>
                <w:lang w:val="uk-UA"/>
              </w:rPr>
              <w:t>ряджен</w:t>
            </w:r>
            <w:r>
              <w:rPr>
                <w:sz w:val="28"/>
                <w:lang w:val="uk-UA"/>
              </w:rPr>
              <w:t>ням Кабінету Мі-ністрів</w:t>
            </w:r>
            <w:r w:rsidRPr="00364DB4">
              <w:rPr>
                <w:sz w:val="28"/>
                <w:lang w:val="uk-UA"/>
              </w:rPr>
              <w:t xml:space="preserve"> </w:t>
            </w:r>
            <w:r w:rsidRPr="00354337">
              <w:rPr>
                <w:sz w:val="28"/>
                <w:lang w:val="uk-UA"/>
              </w:rPr>
              <w:t>України від</w:t>
            </w:r>
            <w:r w:rsidRPr="00364DB4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     18 серпня 2017 року     </w:t>
            </w:r>
            <w:r w:rsidRPr="00354337">
              <w:rPr>
                <w:sz w:val="28"/>
                <w:lang w:val="uk-UA"/>
              </w:rPr>
              <w:t>№ 605-р</w:t>
            </w:r>
          </w:p>
          <w:p w:rsidR="003F6385" w:rsidRPr="00362241" w:rsidRDefault="003F6385" w:rsidP="002A3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</w:tr>
      <w:tr w:rsidR="003F6385" w:rsidRPr="00837310" w:rsidTr="002A30C8">
        <w:trPr>
          <w:trHeight w:val="5474"/>
        </w:trPr>
        <w:tc>
          <w:tcPr>
            <w:tcW w:w="62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6385" w:rsidRPr="00A77C9C" w:rsidRDefault="003F6385" w:rsidP="002A30C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теплопостачання на основі економічно обґрунтованого врахування потенціалу місцевих видів палива, логістики постачання, регіональної </w:t>
            </w:r>
          </w:p>
          <w:p w:rsidR="003F6385" w:rsidRPr="00A77C9C" w:rsidRDefault="003F6385" w:rsidP="00EE56B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загальнодержавної енергетичної інфраструкту-ри, а також підвищення ефективності теплопоста-</w:t>
            </w:r>
            <w:r w:rsidRPr="00A7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чання. На цьому етапі також планується інтенсивне залучення інвестицій у сектор ВДЕ та розвиток розподіленої генерації. Третій етап </w:t>
            </w:r>
            <w:r w:rsidR="0097562D" w:rsidRPr="00A7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енергетичної стратегії України</w:t>
            </w:r>
            <w:r w:rsidR="008043E3" w:rsidRPr="00A7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A7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ЕСУ</w:t>
            </w:r>
            <w:r w:rsidR="008043E3" w:rsidRPr="00A7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A7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спрямований на інноваційний розвиток енергетичного сектору й будівництво нової генерації. У сфері охорони довкілля передбачається досягнення цільових показників скорочення викидів </w:t>
            </w:r>
            <w:r w:rsidR="00EE56BA" w:rsidRPr="00A77C9C">
              <w:rPr>
                <w:rFonts w:ascii="Times New Roman" w:hAnsi="Times New Roman" w:cs="Times New Roman"/>
                <w:spacing w:val="-20"/>
                <w:sz w:val="28"/>
                <w:szCs w:val="28"/>
                <w:lang w:val="uk-UA"/>
              </w:rPr>
              <w:t>оксидів сірки, оксидів азоту</w:t>
            </w:r>
            <w:r w:rsidRPr="00A77C9C">
              <w:rPr>
                <w:rFonts w:ascii="Times New Roman" w:hAnsi="Times New Roman" w:cs="Times New Roman"/>
                <w:spacing w:val="-20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A7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пилу згідно з Національним планом скорочення викидів від великих спалювальних установок та запровадження системи торгівлі квотами на викиди парникових газів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6385" w:rsidRPr="00A77C9C" w:rsidRDefault="003F6385" w:rsidP="002A30C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385" w:rsidRPr="00354337" w:rsidTr="002D640F">
        <w:trPr>
          <w:trHeight w:val="296"/>
        </w:trPr>
        <w:tc>
          <w:tcPr>
            <w:tcW w:w="623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3F6385" w:rsidRPr="001C553E" w:rsidRDefault="006844BC" w:rsidP="002A30C8">
            <w:pPr>
              <w:pStyle w:val="TableContents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Здійснення заходів у рамках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</w:t>
            </w:r>
            <w:r w:rsidR="003F6385"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провадження Національного плану дій з енергоефективності надасть можливість досягти цільового показника у </w:t>
            </w:r>
          </w:p>
          <w:p w:rsidR="003F6385" w:rsidRPr="001C553E" w:rsidRDefault="003F6385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2020 році – національної індикативної мети енергозбереження – на рівні 9% середнього показника кінцевого внутрішнього енерго-</w:t>
            </w:r>
            <w:r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споживання за період 2005 – 2009 років. </w:t>
            </w:r>
          </w:p>
          <w:p w:rsidR="003F6385" w:rsidRPr="001C553E" w:rsidRDefault="003F6385" w:rsidP="002A30C8">
            <w:pPr>
              <w:pStyle w:val="TableContents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Заходи для досягнення зазначеної цілі, зокрема, включають:</w:t>
            </w:r>
          </w:p>
          <w:p w:rsidR="003F6385" w:rsidRPr="001C553E" w:rsidRDefault="003F6385" w:rsidP="002A30C8">
            <w:pPr>
              <w:pStyle w:val="TableContents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фінансову підтримку домогосподарств для здійснення заходів із підвищення рівня енергоефективності житлових будинків;</w:t>
            </w:r>
          </w:p>
          <w:p w:rsidR="003F6385" w:rsidRPr="001C553E" w:rsidRDefault="003F6385" w:rsidP="002A30C8">
            <w:pPr>
              <w:pStyle w:val="TableContents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здійснення заходів з термомодернізації (зокрема із залученням енергосервісних компаній) будівель бюджетних установ та організацій і сприяння забезпеченню зразкової ролі державного сектору в питаннях підвищення енерго-</w:t>
            </w:r>
            <w:r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ефективності;</w:t>
            </w:r>
          </w:p>
          <w:p w:rsidR="003F6385" w:rsidRPr="001C553E" w:rsidRDefault="00837310" w:rsidP="002A30C8">
            <w:pPr>
              <w:pStyle w:val="TableContents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</w:t>
            </w:r>
            <w:r w:rsidR="003F6385"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провадження схем енергоаудиту, енерго-</w:t>
            </w:r>
            <w:r w:rsidR="003F6385"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менеджменту та сертифікації тощо, у т.ч. у промисловості;</w:t>
            </w:r>
          </w:p>
          <w:p w:rsidR="00E169BA" w:rsidRPr="001C553E" w:rsidRDefault="003F6385" w:rsidP="002A30C8">
            <w:pPr>
              <w:pStyle w:val="TableContents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забезпечення 100% комерційного обліку споживання енергії та впровадження рахунків з інформаційно-аналітичними даними щодо </w:t>
            </w:r>
            <w:r w:rsidR="002D640F"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дина-</w:t>
            </w:r>
          </w:p>
          <w:p w:rsidR="002D640F" w:rsidRPr="001C553E" w:rsidRDefault="003F6385" w:rsidP="002D640F">
            <w:pPr>
              <w:pStyle w:val="TableContents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6385" w:rsidRPr="001C553E" w:rsidRDefault="003F6385" w:rsidP="002A30C8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 w:rsidRPr="001C553E">
              <w:rPr>
                <w:sz w:val="28"/>
                <w:szCs w:val="28"/>
                <w:lang w:val="uk-UA"/>
              </w:rPr>
              <w:lastRenderedPageBreak/>
              <w:t>Національний план дій з енергоефективності на період до 2020 року, затверджений розпоряд-женням Кабінету Мі-ністрів України від       25 листопада 2015 року    № 1228-р</w:t>
            </w:r>
          </w:p>
          <w:p w:rsidR="003F6385" w:rsidRPr="001C553E" w:rsidRDefault="003F6385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3F6385" w:rsidRPr="001C553E" w:rsidRDefault="003F6385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3F6385" w:rsidRPr="001C553E" w:rsidRDefault="003F6385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3F6385" w:rsidRPr="001C553E" w:rsidRDefault="003F6385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3F6385" w:rsidRPr="001C553E" w:rsidRDefault="003F6385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3F6385" w:rsidRPr="001C553E" w:rsidRDefault="003F6385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3F6385" w:rsidRPr="001C553E" w:rsidRDefault="003F6385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3F6385" w:rsidRPr="001C553E" w:rsidRDefault="003F6385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3F6385" w:rsidRPr="001C553E" w:rsidRDefault="003F6385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3F6385" w:rsidRPr="001C553E" w:rsidRDefault="003F6385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3F6385" w:rsidRPr="001C553E" w:rsidRDefault="003F6385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3F6385" w:rsidRPr="001C553E" w:rsidRDefault="003F6385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3F6385" w:rsidRPr="001C553E" w:rsidRDefault="003F6385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3F6385" w:rsidRPr="001C553E" w:rsidRDefault="003F6385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3F6385" w:rsidRPr="001C553E" w:rsidRDefault="003F6385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2D640F" w:rsidRPr="001C553E" w:rsidRDefault="002D640F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3F6385" w:rsidRPr="00362241" w:rsidRDefault="003F6385" w:rsidP="002A30C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</w:tr>
      <w:tr w:rsidR="002D640F" w:rsidRPr="00837310" w:rsidTr="00BE0496">
        <w:trPr>
          <w:trHeight w:val="3340"/>
        </w:trPr>
        <w:tc>
          <w:tcPr>
            <w:tcW w:w="6236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640F" w:rsidRPr="001C553E" w:rsidRDefault="002D640F" w:rsidP="002D640F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міки обсягів споживання енергії;</w:t>
            </w:r>
          </w:p>
          <w:p w:rsidR="002D640F" w:rsidRPr="001C553E" w:rsidRDefault="002D640F" w:rsidP="002A30C8">
            <w:pPr>
              <w:pStyle w:val="TableContents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урахування критеріїв енергоефективності під час здійснення державних закупівель;</w:t>
            </w:r>
          </w:p>
          <w:p w:rsidR="002D640F" w:rsidRPr="001C553E" w:rsidRDefault="006C2834" w:rsidP="002A30C8">
            <w:pPr>
              <w:pStyle w:val="TableContents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r w:rsidR="002D640F"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провадження заходів з енергоефективності </w:t>
            </w:r>
          </w:p>
          <w:p w:rsidR="002D640F" w:rsidRPr="001C553E" w:rsidRDefault="002D640F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шляхом укладення енергосервісних договорів стосовно промислових об’єктів;</w:t>
            </w:r>
          </w:p>
          <w:p w:rsidR="002D640F" w:rsidRDefault="002D640F" w:rsidP="002A30C8">
            <w:pPr>
              <w:pStyle w:val="TableContents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проведення інформаційних кампаній для забезпечення економії енергоресурсів через зміну поведінки споживачів енергії та більш масштабних заходів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640F" w:rsidRPr="00362241" w:rsidRDefault="002D640F" w:rsidP="002A30C8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F6385" w:rsidRPr="00837310" w:rsidTr="002A30C8">
        <w:tc>
          <w:tcPr>
            <w:tcW w:w="6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6385" w:rsidRDefault="003F6385" w:rsidP="002A30C8">
            <w:pPr>
              <w:pStyle w:val="TableContents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Національні 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індикативні цілі у відновл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ваній енергетиці для України у 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2020 році:</w:t>
            </w:r>
          </w:p>
          <w:p w:rsidR="003F6385" w:rsidRDefault="003F6385" w:rsidP="002A30C8">
            <w:pPr>
              <w:pStyle w:val="TableContents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систем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ах опалення та охолодження – 12,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4%;</w:t>
            </w:r>
          </w:p>
          <w:p w:rsidR="003F6385" w:rsidRDefault="003F6385" w:rsidP="002A30C8">
            <w:pPr>
              <w:pStyle w:val="TableContents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 електроенергетиці – 11%;</w:t>
            </w:r>
          </w:p>
          <w:p w:rsidR="003F6385" w:rsidRPr="006746B0" w:rsidRDefault="003F6385" w:rsidP="002A30C8">
            <w:pPr>
              <w:pStyle w:val="TableContents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 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анспортному секторі – 10%.</w:t>
            </w:r>
          </w:p>
          <w:p w:rsidR="003F6385" w:rsidRPr="0097562D" w:rsidRDefault="003F6385" w:rsidP="002A30C8">
            <w:pPr>
              <w:pStyle w:val="TableContents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Загальна частка відновлюваних джерел енергії у валовому кінцевому обсязі споживання енергії до 2020 року в системах опалення та охолодження, у виробництві електроенергії та транспортному секторі 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ає становити 11%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6385" w:rsidRPr="0097562D" w:rsidRDefault="003F6385" w:rsidP="002A30C8">
            <w:pPr>
              <w:pStyle w:val="TableContents"/>
              <w:jc w:val="both"/>
              <w:rPr>
                <w:rFonts w:ascii="Times New Roman" w:hAnsi="Times New Roman" w:cs="Times New Roman"/>
                <w:lang w:val="ru-RU"/>
              </w:rPr>
            </w:pPr>
            <w:r w:rsidRPr="00362241">
              <w:rPr>
                <w:rFonts w:ascii="Times New Roman" w:hAnsi="Times New Roman" w:cs="Times New Roman"/>
                <w:sz w:val="28"/>
                <w:lang w:val="uk-UA"/>
              </w:rPr>
              <w:t>Національний план дій з відновлюваної енер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362241">
              <w:rPr>
                <w:rFonts w:ascii="Times New Roman" w:hAnsi="Times New Roman" w:cs="Times New Roman"/>
                <w:sz w:val="28"/>
                <w:lang w:val="uk-UA"/>
              </w:rPr>
              <w:t xml:space="preserve">гетики на період до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</w:t>
            </w:r>
            <w:r w:rsidRPr="00362241">
              <w:rPr>
                <w:rFonts w:ascii="Times New Roman" w:hAnsi="Times New Roman" w:cs="Times New Roman"/>
                <w:sz w:val="28"/>
                <w:lang w:val="uk-UA"/>
              </w:rPr>
              <w:t xml:space="preserve">2020 року, затверджений розпорядженням Кабінету Міністрів України від 01 жовтня </w:t>
            </w:r>
            <w:r w:rsidRPr="00362241">
              <w:rPr>
                <w:rFonts w:ascii="Times New Roman" w:hAnsi="Times New Roman" w:cs="Times New Roman"/>
                <w:sz w:val="28"/>
                <w:lang w:val="uk-UA"/>
              </w:rPr>
              <w:br/>
              <w:t>2014 року № 902-р</w:t>
            </w:r>
          </w:p>
        </w:tc>
      </w:tr>
      <w:tr w:rsidR="003F6385" w:rsidRPr="00837310" w:rsidTr="002A30C8">
        <w:tc>
          <w:tcPr>
            <w:tcW w:w="6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6385" w:rsidRPr="001C553E" w:rsidRDefault="003F6385" w:rsidP="006C2834">
            <w:pPr>
              <w:pStyle w:val="TableContents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Екологічна та енергетична безпека – це одна з 4 стратегічних цілей Дніпропетровської області. Енергоефективність та розвиток </w:t>
            </w:r>
            <w:r w:rsidR="006C2834"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відновлюваної</w:t>
            </w:r>
            <w:r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енергетики визначено як одну з операційних цілей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6385" w:rsidRPr="0097562D" w:rsidRDefault="003F6385" w:rsidP="002A30C8">
            <w:pPr>
              <w:pStyle w:val="TableContents"/>
              <w:jc w:val="both"/>
              <w:rPr>
                <w:sz w:val="28"/>
                <w:lang w:val="ru-RU"/>
              </w:rPr>
            </w:pPr>
            <w:r w:rsidRPr="001C553E">
              <w:rPr>
                <w:sz w:val="28"/>
                <w:lang w:val="uk-UA"/>
              </w:rPr>
              <w:t>Cтратегія розвитку Дні-пропетровської області на період до 2020 року, затверджена рішенням обласної ради від          26 жовтня 2014 року    № 561-27/VI</w:t>
            </w:r>
          </w:p>
        </w:tc>
      </w:tr>
      <w:tr w:rsidR="003F6385" w:rsidRPr="00107911" w:rsidTr="002A30C8">
        <w:tc>
          <w:tcPr>
            <w:tcW w:w="6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6385" w:rsidRPr="001C553E" w:rsidRDefault="003F6385" w:rsidP="006C2834">
            <w:pPr>
              <w:pStyle w:val="TableContents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 основних завдань стратегії екологіч-</w:t>
            </w:r>
            <w:r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ної безпеки та запобігання зміни клімату, які будуть враховані при розробці Стратегії, такі: зменшення забруднення повітряного басейну; формування екологічної культури населення; поліпшення та вдосконалення сфери збору, утилізації та переробки твердих побутових відходів; підвищення ефективності управління енергетичними ресурсами; розвиток </w:t>
            </w:r>
            <w:r w:rsidR="006C2834"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відновлюваної</w:t>
            </w:r>
            <w:r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енергетики; підвищення енергое</w:t>
            </w:r>
            <w:r w:rsidR="006C2834"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фектив</w:t>
            </w:r>
            <w:r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ності та енергозбереження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6385" w:rsidRPr="001C553E" w:rsidRDefault="003F6385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Дніпропетровська облас-</w:t>
            </w:r>
            <w:r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на комплексна програма (стратегія) екологічної безпеки та запобігання змінам клімату на 2016 – </w:t>
            </w:r>
          </w:p>
          <w:p w:rsidR="003F6385" w:rsidRPr="001C553E" w:rsidRDefault="003F6385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2025 роки, затверджена рішенням обласної ради від 21 жовтня 2015 року </w:t>
            </w:r>
          </w:p>
          <w:p w:rsidR="003F6385" w:rsidRPr="002B6F55" w:rsidRDefault="003F6385" w:rsidP="002A30C8">
            <w:pPr>
              <w:pStyle w:val="TableContents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5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 680-34/VI</w:t>
            </w:r>
          </w:p>
        </w:tc>
      </w:tr>
    </w:tbl>
    <w:p w:rsidR="002C373F" w:rsidRPr="002C373F" w:rsidRDefault="002C373F" w:rsidP="003F6385">
      <w:pPr>
        <w:rPr>
          <w:rFonts w:ascii="Times New Roman" w:hAnsi="Times New Roman" w:cs="Times New Roman"/>
          <w:b/>
          <w:sz w:val="10"/>
          <w:szCs w:val="28"/>
          <w:lang w:val="uk-UA"/>
        </w:rPr>
      </w:pPr>
    </w:p>
    <w:p w:rsidR="003F6385" w:rsidRPr="000F0B21" w:rsidRDefault="003F6385" w:rsidP="003F638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0B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заступник </w:t>
      </w:r>
    </w:p>
    <w:p w:rsidR="00F60341" w:rsidRPr="002C373F" w:rsidRDefault="003F6385" w:rsidP="003F638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0B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голови обласної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F0B21">
        <w:rPr>
          <w:rFonts w:ascii="Times New Roman" w:hAnsi="Times New Roman" w:cs="Times New Roman"/>
          <w:b/>
          <w:sz w:val="28"/>
          <w:szCs w:val="28"/>
          <w:lang w:val="uk-UA"/>
        </w:rPr>
        <w:t>С. ОЛІЙНИК</w:t>
      </w:r>
    </w:p>
    <w:sectPr w:rsidR="00F60341" w:rsidRPr="002C373F" w:rsidSect="003251E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EC8" w:rsidRDefault="00E03EC8" w:rsidP="001B6A80">
      <w:r>
        <w:separator/>
      </w:r>
    </w:p>
  </w:endnote>
  <w:endnote w:type="continuationSeparator" w:id="1">
    <w:p w:rsidR="00E03EC8" w:rsidRDefault="00E03EC8" w:rsidP="001B6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11" w:rsidRPr="002C1736" w:rsidRDefault="00E03EC8">
    <w:pPr>
      <w:pStyle w:val="a3"/>
      <w:jc w:val="right"/>
      <w:rPr>
        <w:rFonts w:asciiTheme="minorHAnsi" w:hAnsiTheme="minorHAnsi"/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EC8" w:rsidRDefault="00E03EC8" w:rsidP="001B6A80">
      <w:r>
        <w:separator/>
      </w:r>
    </w:p>
  </w:footnote>
  <w:footnote w:type="continuationSeparator" w:id="1">
    <w:p w:rsidR="00E03EC8" w:rsidRDefault="00E03EC8" w:rsidP="001B6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42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54337" w:rsidRDefault="002666F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44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409C8" w:rsidRPr="002444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44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7310" w:rsidRPr="00837310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2444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107911" w:rsidRPr="00244441" w:rsidRDefault="002666F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779"/>
    <w:rsid w:val="00000B65"/>
    <w:rsid w:val="00015426"/>
    <w:rsid w:val="00094439"/>
    <w:rsid w:val="00127A06"/>
    <w:rsid w:val="00180950"/>
    <w:rsid w:val="001B6A80"/>
    <w:rsid w:val="001C553E"/>
    <w:rsid w:val="001E7C46"/>
    <w:rsid w:val="002666F7"/>
    <w:rsid w:val="002671BB"/>
    <w:rsid w:val="0027591D"/>
    <w:rsid w:val="002A2095"/>
    <w:rsid w:val="002B6F55"/>
    <w:rsid w:val="002C2EB9"/>
    <w:rsid w:val="002C2FDC"/>
    <w:rsid w:val="002C373F"/>
    <w:rsid w:val="002D28DF"/>
    <w:rsid w:val="002D640F"/>
    <w:rsid w:val="003251EB"/>
    <w:rsid w:val="003409C8"/>
    <w:rsid w:val="00354337"/>
    <w:rsid w:val="00362241"/>
    <w:rsid w:val="00364DB4"/>
    <w:rsid w:val="003A04D2"/>
    <w:rsid w:val="003A2792"/>
    <w:rsid w:val="003F6385"/>
    <w:rsid w:val="00416890"/>
    <w:rsid w:val="00437F32"/>
    <w:rsid w:val="004524A1"/>
    <w:rsid w:val="004C724A"/>
    <w:rsid w:val="004D75B5"/>
    <w:rsid w:val="005025A1"/>
    <w:rsid w:val="005B7BDF"/>
    <w:rsid w:val="005C4933"/>
    <w:rsid w:val="0061020D"/>
    <w:rsid w:val="00631B57"/>
    <w:rsid w:val="00652E89"/>
    <w:rsid w:val="00681C9D"/>
    <w:rsid w:val="006844BC"/>
    <w:rsid w:val="006A4CF8"/>
    <w:rsid w:val="006A78EE"/>
    <w:rsid w:val="006C2834"/>
    <w:rsid w:val="006E3B55"/>
    <w:rsid w:val="00792241"/>
    <w:rsid w:val="007A60F5"/>
    <w:rsid w:val="007F6583"/>
    <w:rsid w:val="008043E3"/>
    <w:rsid w:val="00817D84"/>
    <w:rsid w:val="00837310"/>
    <w:rsid w:val="00841418"/>
    <w:rsid w:val="00894F1D"/>
    <w:rsid w:val="008A18B8"/>
    <w:rsid w:val="008E5109"/>
    <w:rsid w:val="00906CC6"/>
    <w:rsid w:val="0097562D"/>
    <w:rsid w:val="009B0F6B"/>
    <w:rsid w:val="00A64026"/>
    <w:rsid w:val="00A7376B"/>
    <w:rsid w:val="00A77C9C"/>
    <w:rsid w:val="00A80BD6"/>
    <w:rsid w:val="00AB1137"/>
    <w:rsid w:val="00B000F7"/>
    <w:rsid w:val="00B22359"/>
    <w:rsid w:val="00B50D50"/>
    <w:rsid w:val="00B83BC4"/>
    <w:rsid w:val="00B87232"/>
    <w:rsid w:val="00B9601F"/>
    <w:rsid w:val="00BA2E35"/>
    <w:rsid w:val="00BC3779"/>
    <w:rsid w:val="00BF09E1"/>
    <w:rsid w:val="00C03523"/>
    <w:rsid w:val="00C147B4"/>
    <w:rsid w:val="00C31279"/>
    <w:rsid w:val="00C377B1"/>
    <w:rsid w:val="00CA35DD"/>
    <w:rsid w:val="00CE0976"/>
    <w:rsid w:val="00D23E7C"/>
    <w:rsid w:val="00D814D2"/>
    <w:rsid w:val="00D852DE"/>
    <w:rsid w:val="00DD2346"/>
    <w:rsid w:val="00DF3A4E"/>
    <w:rsid w:val="00E03EC8"/>
    <w:rsid w:val="00E169BA"/>
    <w:rsid w:val="00E35E1F"/>
    <w:rsid w:val="00E42D80"/>
    <w:rsid w:val="00E47E26"/>
    <w:rsid w:val="00E671E4"/>
    <w:rsid w:val="00EC556B"/>
    <w:rsid w:val="00EE56BA"/>
    <w:rsid w:val="00F60341"/>
    <w:rsid w:val="00FC30C9"/>
    <w:rsid w:val="00FD3376"/>
    <w:rsid w:val="00FF2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80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qFormat/>
    <w:rsid w:val="001B6A80"/>
    <w:pPr>
      <w:suppressLineNumbers/>
    </w:pPr>
  </w:style>
  <w:style w:type="paragraph" w:styleId="a3">
    <w:name w:val="footer"/>
    <w:basedOn w:val="a"/>
    <w:link w:val="a4"/>
    <w:rsid w:val="001B6A80"/>
  </w:style>
  <w:style w:type="character" w:customStyle="1" w:styleId="a4">
    <w:name w:val="Нижний колонтитул Знак"/>
    <w:basedOn w:val="a0"/>
    <w:link w:val="a3"/>
    <w:rsid w:val="001B6A80"/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  <w:style w:type="paragraph" w:styleId="a5">
    <w:name w:val="header"/>
    <w:basedOn w:val="a"/>
    <w:link w:val="a6"/>
    <w:uiPriority w:val="99"/>
    <w:unhideWhenUsed/>
    <w:rsid w:val="001B6A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1B6A80"/>
    <w:rPr>
      <w:rFonts w:ascii="Liberation Serif" w:eastAsia="Noto Sans CJK SC Regular" w:hAnsi="Liberation Serif" w:cs="Mangal"/>
      <w:sz w:val="24"/>
      <w:szCs w:val="21"/>
      <w:lang w:val="en-US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1B6A80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B6A80"/>
    <w:rPr>
      <w:rFonts w:ascii="Tahoma" w:eastAsia="Noto Sans CJK SC Regular" w:hAnsi="Tahoma" w:cs="Mangal"/>
      <w:sz w:val="16"/>
      <w:szCs w:val="1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80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qFormat/>
    <w:rsid w:val="001B6A80"/>
    <w:pPr>
      <w:suppressLineNumbers/>
    </w:pPr>
  </w:style>
  <w:style w:type="paragraph" w:styleId="a3">
    <w:name w:val="footer"/>
    <w:basedOn w:val="a"/>
    <w:link w:val="a4"/>
    <w:rsid w:val="001B6A80"/>
  </w:style>
  <w:style w:type="character" w:customStyle="1" w:styleId="a4">
    <w:name w:val="Нижний колонтитул Знак"/>
    <w:basedOn w:val="a0"/>
    <w:link w:val="a3"/>
    <w:rsid w:val="001B6A80"/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  <w:style w:type="paragraph" w:styleId="a5">
    <w:name w:val="header"/>
    <w:basedOn w:val="a"/>
    <w:link w:val="a6"/>
    <w:uiPriority w:val="99"/>
    <w:unhideWhenUsed/>
    <w:rsid w:val="001B6A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1B6A80"/>
    <w:rPr>
      <w:rFonts w:ascii="Liberation Serif" w:eastAsia="Noto Sans CJK SC Regular" w:hAnsi="Liberation Serif" w:cs="Mangal"/>
      <w:sz w:val="24"/>
      <w:szCs w:val="21"/>
      <w:lang w:val="en-US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1B6A80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B6A80"/>
    <w:rPr>
      <w:rFonts w:ascii="Tahoma" w:eastAsia="Noto Sans CJK SC Regular" w:hAnsi="Tahoma" w:cs="Mangal"/>
      <w:sz w:val="16"/>
      <w:szCs w:val="1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BC58-FD0F-4233-8077-2FDC9D03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2017-11-10T13:22:00Z</cp:lastPrinted>
  <dcterms:created xsi:type="dcterms:W3CDTF">2017-11-07T09:12:00Z</dcterms:created>
  <dcterms:modified xsi:type="dcterms:W3CDTF">2017-11-29T10:24:00Z</dcterms:modified>
</cp:coreProperties>
</file>