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7" w:rsidRPr="00A35F57" w:rsidRDefault="00E91D07" w:rsidP="00E91D07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91D07" w:rsidRPr="00A35F57" w:rsidRDefault="00E91D07" w:rsidP="00E91D07">
      <w:pPr>
        <w:spacing w:after="0" w:line="240" w:lineRule="auto"/>
        <w:ind w:left="12047"/>
        <w:rPr>
          <w:rFonts w:ascii="Times New Roman" w:hAnsi="Times New Roman"/>
          <w:sz w:val="24"/>
          <w:szCs w:val="24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A87C0C" w:rsidRPr="00A87C0C" w:rsidRDefault="00A87C0C" w:rsidP="00A87C0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7C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</w:t>
      </w:r>
    </w:p>
    <w:p w:rsidR="00A87C0C" w:rsidRPr="00A87C0C" w:rsidRDefault="00A87C0C" w:rsidP="00A87C0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7C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завдань і заходів Програми створення та використання матеріальних резервів для запобігання </w:t>
      </w:r>
    </w:p>
    <w:p w:rsidR="00A87C0C" w:rsidRPr="00975BD3" w:rsidRDefault="00A87C0C" w:rsidP="00975B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7C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ліквідації наслідків надзвичайних ситуацій у Дніпроп</w:t>
      </w:r>
      <w:r w:rsidR="00975B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етровській області до 2022 року</w:t>
      </w:r>
    </w:p>
    <w:tbl>
      <w:tblPr>
        <w:tblStyle w:val="a7"/>
        <w:tblW w:w="1575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80"/>
        <w:gridCol w:w="1418"/>
        <w:gridCol w:w="850"/>
        <w:gridCol w:w="1134"/>
        <w:gridCol w:w="850"/>
        <w:gridCol w:w="850"/>
        <w:gridCol w:w="851"/>
        <w:gridCol w:w="886"/>
        <w:gridCol w:w="858"/>
        <w:gridCol w:w="858"/>
        <w:gridCol w:w="858"/>
        <w:gridCol w:w="858"/>
        <w:gridCol w:w="858"/>
        <w:gridCol w:w="1486"/>
      </w:tblGrid>
      <w:tr w:rsidR="00A87C0C" w:rsidRPr="00A87C0C" w:rsidTr="00975BD3">
        <w:trPr>
          <w:tblHeader/>
        </w:trPr>
        <w:tc>
          <w:tcPr>
            <w:tcW w:w="156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 напряму діяльності (пріоритетні) завдання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 Програми з виконання завдання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Відповідальні за виконання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Строки </w:t>
            </w:r>
            <w:proofErr w:type="spellStart"/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8861" w:type="dxa"/>
            <w:gridSpan w:val="10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Очікуваний результат виконання заходу, у тому числі за роками виконання </w:t>
            </w:r>
          </w:p>
        </w:tc>
      </w:tr>
      <w:tr w:rsidR="00A87C0C" w:rsidRPr="00A87C0C" w:rsidTr="00975BD3">
        <w:trPr>
          <w:tblHeader/>
        </w:trPr>
        <w:tc>
          <w:tcPr>
            <w:tcW w:w="156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етапи 2003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2022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роки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ІІ етапи 2003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2012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роки</w:t>
            </w:r>
          </w:p>
        </w:tc>
        <w:tc>
          <w:tcPr>
            <w:tcW w:w="851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етап 2013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2017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роки</w:t>
            </w:r>
          </w:p>
        </w:tc>
        <w:tc>
          <w:tcPr>
            <w:tcW w:w="886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етап 2018 </w:t>
            </w:r>
            <w:r w:rsidRPr="00A87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2022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роки</w:t>
            </w:r>
          </w:p>
        </w:tc>
        <w:tc>
          <w:tcPr>
            <w:tcW w:w="4290" w:type="dxa"/>
            <w:gridSpan w:val="5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тому числі за роками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87C0C" w:rsidRPr="00A87C0C" w:rsidTr="00975BD3">
        <w:trPr>
          <w:tblHeader/>
        </w:trPr>
        <w:tc>
          <w:tcPr>
            <w:tcW w:w="156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87C0C" w:rsidRPr="00A87C0C" w:rsidTr="00975BD3">
        <w:trPr>
          <w:tblHeader/>
        </w:trPr>
        <w:tc>
          <w:tcPr>
            <w:tcW w:w="156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8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4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1. Визначення 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1.1.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Визначен-</w:t>
            </w:r>
            <w:proofErr w:type="spellEnd"/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ня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максимально гіпотетичної (прогнозованої) надзвичайної  ситуації, характерної для конкретної території, об’єкта, а також передбаченого обсягу робіт з ліквідації її наслідків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, управління (відділи, сектори, спеціалісти) з питань надзвичайних ситуацій та 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2022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trike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можливості реального й ефективного функціонування Єдиної державної системи запобігання та реагування на надзвичайні ситуації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2. Визначення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номеклатури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, обсягів та норм накопичення матеріальних резервів регіонального, місцевого та об’єктового рівнів 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2.1. Визначення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номеклатури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, обсягів та норм накопичення матеріальних резервів регіонального, місцевого та об’єктового рівнів 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 управління (відділи, сектори, спеціалісти) з питань надзвичайних ситуацій та 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2006 –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2022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Забезпечення можливості реального й ефективного функціонування Єдиної державної системи запобігання та реагування на надзвичайні ситуації</w:t>
            </w:r>
            <w:r w:rsidRPr="00A87C0C">
              <w:rPr>
                <w:rFonts w:ascii="Times New Roman" w:eastAsia="Times New Roman" w:hAnsi="Times New Roman"/>
                <w:strike/>
                <w:sz w:val="19"/>
                <w:szCs w:val="19"/>
                <w:lang w:val="uk-UA" w:eastAsia="ru-RU"/>
              </w:rPr>
              <w:t xml:space="preserve">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Погодження з МНС України і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затвердження головою Державної комісії з питань техногенно-екологічної безпеки та надзвичайних ситуацій номенклатури й обсягів резервів регіонального рівня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3.1. Погодження з МНС України і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затвердження головою Державної комісії з питань техногенно-екологічної безпеки та надзвичайних ситуацій номенклатури й обсягів резервів регіонального рівня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цивільного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 управління (відділи, сектори, спеціалісти) з питань надзвичайних ситуацій та цивільного захисту міст, районів області, міські голови (за згодою), голови райдержадміністрацій та керівники 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до  2016 року 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можливості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реального й ефективного функціонування Єдиної державної системи запобігання та реагування на надзвичайні ситуації</w:t>
            </w:r>
            <w:r w:rsidRPr="00A87C0C">
              <w:rPr>
                <w:rFonts w:ascii="Times New Roman" w:eastAsia="Times New Roman" w:hAnsi="Times New Roman"/>
                <w:strike/>
                <w:sz w:val="19"/>
                <w:szCs w:val="19"/>
                <w:lang w:val="uk-UA" w:eastAsia="ru-RU"/>
              </w:rPr>
              <w:t xml:space="preserve">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4. Визначення місць розміщення регіонального, місцевих та об’єктових резервів, з урахуванням їх оперативної доставки до можливих зон надзвичайних ситуацій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4.1. Визначення місць розміщення регіонального, місцевих та об’єктових резервів, з урахуванням їх оперативної доставки до можливих зон надзвичайних ситуацій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, управління (відділи, сектори, спеціалісти) з питань надзвичайних ситуацій та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підприємств (за згодою)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   2006 –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2022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Забезпечення можливості реального й ефективного функціонування Єдиної державної системи запобігання та реагування на надзвичайні ситуації</w:t>
            </w:r>
            <w:r w:rsidRPr="00A87C0C">
              <w:rPr>
                <w:rFonts w:ascii="Times New Roman" w:eastAsia="Times New Roman" w:hAnsi="Times New Roman"/>
                <w:strike/>
                <w:sz w:val="19"/>
                <w:szCs w:val="19"/>
                <w:lang w:val="uk-UA" w:eastAsia="ru-RU"/>
              </w:rPr>
              <w:t xml:space="preserve">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5. Створення умов щодо охорони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матеріальниї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цінностей регіонального матеріального резерву Дніпропетровської області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5.1. Охорона та патрулювання складів регіонального матеріального резерву (далі – склад), підтримання у належному стані території та будівель складу, оснащення складів сигналізацією та підтримання її у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робочому стані, опалення приміщень складу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2006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2022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7011,90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4400,00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Забезпечення надійної охорони, збереження регіонального матеріального резерву, підтримання матеріально-технічних засобів у постійній готовності до використання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3261,90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3750,00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3150,00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6. Створення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об’єктового матеріального резерву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6.1. Закупівля матеріальних цінностей для запобігання, ліквідації надзвичайних ситуацій та їх наслідків 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 управління (відділи, сектори, спеціалісти) з питань надзвичайних ситуацій та 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190319,4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74619,40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45700,00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можливості реального й ефективного функціонування Єдиної державної системи запобігання та реагування на надзвичайні ситуації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190319,4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74619,40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45700,00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7. Створення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місцевого матеріального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резеру</w:t>
            </w:r>
            <w:proofErr w:type="spellEnd"/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7.1. Закупівля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матеріальних цінностей для запобігання, ліквідації надзвичайних ситуацій та їх наслідків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 управління (відділи, сектори, спеціалісти) з питань надзвичайних ситуацій та 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 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  2022  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Загальний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72463,44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8279,41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60959,03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3225,0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можливості реального й ефективного функціонування Єдиної державної системи запобігання та реагування на надзвичайні ситуації 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rPr>
          <w:trHeight w:val="74"/>
        </w:trPr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72463,44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8279,41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60959,03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3225,0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3D78C6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8. Створення регіонального матеріального резерву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Дніпропетровсь-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кої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області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8.1. Закупівля матеріальних цінностей для запобігання, ліквідації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надзвичайних ситуацій та їх наслідків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42095,72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4357,72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21238,00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16500,00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можливості реального й ефективного функціонування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Єдиної державної системи запобігання та реагування на надзвичайні ситуації з найменшими фінансовими витратами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13758,72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2887,72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8371,00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28337,00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1470,00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12867,00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975BD3" w:rsidRDefault="00975BD3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975BD3" w:rsidRDefault="00975BD3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975BD3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3D78C6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9. Виконання заходів, пов’язаних із накопиченням матеріальних цінностей, що залучаються до регіонального матеріального резерву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Дніпропетровсь-кої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області, підготовка річних графіків накопичення резервів</w:t>
            </w: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9.1. Вантажні роботи, витрати на доставку, вимірювальну техніку (ваги, штангенциркулі тощо), складський інвентар, спеціальний одяг. Складання річних графіків накопичення резервів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  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175,00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Забезпечення можливості реального й ефективного функціонування Єдиної державної системи запобігання та реагування на надзвичайні ситуації з найменшими фінансовими витратами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315,00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135,00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975BD3" w:rsidRDefault="00975BD3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975BD3" w:rsidRDefault="00975BD3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975BD3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10. Залучення д</w:t>
            </w:r>
            <w:r w:rsidR="00975BD3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ля вищезазначених заходів резерву подальшого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вищого рівня в разі недостатньої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наявності матеріального резерву відповідного (регіонального, місцевого та об’єктового) рівня</w:t>
            </w:r>
          </w:p>
        </w:tc>
        <w:tc>
          <w:tcPr>
            <w:tcW w:w="1580" w:type="dxa"/>
            <w:vMerge w:val="restart"/>
          </w:tcPr>
          <w:p w:rsidR="00A87C0C" w:rsidRPr="00A87C0C" w:rsidRDefault="00975BD3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10.1. Залучення для вищезазначених</w:t>
            </w:r>
            <w:r w:rsidR="003D78C6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заходів резерву родальшого</w:t>
            </w:r>
            <w:bookmarkStart w:id="0" w:name="_GoBack"/>
            <w:bookmarkEnd w:id="0"/>
            <w:r w:rsidR="00A87C0C"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вищого рівня в </w:t>
            </w:r>
            <w:r w:rsidR="00A87C0C"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разі недостатньої наявності матеріального резерву відповідного (регіонального, місцевого та об’єктового) рівня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, управління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(відділи, сектори, спеціалісти) з питань надзвичайних ситуацій та цивільного захисту міст, районів, об’єднаних територіальних громад області, міські голови (за згодою), голови райдержадміністрацій, голови об’єднаних територіальних громад та керівники підприємств (за згодою)</w:t>
            </w:r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  2003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       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Забезпечення можливості реального й ефективного функціонування Єдиної державної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системи запобігання та реагування на надзвичайні ситуації  з найменшими фінансовими витратами</w:t>
            </w: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11. Поповнення резервів, використаних під час ліквідації надзвичайних ситуацій, поновлення резервів при закінченні терміну придатності та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інших випадків, що тягнуть за собою вихід з ладу обладнання та псування матеріальних цінностей, обслуговування резервів з метою підтримки працездатності обладнання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10.1. Закупівля матеріальних цінностей, необхідних для запобігання, ліквідації надзвичайних ситуацій та їх наслідків. Виконання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заходів</w:t>
            </w:r>
            <w:r w:rsidR="00975BD3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необхідних для підтримки працездатності обладнання</w:t>
            </w:r>
          </w:p>
        </w:tc>
        <w:tc>
          <w:tcPr>
            <w:tcW w:w="1418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Управління цивільного захисту </w:t>
            </w:r>
            <w:proofErr w:type="spellStart"/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облдержадмі-ністрації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2006 –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2022              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 роки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52751,89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4516,89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20885,00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27350,00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3750,00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Підвищення  ефективності захисту населення, запобігання та ліквідації наслідків надзвичайних ситуацій, забезпечення </w:t>
            </w: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можливості реального та ефективного функціонування Єдиної державної системи запобігання та реагування на надзвичайні ситуації з найменшими фінансовими витратами</w:t>
            </w: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28735,89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3635,89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10600,00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14500,00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24016,00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881,00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10285,00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12850,00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3000,00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156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80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7C0C" w:rsidRPr="00A87C0C" w:rsidRDefault="00A87C0C" w:rsidP="00A87C0C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5408" w:type="dxa"/>
            <w:gridSpan w:val="4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lang w:val="uk-UA"/>
              </w:rPr>
            </w:pP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Theme="minorHAnsi" w:hAnsi="Times New Roman" w:cstheme="minorBidi"/>
                <w:b/>
                <w:sz w:val="20"/>
                <w:lang w:val="uk-UA"/>
              </w:rPr>
              <w:t>Усього за Програмою:</w:t>
            </w: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Загальний обсяг, 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т. ч.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365092,35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92585,32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150757,03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121750,00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21830,00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1486" w:type="dxa"/>
            <w:vMerge w:val="restart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5408" w:type="dxa"/>
            <w:gridSpan w:val="4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5408" w:type="dxa"/>
            <w:gridSpan w:val="4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46071,51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7335,51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20311,00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18425,00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3685,00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5408" w:type="dxa"/>
            <w:gridSpan w:val="4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128701,44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10630,41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84746,03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33325,00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4145,00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7295,00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87C0C" w:rsidRPr="00A87C0C" w:rsidTr="00975BD3">
        <w:tc>
          <w:tcPr>
            <w:tcW w:w="5408" w:type="dxa"/>
            <w:gridSpan w:val="4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Інші джерела</w:t>
            </w:r>
          </w:p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190319,40</w:t>
            </w:r>
          </w:p>
        </w:tc>
        <w:tc>
          <w:tcPr>
            <w:tcW w:w="850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74619,40</w:t>
            </w:r>
          </w:p>
        </w:tc>
        <w:tc>
          <w:tcPr>
            <w:tcW w:w="851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45700,00</w:t>
            </w:r>
          </w:p>
        </w:tc>
        <w:tc>
          <w:tcPr>
            <w:tcW w:w="886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858" w:type="dxa"/>
            <w:vAlign w:val="center"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87C0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486" w:type="dxa"/>
            <w:vMerge/>
          </w:tcPr>
          <w:p w:rsidR="00A87C0C" w:rsidRPr="00A87C0C" w:rsidRDefault="00A87C0C" w:rsidP="00A87C0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</w:tbl>
    <w:p w:rsidR="00975BD3" w:rsidRPr="00E91D07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Перший заступник</w:t>
      </w:r>
      <w:r w:rsidRPr="00975BD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С. ОЛІЙНИК                                          </w:t>
      </w:r>
    </w:p>
    <w:p w:rsidR="00975BD3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A87C0C" w:rsidRPr="00A87C0C" w:rsidRDefault="00A87C0C" w:rsidP="00A87C0C">
      <w:pPr>
        <w:spacing w:after="0"/>
        <w:rPr>
          <w:rFonts w:ascii="Times New Roman" w:eastAsia="Times New Roman" w:hAnsi="Times New Roman"/>
          <w:sz w:val="19"/>
          <w:szCs w:val="19"/>
          <w:lang w:val="uk-UA" w:eastAsia="ru-RU"/>
        </w:rPr>
      </w:pPr>
    </w:p>
    <w:p w:rsidR="00A87C0C" w:rsidRPr="00A87C0C" w:rsidRDefault="00A87C0C" w:rsidP="00A87C0C">
      <w:pPr>
        <w:spacing w:after="0"/>
        <w:rPr>
          <w:rFonts w:ascii="Times New Roman" w:eastAsia="Times New Roman" w:hAnsi="Times New Roman"/>
          <w:sz w:val="19"/>
          <w:szCs w:val="19"/>
          <w:lang w:val="uk-UA" w:eastAsia="ru-RU"/>
        </w:rPr>
      </w:pPr>
    </w:p>
    <w:p w:rsidR="00E91D07" w:rsidRPr="00A35F57" w:rsidRDefault="00E91D07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5BD3" w:rsidRPr="00E91D07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:rsidR="00975BD3" w:rsidRPr="00E91D07" w:rsidRDefault="00975BD3" w:rsidP="00975BD3">
      <w:pPr>
        <w:rPr>
          <w:rFonts w:ascii="Times New Roman" w:hAnsi="Times New Roman"/>
          <w:lang w:val="uk-UA"/>
        </w:rPr>
      </w:pPr>
    </w:p>
    <w:p w:rsidR="00E91D07" w:rsidRPr="00E91D07" w:rsidRDefault="00E91D07" w:rsidP="00975B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>К</w:t>
      </w:r>
    </w:p>
    <w:p w:rsidR="00975BD3" w:rsidRPr="00E91D07" w:rsidRDefault="00975BD3">
      <w:pPr>
        <w:rPr>
          <w:rFonts w:ascii="Times New Roman" w:hAnsi="Times New Roman"/>
          <w:lang w:val="uk-UA"/>
        </w:rPr>
      </w:pPr>
    </w:p>
    <w:sectPr w:rsidR="00975BD3" w:rsidRPr="00E91D07" w:rsidSect="00297DD2">
      <w:headerReference w:type="default" r:id="rId7"/>
      <w:pgSz w:w="16838" w:h="11906" w:orient="landscape"/>
      <w:pgMar w:top="709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B5" w:rsidRDefault="001042B5" w:rsidP="00E91D07">
      <w:pPr>
        <w:spacing w:after="0" w:line="240" w:lineRule="auto"/>
      </w:pPr>
      <w:r>
        <w:separator/>
      </w:r>
    </w:p>
  </w:endnote>
  <w:endnote w:type="continuationSeparator" w:id="0">
    <w:p w:rsidR="001042B5" w:rsidRDefault="001042B5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B5" w:rsidRDefault="001042B5" w:rsidP="00E91D07">
      <w:pPr>
        <w:spacing w:after="0" w:line="240" w:lineRule="auto"/>
      </w:pPr>
      <w:r>
        <w:separator/>
      </w:r>
    </w:p>
  </w:footnote>
  <w:footnote w:type="continuationSeparator" w:id="0">
    <w:p w:rsidR="001042B5" w:rsidRDefault="001042B5" w:rsidP="00E9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8618"/>
      <w:docPartObj>
        <w:docPartGallery w:val="Page Numbers (Top of Page)"/>
        <w:docPartUnique/>
      </w:docPartObj>
    </w:sdtPr>
    <w:sdtEndPr/>
    <w:sdtContent>
      <w:p w:rsidR="00A87C0C" w:rsidRDefault="00A87C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C6">
          <w:rPr>
            <w:noProof/>
          </w:rPr>
          <w:t>6</w:t>
        </w:r>
        <w:r>
          <w:fldChar w:fldCharType="end"/>
        </w:r>
      </w:p>
    </w:sdtContent>
  </w:sdt>
  <w:p w:rsidR="00A87C0C" w:rsidRDefault="00A8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2"/>
    <w:rsid w:val="001042B5"/>
    <w:rsid w:val="00297DD2"/>
    <w:rsid w:val="003D78C6"/>
    <w:rsid w:val="004B5F6C"/>
    <w:rsid w:val="004E4752"/>
    <w:rsid w:val="00592236"/>
    <w:rsid w:val="008302A0"/>
    <w:rsid w:val="00975BD3"/>
    <w:rsid w:val="00A87C0C"/>
    <w:rsid w:val="00B44F62"/>
    <w:rsid w:val="00C36C30"/>
    <w:rsid w:val="00E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A87C0C"/>
  </w:style>
  <w:style w:type="table" w:styleId="a7">
    <w:name w:val="Table Grid"/>
    <w:basedOn w:val="a1"/>
    <w:uiPriority w:val="59"/>
    <w:rsid w:val="00A87C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C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0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A87C0C"/>
  </w:style>
  <w:style w:type="table" w:styleId="a7">
    <w:name w:val="Table Grid"/>
    <w:basedOn w:val="a1"/>
    <w:uiPriority w:val="59"/>
    <w:rsid w:val="00A87C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C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8659</Words>
  <Characters>4936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dcterms:created xsi:type="dcterms:W3CDTF">2017-10-27T09:47:00Z</dcterms:created>
  <dcterms:modified xsi:type="dcterms:W3CDTF">2017-10-30T12:23:00Z</dcterms:modified>
</cp:coreProperties>
</file>