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6" w:rsidRPr="00BF1753" w:rsidRDefault="00FA2E46" w:rsidP="00FA2E46">
      <w:pPr>
        <w:ind w:left="11328"/>
        <w:jc w:val="both"/>
        <w:rPr>
          <w:bCs/>
          <w:caps/>
          <w:sz w:val="28"/>
          <w:szCs w:val="28"/>
          <w:lang w:val="uk-UA"/>
        </w:rPr>
      </w:pPr>
      <w:r w:rsidRPr="00BF1753">
        <w:rPr>
          <w:bCs/>
          <w:sz w:val="28"/>
          <w:szCs w:val="28"/>
          <w:lang w:val="uk-UA"/>
        </w:rPr>
        <w:t xml:space="preserve">Додаток </w:t>
      </w:r>
      <w:r w:rsidRPr="00BF1753">
        <w:rPr>
          <w:bCs/>
          <w:caps/>
          <w:sz w:val="28"/>
          <w:szCs w:val="28"/>
          <w:lang w:val="uk-UA"/>
        </w:rPr>
        <w:t>1</w:t>
      </w:r>
      <w:r w:rsidR="008C7FF7" w:rsidRPr="008C7FF7">
        <w:rPr>
          <w:bCs/>
          <w:sz w:val="28"/>
          <w:szCs w:val="28"/>
          <w:lang w:val="uk-UA"/>
        </w:rPr>
        <w:t xml:space="preserve"> </w:t>
      </w:r>
      <w:r w:rsidR="008C7FF7" w:rsidRPr="00BF1753">
        <w:rPr>
          <w:bCs/>
          <w:sz w:val="28"/>
          <w:szCs w:val="28"/>
          <w:lang w:val="uk-UA"/>
        </w:rPr>
        <w:t>до рішення</w:t>
      </w:r>
    </w:p>
    <w:p w:rsidR="00FA2E46" w:rsidRPr="00BF1753" w:rsidRDefault="00FA2E46" w:rsidP="00FA2E46">
      <w:pPr>
        <w:ind w:left="11328"/>
        <w:jc w:val="both"/>
        <w:rPr>
          <w:bCs/>
          <w:caps/>
          <w:sz w:val="28"/>
          <w:szCs w:val="28"/>
          <w:lang w:val="uk-UA"/>
        </w:rPr>
      </w:pPr>
      <w:r w:rsidRPr="00BF1753">
        <w:rPr>
          <w:bCs/>
          <w:sz w:val="28"/>
          <w:szCs w:val="28"/>
          <w:lang w:val="uk-UA"/>
        </w:rPr>
        <w:t>обласної ради</w:t>
      </w:r>
    </w:p>
    <w:p w:rsidR="003D114E" w:rsidRPr="006A39C7" w:rsidRDefault="00EB6BC6" w:rsidP="003D114E">
      <w:pPr>
        <w:ind w:left="-14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зміни</w:t>
      </w:r>
    </w:p>
    <w:p w:rsidR="003D114E" w:rsidRPr="006A39C7" w:rsidRDefault="008C7FF7" w:rsidP="003D114E">
      <w:pPr>
        <w:spacing w:line="20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П</w:t>
      </w:r>
      <w:r w:rsidR="00EB6BC6">
        <w:rPr>
          <w:b/>
          <w:bCs/>
          <w:sz w:val="28"/>
          <w:szCs w:val="28"/>
          <w:lang w:val="uk-UA"/>
        </w:rPr>
        <w:t>ереліку завдань і заходів регіональної комплексної П</w:t>
      </w:r>
      <w:r w:rsidR="003D114E" w:rsidRPr="006A39C7">
        <w:rPr>
          <w:b/>
          <w:bCs/>
          <w:sz w:val="28"/>
          <w:szCs w:val="28"/>
          <w:lang w:val="uk-UA"/>
        </w:rPr>
        <w:t xml:space="preserve">рограми </w:t>
      </w:r>
    </w:p>
    <w:p w:rsidR="003D114E" w:rsidRPr="006A39C7" w:rsidRDefault="003D114E" w:rsidP="003D114E">
      <w:pPr>
        <w:spacing w:line="204" w:lineRule="auto"/>
        <w:jc w:val="center"/>
        <w:rPr>
          <w:b/>
          <w:bCs/>
          <w:sz w:val="28"/>
          <w:szCs w:val="28"/>
          <w:lang w:val="uk-UA"/>
        </w:rPr>
      </w:pPr>
      <w:r w:rsidRPr="006A39C7">
        <w:rPr>
          <w:b/>
          <w:bCs/>
          <w:sz w:val="28"/>
          <w:szCs w:val="28"/>
          <w:lang w:val="uk-UA"/>
        </w:rPr>
        <w:t>правової освіти населення на 2016 – 2020 роки</w:t>
      </w:r>
    </w:p>
    <w:p w:rsidR="003D114E" w:rsidRPr="001B5E22" w:rsidRDefault="003D114E" w:rsidP="003D114E">
      <w:pPr>
        <w:keepNext/>
        <w:widowControl w:val="0"/>
        <w:jc w:val="center"/>
        <w:outlineLvl w:val="0"/>
        <w:rPr>
          <w:color w:val="0000FF"/>
          <w:lang w:val="uk-UA"/>
        </w:rPr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210"/>
        <w:gridCol w:w="3640"/>
        <w:gridCol w:w="1226"/>
        <w:gridCol w:w="724"/>
        <w:gridCol w:w="650"/>
        <w:gridCol w:w="650"/>
        <w:gridCol w:w="650"/>
        <w:gridCol w:w="520"/>
        <w:gridCol w:w="520"/>
        <w:gridCol w:w="2343"/>
      </w:tblGrid>
      <w:tr w:rsidR="009621B0" w:rsidRPr="000879D4" w:rsidTr="008C7FF7">
        <w:trPr>
          <w:tblHeader/>
        </w:trPr>
        <w:tc>
          <w:tcPr>
            <w:tcW w:w="14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7F53">
              <w:rPr>
                <w:b/>
                <w:bCs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2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36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2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Строк</w:t>
            </w:r>
            <w:r>
              <w:rPr>
                <w:b/>
                <w:bCs/>
                <w:sz w:val="20"/>
                <w:szCs w:val="20"/>
                <w:lang w:val="uk-UA"/>
              </w:rPr>
              <w:t>и</w:t>
            </w:r>
            <w:r w:rsidRPr="000879D4">
              <w:rPr>
                <w:b/>
                <w:bCs/>
                <w:sz w:val="20"/>
                <w:szCs w:val="20"/>
                <w:lang w:val="uk-UA"/>
              </w:rPr>
              <w:t xml:space="preserve"> виконання</w:t>
            </w:r>
          </w:p>
        </w:tc>
        <w:tc>
          <w:tcPr>
            <w:tcW w:w="3714" w:type="dxa"/>
            <w:gridSpan w:val="6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 xml:space="preserve">Орієнтовні обсяги фінансування за роками виконання, </w:t>
            </w:r>
            <w:r w:rsidRPr="000879D4">
              <w:rPr>
                <w:bCs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0879D4">
              <w:rPr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3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Очікуваний</w:t>
            </w:r>
          </w:p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результат від</w:t>
            </w:r>
          </w:p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виконання</w:t>
            </w:r>
          </w:p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заходу</w:t>
            </w:r>
          </w:p>
        </w:tc>
      </w:tr>
      <w:tr w:rsidR="009621B0" w:rsidRPr="000879D4" w:rsidTr="008C7FF7">
        <w:trPr>
          <w:tblHeader/>
        </w:trPr>
        <w:tc>
          <w:tcPr>
            <w:tcW w:w="1457" w:type="dxa"/>
            <w:vMerge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vMerge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640" w:type="dxa"/>
            <w:vMerge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vMerge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tabs>
                <w:tab w:val="left" w:pos="360"/>
              </w:tabs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tabs>
                <w:tab w:val="left" w:pos="360"/>
              </w:tabs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tabs>
                <w:tab w:val="left" w:pos="360"/>
              </w:tabs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tabs>
                <w:tab w:val="left" w:pos="360"/>
              </w:tabs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tabs>
                <w:tab w:val="left" w:pos="360"/>
              </w:tabs>
              <w:spacing w:line="228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9D4">
              <w:rPr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2343" w:type="dxa"/>
            <w:vMerge/>
            <w:tcMar>
              <w:left w:w="28" w:type="dxa"/>
              <w:right w:w="28" w:type="dxa"/>
            </w:tcMar>
            <w:vAlign w:val="center"/>
          </w:tcPr>
          <w:p w:rsidR="009621B0" w:rsidRPr="000879D4" w:rsidRDefault="009621B0" w:rsidP="003574DF">
            <w:pPr>
              <w:spacing w:line="228" w:lineRule="auto"/>
              <w:jc w:val="center"/>
              <w:rPr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</w:tr>
      <w:tr w:rsidR="009621B0" w:rsidRPr="000879D4" w:rsidTr="008C7FF7">
        <w:tc>
          <w:tcPr>
            <w:tcW w:w="1457" w:type="dxa"/>
            <w:vMerge w:val="restart"/>
            <w:tcMar>
              <w:left w:w="28" w:type="dxa"/>
              <w:right w:w="28" w:type="dxa"/>
            </w:tcMar>
          </w:tcPr>
          <w:p w:rsidR="009621B0" w:rsidRPr="00743E46" w:rsidRDefault="009621B0" w:rsidP="00743E46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43E46">
              <w:rPr>
                <w:bCs/>
                <w:iCs/>
                <w:sz w:val="20"/>
                <w:szCs w:val="20"/>
                <w:lang w:val="uk-UA"/>
              </w:rPr>
              <w:t xml:space="preserve">5. Організація виконання завдань щодо реалізації </w:t>
            </w:r>
            <w:proofErr w:type="spellStart"/>
            <w:r w:rsidRPr="00743E46">
              <w:rPr>
                <w:bCs/>
                <w:iCs/>
                <w:sz w:val="20"/>
                <w:szCs w:val="20"/>
                <w:lang w:val="uk-UA"/>
              </w:rPr>
              <w:t>загальнонаціо-</w:t>
            </w:r>
            <w:proofErr w:type="spellEnd"/>
          </w:p>
          <w:p w:rsidR="009621B0" w:rsidRPr="00743E46" w:rsidRDefault="009621B0" w:rsidP="00743E46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743E46">
              <w:rPr>
                <w:bCs/>
                <w:iCs/>
                <w:sz w:val="20"/>
                <w:szCs w:val="20"/>
                <w:lang w:val="uk-UA"/>
              </w:rPr>
              <w:t>нального</w:t>
            </w:r>
            <w:proofErr w:type="spellEnd"/>
            <w:r w:rsidRPr="00743E46">
              <w:rPr>
                <w:bCs/>
                <w:iCs/>
                <w:sz w:val="20"/>
                <w:szCs w:val="20"/>
                <w:lang w:val="uk-UA"/>
              </w:rPr>
              <w:t xml:space="preserve"> право-</w:t>
            </w:r>
            <w:r w:rsidRPr="00743E46">
              <w:rPr>
                <w:bCs/>
                <w:iCs/>
                <w:spacing w:val="-6"/>
                <w:sz w:val="20"/>
                <w:szCs w:val="20"/>
                <w:lang w:val="uk-UA"/>
              </w:rPr>
              <w:t xml:space="preserve">просвітницького </w:t>
            </w:r>
            <w:r w:rsidRPr="00743E46">
              <w:rPr>
                <w:bCs/>
                <w:iCs/>
                <w:sz w:val="20"/>
                <w:szCs w:val="20"/>
                <w:lang w:val="uk-UA"/>
              </w:rPr>
              <w:t xml:space="preserve">проекту </w:t>
            </w:r>
            <w:r w:rsidRPr="00743E46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9621B0" w:rsidRPr="000879D4" w:rsidRDefault="009621B0" w:rsidP="00743E46">
            <w:pPr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,,</w:t>
            </w:r>
            <w:r w:rsidRPr="00743E46">
              <w:rPr>
                <w:bCs/>
                <w:iCs/>
                <w:sz w:val="20"/>
                <w:szCs w:val="20"/>
                <w:lang w:val="uk-UA"/>
              </w:rPr>
              <w:t>Я МАЮ ПРАВО!</w:t>
            </w:r>
            <w:r w:rsidRPr="00743E46">
              <w:rPr>
                <w:bCs/>
                <w:iCs/>
                <w:sz w:val="20"/>
                <w:szCs w:val="20"/>
              </w:rPr>
              <w:t>”</w:t>
            </w:r>
          </w:p>
        </w:tc>
        <w:tc>
          <w:tcPr>
            <w:tcW w:w="2210" w:type="dxa"/>
            <w:tcMar>
              <w:left w:w="28" w:type="dxa"/>
              <w:right w:w="28" w:type="dxa"/>
            </w:tcMar>
          </w:tcPr>
          <w:p w:rsidR="009621B0" w:rsidRPr="00743E46" w:rsidRDefault="009621B0" w:rsidP="00743E46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743E46">
              <w:rPr>
                <w:rFonts w:eastAsia="Calibri"/>
                <w:sz w:val="20"/>
                <w:szCs w:val="20"/>
                <w:lang w:val="uk-UA"/>
              </w:rPr>
              <w:t>5.1. Розміщення зовнішньої реклами у місцях масового перебування громадян; висвітленн</w:t>
            </w:r>
            <w:r>
              <w:rPr>
                <w:rFonts w:eastAsia="Calibri"/>
                <w:sz w:val="20"/>
                <w:szCs w:val="20"/>
                <w:lang w:val="uk-UA"/>
              </w:rPr>
              <w:t>я заходів з реалізації проекту ,,</w:t>
            </w:r>
            <w:r w:rsidR="008C7FF7">
              <w:rPr>
                <w:rFonts w:eastAsia="Calibri"/>
                <w:sz w:val="20"/>
                <w:szCs w:val="20"/>
                <w:lang w:val="uk-UA"/>
              </w:rPr>
              <w:t>Я МАЮ ПРАВО</w:t>
            </w:r>
            <w:r w:rsidRPr="00743E46">
              <w:rPr>
                <w:rFonts w:eastAsia="Calibri"/>
                <w:sz w:val="20"/>
                <w:szCs w:val="20"/>
                <w:lang w:val="uk-UA"/>
              </w:rPr>
              <w:t>!” у засобах масової інформації, соціальних мережах та на офіційних веб-сайтах; створення та т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рансляція соціальних аудіо </w:t>
            </w:r>
            <w:r w:rsidRPr="00743E46">
              <w:rPr>
                <w:rFonts w:eastAsia="Calibri"/>
                <w:sz w:val="20"/>
                <w:szCs w:val="20"/>
                <w:lang w:val="uk-UA"/>
              </w:rPr>
              <w:t>та відеороликів у засобах масової інформації, громадському транспорті, громадських місцях тощо</w:t>
            </w:r>
          </w:p>
          <w:p w:rsidR="009621B0" w:rsidRPr="000879D4" w:rsidRDefault="009621B0" w:rsidP="00FA2E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0" w:type="dxa"/>
            <w:tcMar>
              <w:left w:w="28" w:type="dxa"/>
              <w:right w:w="28" w:type="dxa"/>
            </w:tcMar>
          </w:tcPr>
          <w:p w:rsidR="009621B0" w:rsidRPr="00743E46" w:rsidRDefault="009621B0" w:rsidP="00743E46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743E46">
              <w:rPr>
                <w:rFonts w:eastAsia="Calibri"/>
                <w:sz w:val="20"/>
                <w:szCs w:val="20"/>
                <w:lang w:val="uk-UA"/>
              </w:rPr>
              <w:t xml:space="preserve">Головне територіальне управління юстиції у Дніпропетровській області </w:t>
            </w:r>
          </w:p>
          <w:p w:rsidR="009621B0" w:rsidRPr="00743E46" w:rsidRDefault="009621B0" w:rsidP="00743E46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743E46">
              <w:rPr>
                <w:rFonts w:eastAsia="Calibri"/>
                <w:sz w:val="20"/>
                <w:szCs w:val="20"/>
                <w:lang w:val="uk-UA"/>
              </w:rPr>
              <w:t xml:space="preserve">(за згодою), департамент інформаційної діяльності та комунікацій з громадськістю облдержадміністрації,  управління взаємодії з правоохоронними органами та оборонної роботи облдержадміністрації, </w:t>
            </w:r>
          </w:p>
          <w:p w:rsidR="009621B0" w:rsidRPr="00743E46" w:rsidRDefault="009621B0" w:rsidP="00743E46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743E46">
              <w:rPr>
                <w:rFonts w:eastAsia="Calibri"/>
                <w:sz w:val="20"/>
                <w:szCs w:val="20"/>
                <w:lang w:val="uk-UA"/>
              </w:rPr>
              <w:t>райдержадміністрації, міські, сільські, селищні ради</w:t>
            </w:r>
            <w:r w:rsidR="008C7FF7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743E46">
              <w:rPr>
                <w:rFonts w:eastAsia="Calibri"/>
                <w:sz w:val="20"/>
                <w:szCs w:val="20"/>
                <w:lang w:val="uk-UA"/>
              </w:rPr>
              <w:t xml:space="preserve">(за згодою), </w:t>
            </w:r>
          </w:p>
          <w:p w:rsidR="009621B0" w:rsidRPr="00743E46" w:rsidRDefault="009621B0" w:rsidP="00743E46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743E46">
              <w:rPr>
                <w:rFonts w:eastAsia="Calibri"/>
                <w:sz w:val="20"/>
                <w:szCs w:val="20"/>
                <w:lang w:val="uk-UA"/>
              </w:rPr>
              <w:t>об’єднані територіальні громади (за згодою)</w:t>
            </w:r>
          </w:p>
          <w:p w:rsidR="009621B0" w:rsidRPr="00743E46" w:rsidRDefault="009621B0" w:rsidP="00743E46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621B0" w:rsidRPr="000879D4" w:rsidRDefault="009621B0" w:rsidP="00743E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9621B0" w:rsidRPr="00743E46" w:rsidRDefault="009621B0" w:rsidP="00743E46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t xml:space="preserve">2018 – </w:t>
            </w:r>
            <w:r w:rsidR="008C7FF7" w:rsidRPr="00743E46">
              <w:rPr>
                <w:sz w:val="20"/>
                <w:szCs w:val="20"/>
                <w:lang w:val="uk-UA"/>
              </w:rPr>
              <w:t>2019</w:t>
            </w:r>
          </w:p>
          <w:p w:rsidR="009621B0" w:rsidRPr="00743E46" w:rsidRDefault="009621B0" w:rsidP="00743E46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t>роки</w:t>
            </w:r>
          </w:p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97BDC">
              <w:rPr>
                <w:sz w:val="20"/>
                <w:szCs w:val="20"/>
              </w:rPr>
              <w:t>50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97BDC">
              <w:rPr>
                <w:sz w:val="20"/>
                <w:szCs w:val="20"/>
              </w:rPr>
              <w:t>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97BDC">
              <w:rPr>
                <w:sz w:val="20"/>
                <w:szCs w:val="20"/>
              </w:rPr>
              <w:t>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97BDC">
              <w:rPr>
                <w:sz w:val="20"/>
                <w:szCs w:val="20"/>
              </w:rPr>
              <w:t>П</w:t>
            </w:r>
            <w:proofErr w:type="gramEnd"/>
            <w:r w:rsidRPr="00097BDC">
              <w:rPr>
                <w:sz w:val="20"/>
                <w:szCs w:val="20"/>
              </w:rPr>
              <w:t>ідвищення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рівня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правової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обізнаності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громадян</w:t>
            </w:r>
            <w:proofErr w:type="spellEnd"/>
          </w:p>
          <w:p w:rsidR="009621B0" w:rsidRPr="000879D4" w:rsidRDefault="009621B0" w:rsidP="003574DF">
            <w:pPr>
              <w:rPr>
                <w:sz w:val="20"/>
                <w:szCs w:val="20"/>
                <w:lang w:val="uk-UA"/>
              </w:rPr>
            </w:pPr>
          </w:p>
        </w:tc>
      </w:tr>
      <w:tr w:rsidR="009621B0" w:rsidRPr="00EB6BC6" w:rsidTr="008C7FF7">
        <w:tc>
          <w:tcPr>
            <w:tcW w:w="1457" w:type="dxa"/>
            <w:vMerge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rPr>
                <w:sz w:val="20"/>
                <w:szCs w:val="20"/>
                <w:lang w:val="uk-UA"/>
              </w:rPr>
            </w:pPr>
            <w:r w:rsidRPr="00097BDC">
              <w:rPr>
                <w:sz w:val="20"/>
                <w:szCs w:val="20"/>
              </w:rPr>
              <w:t>5.2</w:t>
            </w:r>
            <w:r w:rsidR="00BA6CBA">
              <w:rPr>
                <w:sz w:val="20"/>
                <w:szCs w:val="20"/>
                <w:lang w:val="uk-UA"/>
              </w:rPr>
              <w:t xml:space="preserve">. </w:t>
            </w:r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Моніторинг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громадської</w:t>
            </w:r>
            <w:proofErr w:type="spellEnd"/>
            <w:r w:rsidRPr="00097BDC">
              <w:rPr>
                <w:sz w:val="20"/>
                <w:szCs w:val="20"/>
              </w:rPr>
              <w:t xml:space="preserve"> думки шляхом </w:t>
            </w:r>
            <w:proofErr w:type="spellStart"/>
            <w:r w:rsidRPr="00097BDC">
              <w:rPr>
                <w:sz w:val="20"/>
                <w:szCs w:val="20"/>
              </w:rPr>
              <w:t>проведення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7BDC">
              <w:rPr>
                <w:sz w:val="20"/>
                <w:szCs w:val="20"/>
              </w:rPr>
              <w:t>соц</w:t>
            </w:r>
            <w:proofErr w:type="gramEnd"/>
            <w:r w:rsidRPr="00097BDC">
              <w:rPr>
                <w:sz w:val="20"/>
                <w:szCs w:val="20"/>
              </w:rPr>
              <w:t>іальних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опитувань</w:t>
            </w:r>
            <w:proofErr w:type="spellEnd"/>
            <w:r w:rsidRPr="00097BDC">
              <w:rPr>
                <w:sz w:val="20"/>
                <w:szCs w:val="20"/>
              </w:rPr>
              <w:t xml:space="preserve"> та </w:t>
            </w:r>
            <w:proofErr w:type="spellStart"/>
            <w:r w:rsidRPr="00097BDC">
              <w:rPr>
                <w:sz w:val="20"/>
                <w:szCs w:val="20"/>
              </w:rPr>
              <w:t>анкетувань</w:t>
            </w:r>
            <w:proofErr w:type="spellEnd"/>
            <w:r w:rsidRPr="00097BDC">
              <w:rPr>
                <w:sz w:val="20"/>
                <w:szCs w:val="20"/>
              </w:rPr>
              <w:t xml:space="preserve">, а </w:t>
            </w:r>
            <w:proofErr w:type="spellStart"/>
            <w:r w:rsidRPr="00097BDC">
              <w:rPr>
                <w:sz w:val="20"/>
                <w:szCs w:val="20"/>
              </w:rPr>
              <w:t>також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визначення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актуальних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соціально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значимих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lastRenderedPageBreak/>
              <w:t>блоків</w:t>
            </w:r>
            <w:proofErr w:type="spellEnd"/>
            <w:r w:rsidRPr="00097BDC">
              <w:rPr>
                <w:sz w:val="20"/>
                <w:szCs w:val="20"/>
              </w:rPr>
              <w:t xml:space="preserve">, </w:t>
            </w:r>
            <w:proofErr w:type="spellStart"/>
            <w:r w:rsidRPr="00097BDC">
              <w:rPr>
                <w:sz w:val="20"/>
                <w:szCs w:val="20"/>
              </w:rPr>
              <w:t>спрямованих</w:t>
            </w:r>
            <w:proofErr w:type="spellEnd"/>
            <w:r w:rsidRPr="00097BDC">
              <w:rPr>
                <w:sz w:val="20"/>
                <w:szCs w:val="20"/>
              </w:rPr>
              <w:t xml:space="preserve"> на </w:t>
            </w:r>
            <w:proofErr w:type="spellStart"/>
            <w:r w:rsidRPr="00097BDC">
              <w:rPr>
                <w:sz w:val="20"/>
                <w:szCs w:val="20"/>
              </w:rPr>
              <w:t>захист</w:t>
            </w:r>
            <w:proofErr w:type="spellEnd"/>
            <w:r w:rsidRPr="00097BDC">
              <w:rPr>
                <w:sz w:val="20"/>
                <w:szCs w:val="20"/>
              </w:rPr>
              <w:t xml:space="preserve"> прав </w:t>
            </w:r>
            <w:proofErr w:type="spellStart"/>
            <w:r w:rsidRPr="00097BDC">
              <w:rPr>
                <w:sz w:val="20"/>
                <w:szCs w:val="20"/>
              </w:rPr>
              <w:t>громадян</w:t>
            </w:r>
            <w:proofErr w:type="spellEnd"/>
          </w:p>
          <w:p w:rsidR="009621B0" w:rsidRPr="000879D4" w:rsidRDefault="009621B0" w:rsidP="003574DF">
            <w:pPr>
              <w:rPr>
                <w:sz w:val="20"/>
                <w:szCs w:val="20"/>
                <w:lang w:val="uk-UA"/>
              </w:rPr>
            </w:pPr>
          </w:p>
          <w:p w:rsidR="009621B0" w:rsidRPr="000879D4" w:rsidRDefault="009621B0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640" w:type="dxa"/>
            <w:tcMar>
              <w:left w:w="28" w:type="dxa"/>
              <w:right w:w="28" w:type="dxa"/>
            </w:tcMar>
          </w:tcPr>
          <w:p w:rsidR="009621B0" w:rsidRPr="00E7508E" w:rsidRDefault="009621B0" w:rsidP="00E7508E">
            <w:pPr>
              <w:rPr>
                <w:sz w:val="20"/>
                <w:szCs w:val="20"/>
                <w:lang w:val="uk-UA"/>
              </w:rPr>
            </w:pPr>
            <w:r w:rsidRPr="00E7508E">
              <w:rPr>
                <w:sz w:val="20"/>
                <w:szCs w:val="20"/>
                <w:lang w:val="uk-UA"/>
              </w:rPr>
              <w:lastRenderedPageBreak/>
              <w:t>Головне територіальне управління юстиції у Дніпропетровській області</w:t>
            </w:r>
          </w:p>
          <w:p w:rsidR="008C7FF7" w:rsidRPr="00E7508E" w:rsidRDefault="009621B0" w:rsidP="008C7FF7">
            <w:pPr>
              <w:rPr>
                <w:sz w:val="20"/>
                <w:szCs w:val="20"/>
                <w:lang w:val="uk-UA"/>
              </w:rPr>
            </w:pPr>
            <w:r w:rsidRPr="00E7508E">
              <w:rPr>
                <w:sz w:val="20"/>
                <w:szCs w:val="20"/>
                <w:lang w:val="uk-UA"/>
              </w:rPr>
              <w:t>(за згодою), Координаційна рада молодих юристів при Головному територіальному управлінні юстиції у Дніпропетровській області</w:t>
            </w:r>
            <w:r w:rsidR="00BA6CBA">
              <w:rPr>
                <w:sz w:val="20"/>
                <w:szCs w:val="20"/>
                <w:lang w:val="uk-UA"/>
              </w:rPr>
              <w:t xml:space="preserve"> </w:t>
            </w:r>
            <w:r w:rsidR="008C7FF7" w:rsidRPr="00E7508E">
              <w:rPr>
                <w:sz w:val="20"/>
                <w:szCs w:val="20"/>
                <w:lang w:val="uk-UA"/>
              </w:rPr>
              <w:t>(за згодою)</w:t>
            </w:r>
          </w:p>
          <w:p w:rsidR="009621B0" w:rsidRPr="00E7508E" w:rsidRDefault="009621B0" w:rsidP="00E7508E">
            <w:pPr>
              <w:rPr>
                <w:sz w:val="20"/>
                <w:szCs w:val="20"/>
                <w:lang w:val="uk-UA"/>
              </w:rPr>
            </w:pPr>
          </w:p>
          <w:p w:rsidR="009621B0" w:rsidRPr="000879D4" w:rsidRDefault="009621B0" w:rsidP="008C7F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9621B0" w:rsidRPr="00743E46" w:rsidRDefault="009621B0" w:rsidP="00E7508E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lastRenderedPageBreak/>
              <w:t xml:space="preserve">2018 – </w:t>
            </w:r>
            <w:r w:rsidR="008C7FF7" w:rsidRPr="00743E46">
              <w:rPr>
                <w:sz w:val="20"/>
                <w:szCs w:val="20"/>
                <w:lang w:val="uk-UA"/>
              </w:rPr>
              <w:t>2019</w:t>
            </w:r>
          </w:p>
          <w:p w:rsidR="009621B0" w:rsidRPr="00743E46" w:rsidRDefault="009621B0" w:rsidP="00E7508E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t>роки</w:t>
            </w:r>
          </w:p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rPr>
                <w:sz w:val="20"/>
                <w:szCs w:val="20"/>
                <w:lang w:val="uk-UA"/>
              </w:rPr>
            </w:pPr>
            <w:proofErr w:type="spellStart"/>
            <w:r w:rsidRPr="00097BDC">
              <w:rPr>
                <w:sz w:val="20"/>
                <w:szCs w:val="20"/>
              </w:rPr>
              <w:t>Визначення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нагальних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правових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питань</w:t>
            </w:r>
            <w:proofErr w:type="spellEnd"/>
            <w:r w:rsidRPr="00097BDC">
              <w:rPr>
                <w:sz w:val="20"/>
                <w:szCs w:val="20"/>
              </w:rPr>
              <w:t xml:space="preserve">, для </w:t>
            </w:r>
            <w:proofErr w:type="spellStart"/>
            <w:r w:rsidRPr="00097BDC">
              <w:rPr>
                <w:sz w:val="20"/>
                <w:szCs w:val="20"/>
              </w:rPr>
              <w:t>подальшого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їх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вирішення</w:t>
            </w:r>
            <w:proofErr w:type="spellEnd"/>
          </w:p>
        </w:tc>
      </w:tr>
      <w:tr w:rsidR="009621B0" w:rsidRPr="000879D4" w:rsidTr="008C7FF7">
        <w:tc>
          <w:tcPr>
            <w:tcW w:w="1457" w:type="dxa"/>
            <w:vMerge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Mar>
              <w:left w:w="28" w:type="dxa"/>
              <w:right w:w="28" w:type="dxa"/>
            </w:tcMar>
          </w:tcPr>
          <w:p w:rsidR="009621B0" w:rsidRPr="00E7508E" w:rsidRDefault="009621B0" w:rsidP="00E7508E">
            <w:pPr>
              <w:rPr>
                <w:sz w:val="20"/>
                <w:szCs w:val="20"/>
                <w:lang w:val="uk-UA"/>
              </w:rPr>
            </w:pPr>
            <w:r w:rsidRPr="00E7508E">
              <w:rPr>
                <w:sz w:val="20"/>
                <w:szCs w:val="20"/>
                <w:lang w:val="uk-UA"/>
              </w:rPr>
              <w:t>5.3. Проведення навчань для працівників юридичних служб органів державної влади</w:t>
            </w:r>
            <w:r>
              <w:rPr>
                <w:sz w:val="20"/>
                <w:szCs w:val="20"/>
                <w:lang w:val="uk-UA"/>
              </w:rPr>
              <w:t xml:space="preserve"> та органів місцевого самовряду</w:t>
            </w:r>
            <w:r w:rsidRPr="00E7508E">
              <w:rPr>
                <w:sz w:val="20"/>
                <w:szCs w:val="20"/>
                <w:lang w:val="uk-UA"/>
              </w:rPr>
              <w:t>вання з питань захисту прав людини</w:t>
            </w:r>
          </w:p>
          <w:p w:rsidR="009621B0" w:rsidRPr="000879D4" w:rsidRDefault="009621B0" w:rsidP="00E750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0" w:type="dxa"/>
            <w:tcMar>
              <w:left w:w="28" w:type="dxa"/>
              <w:right w:w="28" w:type="dxa"/>
            </w:tcMar>
          </w:tcPr>
          <w:p w:rsidR="009621B0" w:rsidRPr="00E7508E" w:rsidRDefault="009621B0" w:rsidP="00E750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Головне територіальне управ</w:t>
            </w:r>
            <w:r w:rsidRPr="00E7508E">
              <w:rPr>
                <w:rFonts w:eastAsia="Calibri"/>
                <w:sz w:val="20"/>
                <w:szCs w:val="20"/>
                <w:lang w:val="uk-UA"/>
              </w:rPr>
              <w:t>л</w:t>
            </w:r>
            <w:r>
              <w:rPr>
                <w:rFonts w:eastAsia="Calibri"/>
                <w:sz w:val="20"/>
                <w:szCs w:val="20"/>
                <w:lang w:val="uk-UA"/>
              </w:rPr>
              <w:t>іння юстиції у Дніпропет</w:t>
            </w:r>
            <w:r w:rsidRPr="00E7508E">
              <w:rPr>
                <w:rFonts w:eastAsia="Calibri"/>
                <w:sz w:val="20"/>
                <w:szCs w:val="20"/>
                <w:lang w:val="uk-UA"/>
              </w:rPr>
              <w:t>ровській області  (за згодою), Координаційна рада молодих юристів при Головному територіальному управлінні юстиції у Дніпропетровській області</w:t>
            </w:r>
            <w:r w:rsidRPr="00E7508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(за згодою), Дніпро</w:t>
            </w:r>
            <w:r w:rsidRPr="00E7508E">
              <w:rPr>
                <w:rFonts w:eastAsia="Calibri"/>
                <w:sz w:val="20"/>
                <w:szCs w:val="20"/>
                <w:lang w:val="uk-UA"/>
              </w:rPr>
              <w:t>петровський регіональний інститут державного управління Національної академії державного управління при Президент</w:t>
            </w:r>
            <w:r>
              <w:rPr>
                <w:rFonts w:eastAsia="Calibri"/>
                <w:sz w:val="20"/>
                <w:szCs w:val="20"/>
                <w:lang w:val="uk-UA"/>
              </w:rPr>
              <w:t>ові України (за згодою), Дніпро</w:t>
            </w:r>
            <w:r w:rsidRPr="00E7508E">
              <w:rPr>
                <w:rFonts w:eastAsia="Calibri"/>
                <w:sz w:val="20"/>
                <w:szCs w:val="20"/>
                <w:lang w:val="uk-UA"/>
              </w:rPr>
              <w:t xml:space="preserve">петровський державний  університет внутрішніх справ (за згодою), Дніпровський національний університет імені Олеся Гончара </w:t>
            </w:r>
          </w:p>
          <w:p w:rsidR="009621B0" w:rsidRPr="00E7508E" w:rsidRDefault="009621B0" w:rsidP="00E750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7508E">
              <w:rPr>
                <w:rFonts w:eastAsia="Calibri"/>
                <w:sz w:val="20"/>
                <w:szCs w:val="20"/>
                <w:lang w:val="uk-UA"/>
              </w:rPr>
              <w:t>(за згодою), Університет митної справи та фінансів</w:t>
            </w:r>
            <w:r w:rsidR="008C7FF7">
              <w:rPr>
                <w:rFonts w:eastAsia="Calibri"/>
                <w:sz w:val="20"/>
                <w:szCs w:val="20"/>
                <w:lang w:val="uk-UA"/>
              </w:rPr>
              <w:t xml:space="preserve"> (за згодою), д</w:t>
            </w:r>
            <w:r w:rsidR="008C7FF7" w:rsidRPr="00E7508E">
              <w:rPr>
                <w:rFonts w:eastAsia="Calibri"/>
                <w:sz w:val="20"/>
                <w:szCs w:val="20"/>
                <w:lang w:val="uk-UA"/>
              </w:rPr>
              <w:t>ер</w:t>
            </w:r>
            <w:r w:rsidR="008C7FF7">
              <w:rPr>
                <w:rFonts w:eastAsia="Calibri"/>
                <w:sz w:val="20"/>
                <w:szCs w:val="20"/>
                <w:lang w:val="uk-UA"/>
              </w:rPr>
              <w:t>жавний</w:t>
            </w:r>
          </w:p>
          <w:p w:rsidR="008C7FF7" w:rsidRPr="00E7508E" w:rsidRDefault="009621B0" w:rsidP="008C7FF7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вищий навчальний заклад ,,</w:t>
            </w:r>
            <w:r w:rsidRPr="00E7508E">
              <w:rPr>
                <w:rFonts w:eastAsia="Calibri"/>
                <w:sz w:val="20"/>
                <w:szCs w:val="20"/>
                <w:lang w:val="uk-UA"/>
              </w:rPr>
              <w:t xml:space="preserve">Національний гірничий університет” (за згодою), </w:t>
            </w:r>
            <w:r w:rsidR="008C7FF7">
              <w:rPr>
                <w:rFonts w:eastAsia="Calibri"/>
                <w:sz w:val="20"/>
                <w:szCs w:val="20"/>
                <w:lang w:val="uk-UA"/>
              </w:rPr>
              <w:t>комунальний заклад вищої освіти ,,</w:t>
            </w:r>
            <w:r w:rsidR="008C7FF7" w:rsidRPr="00E7508E">
              <w:rPr>
                <w:rFonts w:eastAsia="Calibri"/>
                <w:sz w:val="20"/>
                <w:szCs w:val="20"/>
                <w:lang w:val="uk-UA"/>
              </w:rPr>
              <w:t>Дніпровська акад</w:t>
            </w:r>
            <w:r w:rsidR="008C7FF7">
              <w:rPr>
                <w:rFonts w:eastAsia="Calibri"/>
                <w:sz w:val="20"/>
                <w:szCs w:val="20"/>
                <w:lang w:val="uk-UA"/>
              </w:rPr>
              <w:t>емія неперервної освіти” Дніпро</w:t>
            </w:r>
            <w:r w:rsidR="008C7FF7" w:rsidRPr="00E7508E">
              <w:rPr>
                <w:rFonts w:eastAsia="Calibri"/>
                <w:sz w:val="20"/>
                <w:szCs w:val="20"/>
                <w:lang w:val="uk-UA"/>
              </w:rPr>
              <w:t xml:space="preserve">петровської обласної ради </w:t>
            </w:r>
          </w:p>
          <w:p w:rsidR="009621B0" w:rsidRPr="00E7508E" w:rsidRDefault="008C7FF7" w:rsidP="008C7FF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7508E">
              <w:rPr>
                <w:rFonts w:eastAsia="Calibri"/>
                <w:sz w:val="20"/>
                <w:szCs w:val="20"/>
                <w:lang w:val="uk-UA"/>
              </w:rPr>
              <w:t>(за згодою), Регіональний центр з надання безоплатної вторинної правової допомоги у Дніпропетровській області  (за згодою)</w:t>
            </w:r>
          </w:p>
          <w:p w:rsidR="009621B0" w:rsidRPr="000879D4" w:rsidRDefault="009621B0" w:rsidP="00E750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9621B0" w:rsidRPr="00743E46" w:rsidRDefault="009621B0" w:rsidP="00E7508E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t xml:space="preserve">2018 – </w:t>
            </w:r>
            <w:r w:rsidR="008C7FF7" w:rsidRPr="00743E46">
              <w:rPr>
                <w:sz w:val="20"/>
                <w:szCs w:val="20"/>
                <w:lang w:val="uk-UA"/>
              </w:rPr>
              <w:t>2019</w:t>
            </w:r>
          </w:p>
          <w:p w:rsidR="009621B0" w:rsidRPr="00743E46" w:rsidRDefault="009621B0" w:rsidP="00E7508E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t>роки</w:t>
            </w:r>
          </w:p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9621B0" w:rsidRPr="00E7508E" w:rsidRDefault="009621B0" w:rsidP="00E7508E">
            <w:pPr>
              <w:rPr>
                <w:sz w:val="20"/>
                <w:szCs w:val="20"/>
                <w:lang w:val="uk-UA"/>
              </w:rPr>
            </w:pPr>
            <w:r w:rsidRPr="00E7508E">
              <w:rPr>
                <w:sz w:val="20"/>
                <w:szCs w:val="20"/>
                <w:lang w:val="uk-UA"/>
              </w:rPr>
              <w:t xml:space="preserve">Підвищення рівня </w:t>
            </w:r>
          </w:p>
          <w:p w:rsidR="009621B0" w:rsidRPr="00E7508E" w:rsidRDefault="009621B0" w:rsidP="00E7508E">
            <w:pPr>
              <w:rPr>
                <w:sz w:val="20"/>
                <w:szCs w:val="20"/>
                <w:lang w:val="uk-UA"/>
              </w:rPr>
            </w:pPr>
            <w:r w:rsidRPr="00E7508E">
              <w:rPr>
                <w:sz w:val="20"/>
                <w:szCs w:val="20"/>
                <w:lang w:val="uk-UA"/>
              </w:rPr>
              <w:t>правових знань працівників юридичних служб</w:t>
            </w:r>
          </w:p>
          <w:p w:rsidR="009621B0" w:rsidRPr="000879D4" w:rsidRDefault="009621B0" w:rsidP="003574DF">
            <w:pPr>
              <w:rPr>
                <w:sz w:val="20"/>
                <w:szCs w:val="20"/>
                <w:lang w:val="uk-UA"/>
              </w:rPr>
            </w:pPr>
          </w:p>
        </w:tc>
      </w:tr>
      <w:tr w:rsidR="009621B0" w:rsidRPr="000879D4" w:rsidTr="008C7FF7">
        <w:tc>
          <w:tcPr>
            <w:tcW w:w="1457" w:type="dxa"/>
            <w:vMerge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Mar>
              <w:left w:w="28" w:type="dxa"/>
              <w:right w:w="28" w:type="dxa"/>
            </w:tcMar>
          </w:tcPr>
          <w:p w:rsidR="009621B0" w:rsidRPr="00E7508E" w:rsidRDefault="009621B0" w:rsidP="00E7508E">
            <w:pPr>
              <w:rPr>
                <w:sz w:val="20"/>
                <w:szCs w:val="20"/>
                <w:lang w:val="uk-UA"/>
              </w:rPr>
            </w:pPr>
            <w:r w:rsidRPr="00E7508E">
              <w:rPr>
                <w:sz w:val="20"/>
                <w:szCs w:val="20"/>
                <w:lang w:val="uk-UA"/>
              </w:rPr>
              <w:t>5.4</w:t>
            </w:r>
            <w:r w:rsidR="008C7FF7">
              <w:rPr>
                <w:sz w:val="20"/>
                <w:szCs w:val="20"/>
                <w:lang w:val="uk-UA"/>
              </w:rPr>
              <w:t>.</w:t>
            </w:r>
            <w:r w:rsidRPr="00E7508E">
              <w:rPr>
                <w:sz w:val="20"/>
                <w:szCs w:val="20"/>
                <w:lang w:val="uk-UA"/>
              </w:rPr>
              <w:t xml:space="preserve"> Організація роботи мобільних точок доступу, надання адресної безоплатної правової допомоги </w:t>
            </w:r>
            <w:r w:rsidRPr="00E7508E">
              <w:rPr>
                <w:sz w:val="20"/>
                <w:szCs w:val="20"/>
                <w:lang w:val="uk-UA"/>
              </w:rPr>
              <w:lastRenderedPageBreak/>
              <w:t>незахищеним верствам населення, проведення консультацій мешканцям сільської місцевості</w:t>
            </w:r>
          </w:p>
          <w:p w:rsidR="009621B0" w:rsidRDefault="009621B0" w:rsidP="00E7508E">
            <w:pPr>
              <w:spacing w:line="235" w:lineRule="auto"/>
              <w:rPr>
                <w:sz w:val="20"/>
                <w:szCs w:val="20"/>
                <w:lang w:val="uk-UA"/>
              </w:rPr>
            </w:pPr>
          </w:p>
          <w:p w:rsidR="009621B0" w:rsidRPr="000879D4" w:rsidRDefault="009621B0" w:rsidP="00E7508E">
            <w:pPr>
              <w:spacing w:line="235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640" w:type="dxa"/>
            <w:tcMar>
              <w:left w:w="28" w:type="dxa"/>
              <w:right w:w="28" w:type="dxa"/>
            </w:tcMar>
          </w:tcPr>
          <w:p w:rsidR="009621B0" w:rsidRPr="00E7508E" w:rsidRDefault="009621B0" w:rsidP="003574DF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E7508E">
              <w:rPr>
                <w:sz w:val="20"/>
                <w:szCs w:val="20"/>
                <w:lang w:val="uk-UA"/>
              </w:rPr>
              <w:lastRenderedPageBreak/>
              <w:t xml:space="preserve">Головне територіальне </w:t>
            </w:r>
            <w:r>
              <w:rPr>
                <w:sz w:val="20"/>
                <w:szCs w:val="20"/>
                <w:lang w:val="uk-UA"/>
              </w:rPr>
              <w:t>управління юстиції у Дніпропет</w:t>
            </w:r>
            <w:r w:rsidRPr="00E7508E">
              <w:rPr>
                <w:sz w:val="20"/>
                <w:szCs w:val="20"/>
                <w:lang w:val="uk-UA"/>
              </w:rPr>
              <w:t>ровській області  (за згодою), Регіональний центр з нада</w:t>
            </w:r>
            <w:r>
              <w:rPr>
                <w:sz w:val="20"/>
                <w:szCs w:val="20"/>
                <w:lang w:val="uk-UA"/>
              </w:rPr>
              <w:t>ння безоплатної вторинної право</w:t>
            </w:r>
            <w:r w:rsidRPr="00E7508E">
              <w:rPr>
                <w:sz w:val="20"/>
                <w:szCs w:val="20"/>
                <w:lang w:val="uk-UA"/>
              </w:rPr>
              <w:t xml:space="preserve">вої допомоги </w:t>
            </w:r>
            <w:r w:rsidRPr="00E7508E">
              <w:rPr>
                <w:rFonts w:eastAsia="Calibri"/>
                <w:sz w:val="20"/>
                <w:szCs w:val="20"/>
                <w:lang w:val="uk-UA"/>
              </w:rPr>
              <w:t>у Дніпро</w:t>
            </w:r>
            <w:r>
              <w:rPr>
                <w:rFonts w:eastAsia="Calibri"/>
                <w:sz w:val="20"/>
                <w:szCs w:val="20"/>
                <w:lang w:val="uk-UA"/>
              </w:rPr>
              <w:t>пет</w:t>
            </w:r>
            <w:r w:rsidRPr="00E7508E">
              <w:rPr>
                <w:rFonts w:eastAsia="Calibri"/>
                <w:sz w:val="20"/>
                <w:szCs w:val="20"/>
                <w:lang w:val="uk-UA"/>
              </w:rPr>
              <w:t>ровській області</w:t>
            </w:r>
            <w:r w:rsidRPr="00E7508E">
              <w:rPr>
                <w:sz w:val="20"/>
                <w:szCs w:val="20"/>
                <w:lang w:val="uk-UA"/>
              </w:rPr>
              <w:t xml:space="preserve"> </w:t>
            </w:r>
            <w:r w:rsidRPr="00E7508E">
              <w:rPr>
                <w:sz w:val="20"/>
                <w:szCs w:val="20"/>
                <w:lang w:val="uk-UA"/>
              </w:rPr>
              <w:lastRenderedPageBreak/>
              <w:t>(за згодою)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9621B0" w:rsidRPr="00743E46" w:rsidRDefault="009621B0" w:rsidP="00E7508E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lastRenderedPageBreak/>
              <w:t xml:space="preserve">2018 – </w:t>
            </w:r>
            <w:r w:rsidR="008C7FF7" w:rsidRPr="00743E46">
              <w:rPr>
                <w:sz w:val="20"/>
                <w:szCs w:val="20"/>
                <w:lang w:val="uk-UA"/>
              </w:rPr>
              <w:t>2019</w:t>
            </w:r>
          </w:p>
          <w:p w:rsidR="009621B0" w:rsidRPr="00743E46" w:rsidRDefault="009621B0" w:rsidP="00E7508E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t>роки</w:t>
            </w:r>
          </w:p>
          <w:p w:rsidR="009621B0" w:rsidRPr="000879D4" w:rsidRDefault="009621B0" w:rsidP="003574DF">
            <w:pPr>
              <w:spacing w:line="235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spacing w:line="235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spacing w:line="235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9621B0" w:rsidRPr="00E7508E" w:rsidRDefault="009621B0" w:rsidP="00E7508E">
            <w:pPr>
              <w:rPr>
                <w:sz w:val="20"/>
                <w:szCs w:val="20"/>
                <w:lang w:val="uk-UA"/>
              </w:rPr>
            </w:pPr>
            <w:r w:rsidRPr="00E7508E">
              <w:rPr>
                <w:sz w:val="20"/>
                <w:szCs w:val="20"/>
                <w:lang w:val="uk-UA"/>
              </w:rPr>
              <w:t>Забезпечення рівного доступу громадян до безоплатної правової допомоги</w:t>
            </w:r>
          </w:p>
          <w:p w:rsidR="009621B0" w:rsidRPr="000879D4" w:rsidRDefault="009621B0" w:rsidP="00E7508E">
            <w:pPr>
              <w:spacing w:line="235" w:lineRule="auto"/>
              <w:rPr>
                <w:sz w:val="20"/>
                <w:szCs w:val="20"/>
                <w:lang w:val="uk-UA"/>
              </w:rPr>
            </w:pPr>
          </w:p>
        </w:tc>
      </w:tr>
      <w:tr w:rsidR="009621B0" w:rsidRPr="00EB6BC6" w:rsidTr="008C7FF7">
        <w:trPr>
          <w:trHeight w:val="191"/>
        </w:trPr>
        <w:tc>
          <w:tcPr>
            <w:tcW w:w="1457" w:type="dxa"/>
            <w:vMerge w:val="restart"/>
            <w:tcMar>
              <w:left w:w="28" w:type="dxa"/>
              <w:right w:w="28" w:type="dxa"/>
            </w:tcMar>
          </w:tcPr>
          <w:p w:rsidR="009621B0" w:rsidRPr="000879D4" w:rsidRDefault="009621B0" w:rsidP="00E750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Mar>
              <w:left w:w="28" w:type="dxa"/>
              <w:right w:w="28" w:type="dxa"/>
            </w:tcMar>
          </w:tcPr>
          <w:p w:rsidR="009621B0" w:rsidRPr="000879D4" w:rsidRDefault="009621B0" w:rsidP="00FA2E46">
            <w:pPr>
              <w:rPr>
                <w:sz w:val="20"/>
                <w:szCs w:val="20"/>
                <w:lang w:val="uk-UA"/>
              </w:rPr>
            </w:pPr>
            <w:r w:rsidRPr="00097BDC">
              <w:rPr>
                <w:sz w:val="20"/>
                <w:szCs w:val="20"/>
              </w:rPr>
              <w:t>5.5</w:t>
            </w:r>
            <w:r w:rsidR="008C7FF7">
              <w:rPr>
                <w:sz w:val="20"/>
                <w:szCs w:val="20"/>
                <w:lang w:val="uk-UA"/>
              </w:rPr>
              <w:t>.</w:t>
            </w:r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Надання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правової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інформації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всім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верствам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населення</w:t>
            </w:r>
            <w:proofErr w:type="spellEnd"/>
            <w:r w:rsidRPr="00097BDC">
              <w:rPr>
                <w:sz w:val="20"/>
                <w:szCs w:val="20"/>
              </w:rPr>
              <w:t xml:space="preserve"> шляхом </w:t>
            </w:r>
            <w:proofErr w:type="spellStart"/>
            <w:r w:rsidRPr="00097BDC">
              <w:rPr>
                <w:sz w:val="20"/>
                <w:szCs w:val="20"/>
              </w:rPr>
              <w:t>розроблення</w:t>
            </w:r>
            <w:proofErr w:type="spellEnd"/>
            <w:r w:rsidRPr="00097BDC">
              <w:rPr>
                <w:sz w:val="20"/>
                <w:szCs w:val="20"/>
              </w:rPr>
              <w:t xml:space="preserve"> та </w:t>
            </w:r>
            <w:proofErr w:type="spellStart"/>
            <w:r w:rsidRPr="00097BDC">
              <w:rPr>
                <w:sz w:val="20"/>
                <w:szCs w:val="20"/>
              </w:rPr>
              <w:t>виготовлення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інформаційних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ліфлетів</w:t>
            </w:r>
            <w:proofErr w:type="spellEnd"/>
            <w:r w:rsidRPr="00097BDC">
              <w:rPr>
                <w:sz w:val="20"/>
                <w:szCs w:val="20"/>
              </w:rPr>
              <w:t xml:space="preserve">, </w:t>
            </w:r>
            <w:proofErr w:type="spellStart"/>
            <w:r w:rsidRPr="00097BDC">
              <w:rPr>
                <w:sz w:val="20"/>
                <w:szCs w:val="20"/>
              </w:rPr>
              <w:t>буклетів</w:t>
            </w:r>
            <w:proofErr w:type="spellEnd"/>
            <w:r w:rsidRPr="00097BDC">
              <w:rPr>
                <w:sz w:val="20"/>
                <w:szCs w:val="20"/>
              </w:rPr>
              <w:t xml:space="preserve">, </w:t>
            </w:r>
            <w:proofErr w:type="spellStart"/>
            <w:r w:rsidRPr="00097BDC">
              <w:rPr>
                <w:sz w:val="20"/>
                <w:szCs w:val="20"/>
              </w:rPr>
              <w:t>методичних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рекомендацій</w:t>
            </w:r>
            <w:proofErr w:type="spellEnd"/>
            <w:r w:rsidRPr="00097BDC">
              <w:rPr>
                <w:sz w:val="20"/>
                <w:szCs w:val="20"/>
              </w:rPr>
              <w:t xml:space="preserve">, </w:t>
            </w:r>
            <w:proofErr w:type="spellStart"/>
            <w:r w:rsidRPr="00097BDC">
              <w:rPr>
                <w:sz w:val="20"/>
                <w:szCs w:val="20"/>
              </w:rPr>
              <w:t>пам’яток</w:t>
            </w:r>
            <w:proofErr w:type="spellEnd"/>
            <w:r w:rsidRPr="00097BDC">
              <w:rPr>
                <w:sz w:val="20"/>
                <w:szCs w:val="20"/>
              </w:rPr>
              <w:t xml:space="preserve"> з </w:t>
            </w:r>
            <w:proofErr w:type="spellStart"/>
            <w:r w:rsidRPr="00097BDC">
              <w:rPr>
                <w:sz w:val="20"/>
                <w:szCs w:val="20"/>
              </w:rPr>
              <w:t>нагальних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правових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питань</w:t>
            </w:r>
            <w:proofErr w:type="spellEnd"/>
            <w:r w:rsidRPr="00097BDC">
              <w:rPr>
                <w:sz w:val="20"/>
                <w:szCs w:val="20"/>
              </w:rPr>
              <w:t xml:space="preserve"> за </w:t>
            </w:r>
            <w:proofErr w:type="spellStart"/>
            <w:r w:rsidRPr="00097BDC">
              <w:rPr>
                <w:sz w:val="20"/>
                <w:szCs w:val="20"/>
              </w:rPr>
              <w:t>попереднім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визначенням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7BDC">
              <w:rPr>
                <w:sz w:val="20"/>
                <w:szCs w:val="20"/>
              </w:rPr>
              <w:t>соц</w:t>
            </w:r>
            <w:proofErr w:type="gramEnd"/>
            <w:r w:rsidRPr="00097BDC">
              <w:rPr>
                <w:sz w:val="20"/>
                <w:szCs w:val="20"/>
              </w:rPr>
              <w:t>іально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значимих</w:t>
            </w:r>
            <w:proofErr w:type="spellEnd"/>
            <w:r w:rsidRPr="00097BDC">
              <w:rPr>
                <w:sz w:val="20"/>
                <w:szCs w:val="20"/>
              </w:rPr>
              <w:t xml:space="preserve"> </w:t>
            </w:r>
            <w:proofErr w:type="spellStart"/>
            <w:r w:rsidRPr="00097BDC">
              <w:rPr>
                <w:sz w:val="20"/>
                <w:szCs w:val="20"/>
              </w:rPr>
              <w:t>блоків</w:t>
            </w:r>
            <w:proofErr w:type="spellEnd"/>
            <w:r w:rsidRPr="00097BDC">
              <w:rPr>
                <w:sz w:val="20"/>
                <w:szCs w:val="20"/>
              </w:rPr>
              <w:t xml:space="preserve">, </w:t>
            </w:r>
            <w:proofErr w:type="spellStart"/>
            <w:r w:rsidRPr="00097BDC">
              <w:rPr>
                <w:sz w:val="20"/>
                <w:szCs w:val="20"/>
              </w:rPr>
              <w:t>спрямованих</w:t>
            </w:r>
            <w:proofErr w:type="spellEnd"/>
            <w:r w:rsidRPr="00097BDC">
              <w:rPr>
                <w:sz w:val="20"/>
                <w:szCs w:val="20"/>
              </w:rPr>
              <w:t xml:space="preserve"> на </w:t>
            </w:r>
            <w:proofErr w:type="spellStart"/>
            <w:r w:rsidRPr="00097BDC">
              <w:rPr>
                <w:sz w:val="20"/>
                <w:szCs w:val="20"/>
              </w:rPr>
              <w:t>захист</w:t>
            </w:r>
            <w:proofErr w:type="spellEnd"/>
            <w:r w:rsidRPr="00097BDC">
              <w:rPr>
                <w:sz w:val="20"/>
                <w:szCs w:val="20"/>
              </w:rPr>
              <w:t xml:space="preserve"> прав </w:t>
            </w:r>
            <w:proofErr w:type="spellStart"/>
            <w:r w:rsidRPr="00097BDC">
              <w:rPr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3640" w:type="dxa"/>
            <w:tcMar>
              <w:left w:w="28" w:type="dxa"/>
              <w:right w:w="28" w:type="dxa"/>
            </w:tcMar>
          </w:tcPr>
          <w:p w:rsidR="009621B0" w:rsidRPr="00EB044F" w:rsidRDefault="009621B0" w:rsidP="00EB04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Головне територіальне управління юстиції у Дніпропет</w:t>
            </w:r>
            <w:r w:rsidRPr="00EB044F">
              <w:rPr>
                <w:sz w:val="20"/>
                <w:szCs w:val="20"/>
                <w:lang w:val="uk-UA"/>
              </w:rPr>
              <w:t xml:space="preserve">ровській області (за згодою), </w:t>
            </w:r>
            <w:r w:rsidRPr="00EB044F">
              <w:rPr>
                <w:rFonts w:eastAsia="Calibri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</w:t>
            </w:r>
            <w:r w:rsidRPr="00EB044F">
              <w:rPr>
                <w:sz w:val="20"/>
                <w:szCs w:val="20"/>
                <w:lang w:val="uk-UA"/>
              </w:rPr>
              <w:t>Координаційна рада молодих юристів при Головному територіальному управлінні юстиції у Дніпропетров</w:t>
            </w:r>
            <w:r>
              <w:rPr>
                <w:sz w:val="20"/>
                <w:szCs w:val="20"/>
                <w:lang w:val="uk-UA"/>
              </w:rPr>
              <w:t>ській області (за згодою), Регіо</w:t>
            </w:r>
            <w:r w:rsidRPr="00EB044F">
              <w:rPr>
                <w:sz w:val="20"/>
                <w:szCs w:val="20"/>
                <w:lang w:val="uk-UA"/>
              </w:rPr>
              <w:t>нальний центр з надання безоплатної вторинної пр</w:t>
            </w:r>
            <w:r>
              <w:rPr>
                <w:sz w:val="20"/>
                <w:szCs w:val="20"/>
                <w:lang w:val="uk-UA"/>
              </w:rPr>
              <w:t>аво</w:t>
            </w:r>
            <w:r w:rsidRPr="00EB044F">
              <w:rPr>
                <w:sz w:val="20"/>
                <w:szCs w:val="20"/>
                <w:lang w:val="uk-UA"/>
              </w:rPr>
              <w:t xml:space="preserve">вої допомоги </w:t>
            </w:r>
            <w:r>
              <w:rPr>
                <w:rFonts w:eastAsia="Calibri"/>
                <w:sz w:val="20"/>
                <w:szCs w:val="20"/>
                <w:lang w:val="uk-UA"/>
              </w:rPr>
              <w:t>у Дніпропетров</w:t>
            </w:r>
            <w:r w:rsidRPr="00EB044F">
              <w:rPr>
                <w:rFonts w:eastAsia="Calibri"/>
                <w:sz w:val="20"/>
                <w:szCs w:val="20"/>
                <w:lang w:val="uk-UA"/>
              </w:rPr>
              <w:t>ській області</w:t>
            </w:r>
            <w:r w:rsidRPr="00EB044F">
              <w:rPr>
                <w:sz w:val="20"/>
                <w:szCs w:val="20"/>
                <w:lang w:val="uk-UA"/>
              </w:rPr>
              <w:t xml:space="preserve"> (за згодою)</w:t>
            </w:r>
          </w:p>
          <w:p w:rsidR="009621B0" w:rsidRPr="000879D4" w:rsidRDefault="009621B0" w:rsidP="003574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9621B0" w:rsidRPr="00743E46" w:rsidRDefault="009621B0" w:rsidP="00EB044F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t xml:space="preserve">2018 – </w:t>
            </w:r>
            <w:r w:rsidR="008C7FF7" w:rsidRPr="00743E46">
              <w:rPr>
                <w:sz w:val="20"/>
                <w:szCs w:val="20"/>
                <w:lang w:val="uk-UA"/>
              </w:rPr>
              <w:t>2019</w:t>
            </w:r>
          </w:p>
          <w:p w:rsidR="009621B0" w:rsidRPr="00743E46" w:rsidRDefault="009621B0" w:rsidP="00EB044F">
            <w:pPr>
              <w:jc w:val="center"/>
              <w:rPr>
                <w:sz w:val="20"/>
                <w:szCs w:val="20"/>
                <w:lang w:val="uk-UA"/>
              </w:rPr>
            </w:pPr>
            <w:r w:rsidRPr="00743E46">
              <w:rPr>
                <w:sz w:val="20"/>
                <w:szCs w:val="20"/>
                <w:lang w:val="uk-UA"/>
              </w:rPr>
              <w:t>роки</w:t>
            </w:r>
          </w:p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9621B0" w:rsidRPr="00EB044F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EB044F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0879D4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9621B0" w:rsidRPr="00EB044F" w:rsidRDefault="009621B0" w:rsidP="00EB044F">
            <w:pPr>
              <w:rPr>
                <w:sz w:val="20"/>
                <w:szCs w:val="20"/>
                <w:lang w:val="uk-UA"/>
              </w:rPr>
            </w:pPr>
            <w:r w:rsidRPr="00EB044F">
              <w:rPr>
                <w:sz w:val="20"/>
                <w:szCs w:val="20"/>
                <w:lang w:val="uk-UA"/>
              </w:rPr>
              <w:t>Забезпечення вільного доступу громадян до джерел правової інформації, підвищення рівня самоосвіти широких верств населення регіону</w:t>
            </w:r>
          </w:p>
          <w:p w:rsidR="009621B0" w:rsidRPr="000879D4" w:rsidRDefault="009621B0" w:rsidP="003574DF">
            <w:pPr>
              <w:rPr>
                <w:sz w:val="20"/>
                <w:szCs w:val="20"/>
                <w:lang w:val="uk-UA"/>
              </w:rPr>
            </w:pPr>
          </w:p>
        </w:tc>
      </w:tr>
      <w:tr w:rsidR="009621B0" w:rsidRPr="000879D4" w:rsidTr="009621B0">
        <w:trPr>
          <w:gridAfter w:val="8"/>
          <w:wAfter w:w="7283" w:type="dxa"/>
          <w:trHeight w:val="230"/>
        </w:trPr>
        <w:tc>
          <w:tcPr>
            <w:tcW w:w="1457" w:type="dxa"/>
            <w:vMerge/>
            <w:tcMar>
              <w:left w:w="28" w:type="dxa"/>
              <w:right w:w="28" w:type="dxa"/>
            </w:tcMar>
          </w:tcPr>
          <w:p w:rsidR="009621B0" w:rsidRPr="000879D4" w:rsidRDefault="009621B0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5850" w:type="dxa"/>
            <w:gridSpan w:val="2"/>
          </w:tcPr>
          <w:p w:rsidR="009621B0" w:rsidRPr="000879D4" w:rsidRDefault="009621B0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552BF6" w:rsidRPr="000879D4" w:rsidTr="008C7FF7">
        <w:trPr>
          <w:trHeight w:val="549"/>
        </w:trPr>
        <w:tc>
          <w:tcPr>
            <w:tcW w:w="7307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52BF6" w:rsidRPr="00F5504E" w:rsidRDefault="00552BF6" w:rsidP="00552BF6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r w:rsidRPr="00F5504E">
              <w:rPr>
                <w:b/>
                <w:sz w:val="28"/>
                <w:szCs w:val="28"/>
                <w:lang w:val="uk-UA"/>
              </w:rPr>
              <w:t>сього</w:t>
            </w:r>
            <w:r>
              <w:rPr>
                <w:b/>
                <w:sz w:val="28"/>
                <w:szCs w:val="28"/>
                <w:lang w:val="uk-UA"/>
              </w:rPr>
              <w:t xml:space="preserve"> за заходом, у тому числі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A6CBA" w:rsidRDefault="006922C3" w:rsidP="009621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22C3">
              <w:rPr>
                <w:b/>
                <w:sz w:val="20"/>
                <w:szCs w:val="20"/>
                <w:lang w:val="uk-UA"/>
              </w:rPr>
              <w:t xml:space="preserve">Загальний обсяг, </w:t>
            </w:r>
          </w:p>
          <w:p w:rsidR="00552BF6" w:rsidRPr="006922C3" w:rsidRDefault="006922C3" w:rsidP="009621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22C3">
              <w:rPr>
                <w:b/>
                <w:sz w:val="20"/>
                <w:szCs w:val="20"/>
                <w:lang w:val="uk-UA"/>
              </w:rPr>
              <w:t>у т.ч.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552BF6" w:rsidRDefault="00552BF6" w:rsidP="003574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52BF6" w:rsidRPr="009E0E07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9E0E07">
              <w:rPr>
                <w:sz w:val="20"/>
                <w:szCs w:val="20"/>
                <w:lang w:val="uk-UA"/>
              </w:rPr>
              <w:t>250</w:t>
            </w:r>
          </w:p>
          <w:p w:rsidR="00552BF6" w:rsidRPr="000879D4" w:rsidRDefault="00552BF6" w:rsidP="003574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552BF6" w:rsidRPr="000879D4" w:rsidRDefault="00552BF6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552BF6" w:rsidRPr="000879D4" w:rsidTr="008C7FF7">
        <w:trPr>
          <w:trHeight w:val="549"/>
        </w:trPr>
        <w:tc>
          <w:tcPr>
            <w:tcW w:w="7307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BF6" w:rsidRDefault="00552BF6" w:rsidP="003574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52BF6" w:rsidRPr="006922C3" w:rsidRDefault="006922C3" w:rsidP="003574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22C3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552BF6" w:rsidRPr="009E0E07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9E0E07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552BF6" w:rsidRPr="000879D4" w:rsidRDefault="00552BF6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552BF6" w:rsidRPr="000879D4" w:rsidTr="008C7FF7">
        <w:trPr>
          <w:trHeight w:val="549"/>
        </w:trPr>
        <w:tc>
          <w:tcPr>
            <w:tcW w:w="7307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BF6" w:rsidRDefault="00552BF6" w:rsidP="003574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52BF6" w:rsidRPr="006922C3" w:rsidRDefault="006922C3" w:rsidP="003574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22C3">
              <w:rPr>
                <w:b/>
                <w:sz w:val="20"/>
                <w:szCs w:val="20"/>
                <w:lang w:val="uk-UA"/>
              </w:rPr>
              <w:t>Місцевий</w:t>
            </w:r>
            <w:r>
              <w:rPr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552BF6" w:rsidRDefault="00552BF6" w:rsidP="003574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552BF6" w:rsidRPr="000879D4" w:rsidRDefault="00552BF6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552BF6" w:rsidRPr="000879D4" w:rsidTr="008C7FF7">
        <w:trPr>
          <w:trHeight w:val="549"/>
        </w:trPr>
        <w:tc>
          <w:tcPr>
            <w:tcW w:w="73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BF6" w:rsidRDefault="00552BF6" w:rsidP="00552BF6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 за Програмою, у тому числі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A6CBA" w:rsidRDefault="006922C3" w:rsidP="003574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22C3">
              <w:rPr>
                <w:b/>
                <w:sz w:val="20"/>
                <w:szCs w:val="20"/>
                <w:lang w:val="uk-UA"/>
              </w:rPr>
              <w:t>Загальний обсяг,</w:t>
            </w:r>
          </w:p>
          <w:p w:rsidR="00552BF6" w:rsidRPr="006922C3" w:rsidRDefault="006922C3" w:rsidP="003574DF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6922C3">
              <w:rPr>
                <w:b/>
                <w:sz w:val="20"/>
                <w:szCs w:val="20"/>
                <w:lang w:val="uk-UA"/>
              </w:rPr>
              <w:t xml:space="preserve"> у т.ч.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552BF6" w:rsidRPr="009E0E07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 w:rsidRPr="009E0E07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3574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552BF6" w:rsidRPr="000879D4" w:rsidRDefault="00552BF6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552BF6" w:rsidRPr="000879D4" w:rsidTr="008C7FF7">
        <w:trPr>
          <w:trHeight w:val="549"/>
        </w:trPr>
        <w:tc>
          <w:tcPr>
            <w:tcW w:w="73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BF6" w:rsidRDefault="00552BF6" w:rsidP="003574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52BF6" w:rsidRPr="006922C3" w:rsidRDefault="006922C3" w:rsidP="00E466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22C3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552BF6" w:rsidRPr="009E0E07" w:rsidRDefault="00552BF6" w:rsidP="00E46617">
            <w:pPr>
              <w:jc w:val="center"/>
              <w:rPr>
                <w:sz w:val="20"/>
                <w:szCs w:val="20"/>
                <w:lang w:val="uk-UA"/>
              </w:rPr>
            </w:pPr>
            <w:r w:rsidRPr="009E0E07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E466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E466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E466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E466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552BF6" w:rsidP="00E466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552BF6" w:rsidRPr="000879D4" w:rsidRDefault="00552BF6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552BF6" w:rsidRPr="000879D4" w:rsidTr="008C7FF7">
        <w:trPr>
          <w:trHeight w:val="549"/>
        </w:trPr>
        <w:tc>
          <w:tcPr>
            <w:tcW w:w="730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BF6" w:rsidRDefault="00552BF6" w:rsidP="003574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52BF6" w:rsidRPr="006922C3" w:rsidRDefault="006922C3" w:rsidP="003574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22C3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552BF6" w:rsidRPr="009E0E07" w:rsidRDefault="006922C3" w:rsidP="00EE17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6922C3" w:rsidP="00EE17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6922C3" w:rsidP="00EE17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6922C3" w:rsidP="00EE17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6922C3" w:rsidP="00EE17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:rsidR="00552BF6" w:rsidRPr="000879D4" w:rsidRDefault="006922C3" w:rsidP="00EE17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</w:tcPr>
          <w:p w:rsidR="00552BF6" w:rsidRPr="000879D4" w:rsidRDefault="00552BF6" w:rsidP="003574DF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</w:tr>
    </w:tbl>
    <w:p w:rsidR="003D114E" w:rsidRDefault="003D114E" w:rsidP="003D114E">
      <w:pPr>
        <w:jc w:val="both"/>
        <w:rPr>
          <w:rFonts w:cs="Bookman Old Style"/>
          <w:color w:val="0000FF"/>
          <w:sz w:val="28"/>
          <w:szCs w:val="28"/>
          <w:lang w:val="uk-UA"/>
        </w:rPr>
      </w:pPr>
    </w:p>
    <w:p w:rsidR="003D114E" w:rsidRPr="00E6375F" w:rsidRDefault="003D114E" w:rsidP="003D114E">
      <w:pPr>
        <w:jc w:val="both"/>
        <w:rPr>
          <w:bCs/>
          <w:iCs/>
          <w:sz w:val="28"/>
          <w:szCs w:val="28"/>
          <w:u w:val="single"/>
          <w:lang w:val="uk-UA"/>
        </w:rPr>
      </w:pPr>
      <w:r w:rsidRPr="00E6375F">
        <w:rPr>
          <w:bCs/>
          <w:iCs/>
          <w:sz w:val="28"/>
          <w:szCs w:val="28"/>
          <w:u w:val="single"/>
          <w:lang w:val="uk-UA"/>
        </w:rPr>
        <w:t xml:space="preserve"> </w:t>
      </w:r>
    </w:p>
    <w:p w:rsidR="003D114E" w:rsidRDefault="00F43ABF" w:rsidP="003D114E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</w:t>
      </w:r>
      <w:r w:rsidR="003D114E">
        <w:rPr>
          <w:b/>
          <w:bCs/>
          <w:iCs/>
          <w:sz w:val="28"/>
          <w:szCs w:val="28"/>
          <w:lang w:val="uk-UA"/>
        </w:rPr>
        <w:t>Перший з</w:t>
      </w:r>
      <w:r w:rsidR="003D114E" w:rsidRPr="00E6375F">
        <w:rPr>
          <w:b/>
          <w:bCs/>
          <w:iCs/>
          <w:sz w:val="28"/>
          <w:szCs w:val="28"/>
          <w:lang w:val="uk-UA"/>
        </w:rPr>
        <w:t xml:space="preserve">аступник </w:t>
      </w:r>
    </w:p>
    <w:p w:rsidR="003D114E" w:rsidRDefault="00F43ABF" w:rsidP="003D114E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</w:t>
      </w:r>
      <w:r w:rsidR="003D114E" w:rsidRPr="00E6375F">
        <w:rPr>
          <w:b/>
          <w:bCs/>
          <w:iCs/>
          <w:sz w:val="28"/>
          <w:szCs w:val="28"/>
          <w:lang w:val="uk-UA"/>
        </w:rPr>
        <w:t>голови обласної ради</w:t>
      </w:r>
      <w:r w:rsidR="003D114E"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                             С.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3D114E">
        <w:rPr>
          <w:b/>
          <w:bCs/>
          <w:iCs/>
          <w:sz w:val="28"/>
          <w:szCs w:val="28"/>
          <w:lang w:val="uk-UA"/>
        </w:rPr>
        <w:t>ОЛІЙНИК</w:t>
      </w:r>
    </w:p>
    <w:sectPr w:rsidR="003D114E" w:rsidSect="00FA2E46">
      <w:headerReference w:type="default" r:id="rId7"/>
      <w:pgSz w:w="16838" w:h="11906" w:orient="landscape"/>
      <w:pgMar w:top="141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C1" w:rsidRDefault="007E26C1" w:rsidP="00FA2E46">
      <w:r>
        <w:separator/>
      </w:r>
    </w:p>
  </w:endnote>
  <w:endnote w:type="continuationSeparator" w:id="0">
    <w:p w:rsidR="007E26C1" w:rsidRDefault="007E26C1" w:rsidP="00FA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C1" w:rsidRDefault="007E26C1" w:rsidP="00FA2E46">
      <w:r>
        <w:separator/>
      </w:r>
    </w:p>
  </w:footnote>
  <w:footnote w:type="continuationSeparator" w:id="0">
    <w:p w:rsidR="007E26C1" w:rsidRDefault="007E26C1" w:rsidP="00FA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330166"/>
      <w:docPartObj>
        <w:docPartGallery w:val="Page Numbers (Top of Page)"/>
        <w:docPartUnique/>
      </w:docPartObj>
    </w:sdtPr>
    <w:sdtEndPr/>
    <w:sdtContent>
      <w:p w:rsidR="00FA2E46" w:rsidRDefault="00FA2E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BA">
          <w:rPr>
            <w:noProof/>
          </w:rPr>
          <w:t>3</w:t>
        </w:r>
        <w:r>
          <w:fldChar w:fldCharType="end"/>
        </w:r>
      </w:p>
    </w:sdtContent>
  </w:sdt>
  <w:p w:rsidR="00FA2E46" w:rsidRDefault="00FA2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A4"/>
    <w:rsid w:val="00020516"/>
    <w:rsid w:val="00111020"/>
    <w:rsid w:val="003B2D46"/>
    <w:rsid w:val="003D114E"/>
    <w:rsid w:val="00457AF1"/>
    <w:rsid w:val="00552BF6"/>
    <w:rsid w:val="006922C3"/>
    <w:rsid w:val="00743E46"/>
    <w:rsid w:val="007E26C1"/>
    <w:rsid w:val="008302A0"/>
    <w:rsid w:val="008B79A4"/>
    <w:rsid w:val="008C7FF7"/>
    <w:rsid w:val="009621B0"/>
    <w:rsid w:val="009E0E07"/>
    <w:rsid w:val="00A17907"/>
    <w:rsid w:val="00B3423D"/>
    <w:rsid w:val="00B44F62"/>
    <w:rsid w:val="00BA6CBA"/>
    <w:rsid w:val="00BF1753"/>
    <w:rsid w:val="00D77767"/>
    <w:rsid w:val="00DC4CFA"/>
    <w:rsid w:val="00E7508E"/>
    <w:rsid w:val="00EB044F"/>
    <w:rsid w:val="00EB6BC6"/>
    <w:rsid w:val="00F43ABF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E4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E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2E4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2E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7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7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E4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E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2E4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2E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7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7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3028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6</cp:revision>
  <cp:lastPrinted>2018-04-18T07:57:00Z</cp:lastPrinted>
  <dcterms:created xsi:type="dcterms:W3CDTF">2018-04-13T12:43:00Z</dcterms:created>
  <dcterms:modified xsi:type="dcterms:W3CDTF">2018-04-24T08:48:00Z</dcterms:modified>
</cp:coreProperties>
</file>