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12" w:rsidRDefault="00747A12" w:rsidP="00747A12">
      <w:pPr>
        <w:suppressAutoHyphens w:val="0"/>
        <w:ind w:firstLine="709"/>
        <w:jc w:val="center"/>
        <w:rPr>
          <w:b/>
          <w:sz w:val="28"/>
          <w:szCs w:val="28"/>
          <w:lang w:val="uk-UA" w:eastAsia="ru-RU"/>
        </w:rPr>
      </w:pPr>
    </w:p>
    <w:p w:rsidR="00747A12" w:rsidRDefault="00747A12" w:rsidP="00747A12">
      <w:pPr>
        <w:suppressAutoHyphens w:val="0"/>
        <w:ind w:firstLine="709"/>
        <w:jc w:val="center"/>
        <w:rPr>
          <w:b/>
          <w:sz w:val="28"/>
          <w:szCs w:val="28"/>
          <w:lang w:val="uk-UA" w:eastAsia="ru-RU"/>
        </w:rPr>
      </w:pPr>
    </w:p>
    <w:p w:rsidR="00747A12" w:rsidRDefault="00747A12" w:rsidP="00747A12">
      <w:pPr>
        <w:suppressAutoHyphens w:val="0"/>
        <w:ind w:firstLine="709"/>
        <w:jc w:val="center"/>
        <w:rPr>
          <w:b/>
          <w:sz w:val="28"/>
          <w:szCs w:val="28"/>
          <w:lang w:val="uk-UA" w:eastAsia="ru-RU"/>
        </w:rPr>
      </w:pPr>
    </w:p>
    <w:p w:rsidR="00747A12" w:rsidRDefault="00747A12" w:rsidP="00747A12">
      <w:pPr>
        <w:suppressAutoHyphens w:val="0"/>
        <w:ind w:firstLine="709"/>
        <w:jc w:val="center"/>
        <w:rPr>
          <w:b/>
          <w:sz w:val="28"/>
          <w:szCs w:val="28"/>
          <w:lang w:val="uk-UA" w:eastAsia="ru-RU"/>
        </w:rPr>
      </w:pPr>
    </w:p>
    <w:p w:rsidR="00747A12" w:rsidRDefault="00747A12" w:rsidP="00747A12">
      <w:pPr>
        <w:suppressAutoHyphens w:val="0"/>
        <w:ind w:firstLine="709"/>
        <w:jc w:val="center"/>
        <w:rPr>
          <w:b/>
          <w:sz w:val="28"/>
          <w:szCs w:val="28"/>
          <w:lang w:val="uk-UA" w:eastAsia="ru-RU"/>
        </w:rPr>
      </w:pPr>
    </w:p>
    <w:p w:rsidR="00747A12" w:rsidRDefault="00747A12" w:rsidP="00747A12">
      <w:pPr>
        <w:suppressAutoHyphens w:val="0"/>
        <w:ind w:firstLine="709"/>
        <w:jc w:val="center"/>
        <w:rPr>
          <w:b/>
          <w:sz w:val="28"/>
          <w:szCs w:val="28"/>
          <w:lang w:val="uk-UA" w:eastAsia="ru-RU"/>
        </w:rPr>
      </w:pPr>
    </w:p>
    <w:p w:rsidR="00747A12" w:rsidRDefault="00747A12" w:rsidP="00747A12">
      <w:pPr>
        <w:suppressAutoHyphens w:val="0"/>
        <w:ind w:firstLine="709"/>
        <w:jc w:val="center"/>
        <w:rPr>
          <w:b/>
          <w:sz w:val="28"/>
          <w:szCs w:val="28"/>
          <w:lang w:val="uk-UA" w:eastAsia="ru-RU"/>
        </w:rPr>
      </w:pPr>
    </w:p>
    <w:p w:rsidR="00747A12" w:rsidRDefault="00747A12" w:rsidP="00747A12">
      <w:pPr>
        <w:suppressAutoHyphens w:val="0"/>
        <w:ind w:firstLine="709"/>
        <w:jc w:val="center"/>
        <w:rPr>
          <w:b/>
          <w:sz w:val="28"/>
          <w:szCs w:val="28"/>
          <w:lang w:val="uk-UA" w:eastAsia="ru-RU"/>
        </w:rPr>
      </w:pPr>
    </w:p>
    <w:p w:rsidR="00747A12" w:rsidRDefault="00747A12" w:rsidP="00747A12">
      <w:pPr>
        <w:suppressAutoHyphens w:val="0"/>
        <w:ind w:firstLine="709"/>
        <w:jc w:val="center"/>
        <w:rPr>
          <w:b/>
          <w:sz w:val="28"/>
          <w:szCs w:val="28"/>
          <w:lang w:val="uk-UA" w:eastAsia="ru-RU"/>
        </w:rPr>
      </w:pPr>
    </w:p>
    <w:p w:rsidR="00747A12" w:rsidRDefault="00747A12" w:rsidP="00747A12">
      <w:pPr>
        <w:suppressAutoHyphens w:val="0"/>
        <w:ind w:firstLine="709"/>
        <w:jc w:val="center"/>
        <w:rPr>
          <w:b/>
          <w:sz w:val="28"/>
          <w:szCs w:val="28"/>
          <w:lang w:val="uk-UA" w:eastAsia="ru-RU"/>
        </w:rPr>
      </w:pPr>
    </w:p>
    <w:p w:rsidR="00747A12" w:rsidRDefault="00747A12" w:rsidP="00747A12">
      <w:pPr>
        <w:suppressAutoHyphens w:val="0"/>
        <w:ind w:firstLine="709"/>
        <w:jc w:val="center"/>
        <w:rPr>
          <w:b/>
          <w:sz w:val="28"/>
          <w:szCs w:val="28"/>
          <w:lang w:val="uk-UA" w:eastAsia="ru-RU"/>
        </w:rPr>
      </w:pPr>
    </w:p>
    <w:p w:rsidR="00747A12" w:rsidRDefault="00747A12" w:rsidP="00747A12">
      <w:pPr>
        <w:suppressAutoHyphens w:val="0"/>
        <w:ind w:firstLine="709"/>
        <w:jc w:val="center"/>
        <w:rPr>
          <w:b/>
          <w:sz w:val="28"/>
          <w:szCs w:val="28"/>
          <w:lang w:val="uk-UA" w:eastAsia="ru-RU"/>
        </w:rPr>
      </w:pPr>
    </w:p>
    <w:p w:rsidR="00747A12" w:rsidRDefault="00747A12" w:rsidP="00747A12">
      <w:pPr>
        <w:suppressAutoHyphens w:val="0"/>
        <w:ind w:firstLine="709"/>
        <w:jc w:val="center"/>
        <w:rPr>
          <w:b/>
          <w:sz w:val="28"/>
          <w:szCs w:val="28"/>
          <w:lang w:val="uk-UA" w:eastAsia="ru-RU"/>
        </w:rPr>
      </w:pPr>
    </w:p>
    <w:p w:rsidR="00747A12" w:rsidRDefault="00747A12" w:rsidP="00463DAF">
      <w:pPr>
        <w:suppressAutoHyphens w:val="0"/>
        <w:rPr>
          <w:b/>
          <w:sz w:val="28"/>
          <w:szCs w:val="28"/>
          <w:lang w:val="uk-UA" w:eastAsia="ru-RU"/>
        </w:rPr>
      </w:pPr>
    </w:p>
    <w:p w:rsidR="00463DAF" w:rsidRDefault="00747A12" w:rsidP="00463DAF">
      <w:pPr>
        <w:suppressAutoHyphens w:val="0"/>
        <w:jc w:val="center"/>
        <w:rPr>
          <w:b/>
          <w:sz w:val="28"/>
          <w:szCs w:val="28"/>
          <w:lang w:val="uk-UA" w:eastAsia="ru-RU"/>
        </w:rPr>
      </w:pPr>
      <w:r w:rsidRPr="00747A12">
        <w:rPr>
          <w:b/>
          <w:sz w:val="28"/>
          <w:szCs w:val="28"/>
          <w:lang w:val="uk-UA" w:eastAsia="ru-RU"/>
        </w:rPr>
        <w:t>Про внесення змін до рішення о</w:t>
      </w:r>
      <w:r w:rsidR="00463DAF">
        <w:rPr>
          <w:b/>
          <w:sz w:val="28"/>
          <w:szCs w:val="28"/>
          <w:lang w:val="uk-UA" w:eastAsia="ru-RU"/>
        </w:rPr>
        <w:t xml:space="preserve">бласної ради </w:t>
      </w:r>
    </w:p>
    <w:p w:rsidR="00463DAF" w:rsidRDefault="00463DAF" w:rsidP="00463DAF">
      <w:pPr>
        <w:suppressAutoHyphens w:val="0"/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від 02 грудня 2016 </w:t>
      </w:r>
      <w:r w:rsidR="00747A12" w:rsidRPr="00747A12">
        <w:rPr>
          <w:b/>
          <w:sz w:val="28"/>
          <w:szCs w:val="28"/>
          <w:lang w:val="uk-UA" w:eastAsia="ru-RU"/>
        </w:rPr>
        <w:t>року № 121-7/</w:t>
      </w:r>
      <w:r w:rsidR="00747A12" w:rsidRPr="00747A12">
        <w:rPr>
          <w:b/>
          <w:sz w:val="28"/>
          <w:szCs w:val="28"/>
          <w:lang w:val="en-US" w:eastAsia="ru-RU"/>
        </w:rPr>
        <w:t>VII</w:t>
      </w:r>
      <w:r w:rsidR="00747A12" w:rsidRPr="00747A12">
        <w:rPr>
          <w:b/>
          <w:sz w:val="28"/>
          <w:szCs w:val="28"/>
          <w:lang w:eastAsia="ru-RU"/>
        </w:rPr>
        <w:t xml:space="preserve"> „</w:t>
      </w:r>
      <w:r w:rsidR="00747A12" w:rsidRPr="00747A12">
        <w:rPr>
          <w:b/>
          <w:sz w:val="28"/>
          <w:szCs w:val="28"/>
          <w:lang w:val="uk-UA" w:eastAsia="ru-RU"/>
        </w:rPr>
        <w:t>Про Програму розвитку культури у Дніпропетровській області на 2017 – 2020 роки”</w:t>
      </w:r>
      <w:r w:rsidR="00747A12" w:rsidRPr="00747A12">
        <w:rPr>
          <w:b/>
          <w:sz w:val="28"/>
          <w:szCs w:val="28"/>
          <w:lang w:eastAsia="ru-RU"/>
        </w:rPr>
        <w:t xml:space="preserve"> </w:t>
      </w:r>
    </w:p>
    <w:p w:rsidR="00747A12" w:rsidRPr="00747A12" w:rsidRDefault="00463DAF" w:rsidP="00463DAF">
      <w:pPr>
        <w:suppressAutoHyphens w:val="0"/>
        <w:jc w:val="center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>(зі змінами)</w:t>
      </w:r>
    </w:p>
    <w:p w:rsidR="00747A12" w:rsidRPr="00747A12" w:rsidRDefault="00747A12" w:rsidP="00747A12">
      <w:pPr>
        <w:jc w:val="center"/>
        <w:rPr>
          <w:b/>
          <w:sz w:val="28"/>
          <w:szCs w:val="28"/>
          <w:lang w:val="uk-UA"/>
        </w:rPr>
      </w:pPr>
    </w:p>
    <w:p w:rsidR="00747A12" w:rsidRDefault="00747A12" w:rsidP="00747A12">
      <w:pPr>
        <w:ind w:firstLine="720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Керуючись Законом України </w:t>
      </w:r>
      <w:r w:rsidR="00463DAF">
        <w:rPr>
          <w:sz w:val="28"/>
          <w:szCs w:val="28"/>
          <w:lang w:val="uk-UA"/>
        </w:rPr>
        <w:t>„</w:t>
      </w:r>
      <w:r w:rsidRPr="00730498">
        <w:rPr>
          <w:sz w:val="28"/>
          <w:szCs w:val="28"/>
          <w:lang w:val="uk-UA"/>
        </w:rPr>
        <w:t xml:space="preserve">Про місцеве самоврядування в Україні”, з метою створення сприятливих умов для розвитку культурних і творчих ініціатив з урахуванням місцевих особливостей розв’язання проблем національно-культурного розвитку, збереження національно-культурної спадщини, задоволення інтелектуальних та духовних потреб населення, </w:t>
      </w:r>
      <w:r w:rsidR="00463DAF">
        <w:rPr>
          <w:sz w:val="28"/>
          <w:szCs w:val="28"/>
          <w:lang w:val="uk-UA"/>
        </w:rPr>
        <w:t xml:space="preserve">зважаючи на </w:t>
      </w:r>
      <w:r w:rsidRPr="00730498">
        <w:rPr>
          <w:sz w:val="28"/>
          <w:szCs w:val="28"/>
          <w:lang w:val="uk-UA"/>
        </w:rPr>
        <w:t xml:space="preserve">звернення облдержадміністрації, висновки </w:t>
      </w:r>
      <w:r w:rsidR="00463DAF">
        <w:rPr>
          <w:sz w:val="28"/>
          <w:szCs w:val="28"/>
          <w:lang w:val="uk-UA"/>
        </w:rPr>
        <w:t xml:space="preserve">й рекомендації </w:t>
      </w:r>
      <w:r w:rsidRPr="00730498">
        <w:rPr>
          <w:sz w:val="28"/>
          <w:szCs w:val="28"/>
          <w:lang w:val="uk-UA"/>
        </w:rPr>
        <w:t xml:space="preserve">постійної комісії обласної ради з питань культури, духовності та спорту, обласна рада </w:t>
      </w:r>
      <w:r w:rsidRPr="00730498">
        <w:rPr>
          <w:b/>
          <w:sz w:val="28"/>
          <w:szCs w:val="28"/>
          <w:lang w:val="uk-UA"/>
        </w:rPr>
        <w:t>в и р і ш и л а:</w:t>
      </w:r>
    </w:p>
    <w:p w:rsidR="00747A12" w:rsidRDefault="00747A12" w:rsidP="00747A12">
      <w:pPr>
        <w:ind w:firstLine="720"/>
        <w:jc w:val="both"/>
        <w:rPr>
          <w:b/>
          <w:sz w:val="28"/>
          <w:szCs w:val="28"/>
          <w:lang w:val="uk-UA"/>
        </w:rPr>
      </w:pPr>
    </w:p>
    <w:p w:rsidR="00747A12" w:rsidRPr="00747A12" w:rsidRDefault="00747A12" w:rsidP="00747A12">
      <w:pPr>
        <w:pStyle w:val="a3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6"/>
          <w:lang w:val="uk-UA"/>
        </w:rPr>
      </w:pPr>
      <w:proofErr w:type="spellStart"/>
      <w:r w:rsidRPr="00747A12">
        <w:rPr>
          <w:sz w:val="28"/>
          <w:szCs w:val="28"/>
          <w:lang w:val="uk-UA"/>
        </w:rPr>
        <w:t>Внести</w:t>
      </w:r>
      <w:proofErr w:type="spellEnd"/>
      <w:r w:rsidRPr="00747A12">
        <w:rPr>
          <w:sz w:val="28"/>
          <w:szCs w:val="28"/>
          <w:lang w:val="uk-UA"/>
        </w:rPr>
        <w:t xml:space="preserve"> зміни до </w:t>
      </w:r>
      <w:bookmarkStart w:id="0" w:name="_GoBack"/>
      <w:bookmarkEnd w:id="0"/>
      <w:r w:rsidRPr="00747A12">
        <w:rPr>
          <w:sz w:val="28"/>
          <w:szCs w:val="28"/>
          <w:lang w:val="uk-UA" w:eastAsia="ru-RU"/>
        </w:rPr>
        <w:t>рішення обласної ради від 02 грудня 2016 року № 121-7/</w:t>
      </w:r>
      <w:r w:rsidRPr="00747A12">
        <w:rPr>
          <w:sz w:val="28"/>
          <w:szCs w:val="28"/>
          <w:lang w:val="en-US" w:eastAsia="ru-RU"/>
        </w:rPr>
        <w:t>VII</w:t>
      </w:r>
      <w:r w:rsidRPr="00747A12">
        <w:rPr>
          <w:sz w:val="28"/>
          <w:szCs w:val="28"/>
          <w:lang w:eastAsia="ru-RU"/>
        </w:rPr>
        <w:t xml:space="preserve"> „</w:t>
      </w:r>
      <w:r w:rsidRPr="00747A12">
        <w:rPr>
          <w:sz w:val="28"/>
          <w:szCs w:val="28"/>
          <w:lang w:val="uk-UA" w:eastAsia="ru-RU"/>
        </w:rPr>
        <w:t>Про Програму розвитку культури у Дніпропетровській області на 2017 – 2020 роки”</w:t>
      </w:r>
      <w:r w:rsidRPr="00747A12">
        <w:rPr>
          <w:sz w:val="28"/>
          <w:szCs w:val="28"/>
          <w:lang w:eastAsia="ru-RU"/>
        </w:rPr>
        <w:t xml:space="preserve"> </w:t>
      </w:r>
      <w:r w:rsidRPr="00747A12">
        <w:rPr>
          <w:sz w:val="28"/>
          <w:szCs w:val="28"/>
          <w:lang w:val="uk-UA" w:eastAsia="ru-RU"/>
        </w:rPr>
        <w:t>(зі змінами)</w:t>
      </w:r>
      <w:r>
        <w:rPr>
          <w:sz w:val="28"/>
          <w:szCs w:val="28"/>
          <w:lang w:val="uk-UA" w:eastAsia="ru-RU"/>
        </w:rPr>
        <w:t xml:space="preserve">, </w:t>
      </w:r>
      <w:r w:rsidR="00463DAF">
        <w:rPr>
          <w:sz w:val="28"/>
          <w:szCs w:val="26"/>
          <w:lang w:val="uk-UA"/>
        </w:rPr>
        <w:t>далі – Програма, такі зміни:</w:t>
      </w:r>
    </w:p>
    <w:p w:rsidR="00747A12" w:rsidRDefault="00747A12" w:rsidP="00747A12">
      <w:pPr>
        <w:pStyle w:val="a3"/>
        <w:suppressAutoHyphens w:val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6"/>
          <w:lang w:val="uk-UA"/>
        </w:rPr>
        <w:t>1</w:t>
      </w:r>
      <w:r w:rsidR="00463DAF">
        <w:rPr>
          <w:sz w:val="28"/>
          <w:szCs w:val="26"/>
          <w:lang w:val="uk-UA"/>
        </w:rPr>
        <w:t>.1.</w:t>
      </w:r>
      <w:r w:rsidRPr="008341AB">
        <w:rPr>
          <w:sz w:val="28"/>
          <w:szCs w:val="28"/>
          <w:lang w:val="uk-UA"/>
        </w:rPr>
        <w:t xml:space="preserve"> </w:t>
      </w:r>
      <w:r w:rsidR="00463DAF">
        <w:rPr>
          <w:sz w:val="28"/>
          <w:szCs w:val="28"/>
          <w:lang w:val="uk-UA"/>
        </w:rPr>
        <w:t>А</w:t>
      </w:r>
      <w:r w:rsidRPr="008341AB">
        <w:rPr>
          <w:sz w:val="28"/>
          <w:szCs w:val="28"/>
          <w:lang w:val="uk-UA"/>
        </w:rPr>
        <w:t xml:space="preserve">бзац сьомий розділу </w:t>
      </w:r>
      <w:r w:rsidRPr="008341AB">
        <w:rPr>
          <w:sz w:val="28"/>
          <w:szCs w:val="28"/>
          <w:lang w:val="en-US"/>
        </w:rPr>
        <w:t>V</w:t>
      </w:r>
      <w:r w:rsidRPr="008341AB">
        <w:rPr>
          <w:sz w:val="28"/>
          <w:szCs w:val="28"/>
          <w:lang w:val="uk-UA"/>
        </w:rPr>
        <w:t xml:space="preserve"> Програми викласти у такій редакції: </w:t>
      </w:r>
    </w:p>
    <w:p w:rsidR="00747A12" w:rsidRPr="00C21FFD" w:rsidRDefault="00747A12" w:rsidP="00747A12">
      <w:pPr>
        <w:pStyle w:val="a3"/>
        <w:suppressAutoHyphens w:val="0"/>
        <w:ind w:left="0" w:firstLine="709"/>
        <w:jc w:val="both"/>
        <w:rPr>
          <w:rFonts w:ascii="Times New Roman CYR" w:eastAsia="Calibri" w:hAnsi="Times New Roman CYR" w:cs="Times New Roman CYR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„</w:t>
      </w:r>
      <w:r w:rsidRPr="00075104">
        <w:rPr>
          <w:sz w:val="28"/>
          <w:szCs w:val="28"/>
          <w:lang w:val="uk-UA"/>
        </w:rPr>
        <w:t>Керівникам театр</w:t>
      </w:r>
      <w:r>
        <w:rPr>
          <w:sz w:val="28"/>
          <w:szCs w:val="28"/>
          <w:lang w:val="uk-UA"/>
        </w:rPr>
        <w:t>ально-</w:t>
      </w:r>
      <w:r w:rsidRPr="00075104">
        <w:rPr>
          <w:sz w:val="28"/>
          <w:szCs w:val="28"/>
          <w:lang w:val="uk-UA"/>
        </w:rPr>
        <w:t>концертних</w:t>
      </w:r>
      <w:r>
        <w:rPr>
          <w:sz w:val="28"/>
          <w:szCs w:val="28"/>
          <w:lang w:val="uk-UA"/>
        </w:rPr>
        <w:t xml:space="preserve"> підприємств під час визначення розмірів посадових</w:t>
      </w:r>
      <w:r w:rsidRPr="00075104">
        <w:rPr>
          <w:sz w:val="28"/>
          <w:szCs w:val="28"/>
          <w:lang w:val="uk-UA"/>
        </w:rPr>
        <w:t xml:space="preserve"> окладів (ставок заробітної плати) керівних працівників, художнього та артистичного персоналу колективів, яким надано статус академічних, умови оплати праці яких затверджено Постановою Кабінету Міністрів України від 30 серпня 2002 року № 1298 „Про оплату праці працівників на основі Єдиної тарифної сітки розрядів і коефіцієнтів з оплати праці працівників установ, закладів та організацій окремих галузей бюджетної сфери”</w:t>
      </w:r>
      <w:r>
        <w:rPr>
          <w:sz w:val="28"/>
          <w:szCs w:val="28"/>
          <w:lang w:val="uk-UA"/>
        </w:rPr>
        <w:t xml:space="preserve">, установити у 2018, </w:t>
      </w:r>
      <w:r w:rsidRPr="00C21FFD">
        <w:rPr>
          <w:sz w:val="28"/>
          <w:szCs w:val="28"/>
          <w:lang w:val="uk-UA"/>
        </w:rPr>
        <w:t>2019, 2020 роках додатковий коефіцієнт підвищення посадових окладів у розмірі 1,6, а іншим працівникам зазначених колективів</w:t>
      </w:r>
      <w:r w:rsidR="00463DAF">
        <w:rPr>
          <w:sz w:val="28"/>
          <w:szCs w:val="28"/>
          <w:lang w:val="uk-UA"/>
        </w:rPr>
        <w:t xml:space="preserve"> –</w:t>
      </w:r>
      <w:r w:rsidRPr="00C21FFD">
        <w:rPr>
          <w:sz w:val="28"/>
          <w:szCs w:val="28"/>
          <w:lang w:val="uk-UA"/>
        </w:rPr>
        <w:t xml:space="preserve"> 1,3 та за власні доходи диференційовано встановлювати </w:t>
      </w:r>
      <w:r w:rsidRPr="00C21FFD">
        <w:rPr>
          <w:color w:val="000000"/>
          <w:sz w:val="28"/>
          <w:szCs w:val="28"/>
          <w:shd w:val="clear" w:color="auto" w:fill="FFFFFF"/>
          <w:lang w:val="uk-UA"/>
        </w:rPr>
        <w:t xml:space="preserve">керівним працівникам, художньому та </w:t>
      </w:r>
      <w:r w:rsidRPr="00C21FFD">
        <w:rPr>
          <w:color w:val="000000"/>
          <w:sz w:val="28"/>
          <w:szCs w:val="28"/>
          <w:shd w:val="clear" w:color="auto" w:fill="FFFFFF"/>
          <w:lang w:val="uk-UA"/>
        </w:rPr>
        <w:lastRenderedPageBreak/>
        <w:t>артистичному персоналу</w:t>
      </w:r>
      <w:r w:rsidRPr="00C21FFD">
        <w:rPr>
          <w:sz w:val="28"/>
          <w:szCs w:val="28"/>
          <w:lang w:val="uk-UA"/>
        </w:rPr>
        <w:t xml:space="preserve"> </w:t>
      </w:r>
      <w:r w:rsidRPr="00C21FFD">
        <w:rPr>
          <w:color w:val="000000"/>
          <w:sz w:val="28"/>
          <w:szCs w:val="28"/>
          <w:shd w:val="clear" w:color="auto" w:fill="FFFFFF"/>
          <w:lang w:val="uk-UA"/>
        </w:rPr>
        <w:t>додатковий коефіцієнт підвищення посадових окладів максимальний розмір якого не перевищує 2</w:t>
      </w:r>
      <w:r w:rsidR="00463DAF">
        <w:rPr>
          <w:color w:val="000000"/>
          <w:sz w:val="28"/>
          <w:szCs w:val="28"/>
          <w:shd w:val="clear" w:color="auto" w:fill="FFFFFF"/>
          <w:lang w:val="uk-UA"/>
        </w:rPr>
        <w:t>.”</w:t>
      </w:r>
    </w:p>
    <w:p w:rsidR="00747A12" w:rsidRDefault="00463DAF" w:rsidP="00747A12">
      <w:pPr>
        <w:suppressAutoHyphens w:val="0"/>
        <w:ind w:firstLine="709"/>
        <w:contextualSpacing/>
        <w:jc w:val="both"/>
        <w:rPr>
          <w:sz w:val="28"/>
          <w:szCs w:val="26"/>
          <w:lang w:val="uk-UA"/>
        </w:rPr>
      </w:pPr>
      <w:r>
        <w:rPr>
          <w:sz w:val="28"/>
          <w:szCs w:val="28"/>
          <w:lang w:val="uk-UA"/>
        </w:rPr>
        <w:t>1.2.</w:t>
      </w:r>
      <w:r w:rsidR="00747A1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</w:t>
      </w:r>
      <w:r w:rsidR="00747A12" w:rsidRPr="009C2CBC">
        <w:rPr>
          <w:sz w:val="28"/>
          <w:szCs w:val="26"/>
          <w:lang w:val="uk-UA"/>
        </w:rPr>
        <w:t>икласти у</w:t>
      </w:r>
      <w:r w:rsidR="00747A12">
        <w:rPr>
          <w:sz w:val="28"/>
          <w:szCs w:val="26"/>
          <w:lang w:val="uk-UA"/>
        </w:rPr>
        <w:t xml:space="preserve"> новій редакції:</w:t>
      </w:r>
    </w:p>
    <w:p w:rsidR="00747A12" w:rsidRDefault="00747A12" w:rsidP="00747A12">
      <w:pPr>
        <w:pStyle w:val="a3"/>
        <w:suppressAutoHyphens w:val="0"/>
        <w:ind w:left="0" w:firstLine="709"/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підпункт </w:t>
      </w:r>
      <w:r w:rsidRPr="009C2CBC">
        <w:rPr>
          <w:sz w:val="28"/>
          <w:szCs w:val="26"/>
          <w:lang w:val="uk-UA"/>
        </w:rPr>
        <w:t>1</w:t>
      </w:r>
      <w:r>
        <w:rPr>
          <w:sz w:val="28"/>
          <w:szCs w:val="26"/>
          <w:lang w:val="uk-UA"/>
        </w:rPr>
        <w:t>.2 пункту </w:t>
      </w:r>
      <w:r w:rsidRPr="009C2CBC">
        <w:rPr>
          <w:sz w:val="28"/>
          <w:szCs w:val="26"/>
          <w:lang w:val="uk-UA"/>
        </w:rPr>
        <w:t>1</w:t>
      </w:r>
      <w:r>
        <w:rPr>
          <w:sz w:val="28"/>
          <w:szCs w:val="26"/>
          <w:lang w:val="uk-UA"/>
        </w:rPr>
        <w:t>, </w:t>
      </w:r>
      <w:r w:rsidRPr="009C2CBC">
        <w:rPr>
          <w:sz w:val="28"/>
          <w:szCs w:val="26"/>
          <w:lang w:val="uk-UA"/>
        </w:rPr>
        <w:t>підпункт</w:t>
      </w:r>
      <w:r>
        <w:rPr>
          <w:sz w:val="28"/>
          <w:szCs w:val="26"/>
          <w:lang w:val="uk-UA"/>
        </w:rPr>
        <w:t> </w:t>
      </w:r>
      <w:r w:rsidRPr="009C2CBC">
        <w:rPr>
          <w:sz w:val="28"/>
          <w:szCs w:val="26"/>
          <w:lang w:val="uk-UA"/>
        </w:rPr>
        <w:t>3.1</w:t>
      </w:r>
      <w:r>
        <w:rPr>
          <w:sz w:val="28"/>
          <w:szCs w:val="26"/>
          <w:lang w:val="uk-UA"/>
        </w:rPr>
        <w:t> </w:t>
      </w:r>
      <w:r w:rsidRPr="009C2CBC">
        <w:rPr>
          <w:sz w:val="28"/>
          <w:szCs w:val="26"/>
          <w:lang w:val="uk-UA"/>
        </w:rPr>
        <w:t>пункту 3</w:t>
      </w:r>
      <w:r>
        <w:rPr>
          <w:sz w:val="28"/>
          <w:szCs w:val="26"/>
          <w:lang w:val="uk-UA"/>
        </w:rPr>
        <w:t>, пі</w:t>
      </w:r>
      <w:r w:rsidR="00463DAF">
        <w:rPr>
          <w:sz w:val="28"/>
          <w:szCs w:val="26"/>
          <w:lang w:val="uk-UA"/>
        </w:rPr>
        <w:t>дпункт 4.1 пункту 4 та пункт 6 П</w:t>
      </w:r>
      <w:r>
        <w:rPr>
          <w:sz w:val="28"/>
          <w:szCs w:val="26"/>
          <w:lang w:val="uk-UA"/>
        </w:rPr>
        <w:t xml:space="preserve">ереліку завдань і заходів Програми </w:t>
      </w:r>
      <w:r>
        <w:rPr>
          <w:sz w:val="28"/>
          <w:szCs w:val="28"/>
          <w:lang w:val="uk-UA"/>
        </w:rPr>
        <w:t>згідно з додатком 1;</w:t>
      </w:r>
    </w:p>
    <w:p w:rsidR="00747A12" w:rsidRDefault="00463DAF" w:rsidP="00747A12">
      <w:pPr>
        <w:pStyle w:val="a3"/>
        <w:suppressAutoHyphens w:val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747A12">
        <w:rPr>
          <w:sz w:val="28"/>
          <w:szCs w:val="28"/>
          <w:lang w:val="uk-UA"/>
        </w:rPr>
        <w:t xml:space="preserve">оказники оцінки ефективності виконання Програми </w:t>
      </w:r>
      <w:r>
        <w:rPr>
          <w:sz w:val="28"/>
          <w:szCs w:val="28"/>
          <w:lang w:val="uk-UA"/>
        </w:rPr>
        <w:t xml:space="preserve">відповідно до </w:t>
      </w:r>
      <w:r w:rsidR="00747A12">
        <w:rPr>
          <w:sz w:val="28"/>
          <w:szCs w:val="28"/>
          <w:lang w:val="uk-UA"/>
        </w:rPr>
        <w:t>додатк</w:t>
      </w:r>
      <w:r>
        <w:rPr>
          <w:sz w:val="28"/>
          <w:szCs w:val="28"/>
          <w:lang w:val="uk-UA"/>
        </w:rPr>
        <w:t>а</w:t>
      </w:r>
      <w:r w:rsidR="00747A12">
        <w:rPr>
          <w:sz w:val="28"/>
          <w:szCs w:val="28"/>
          <w:lang w:val="uk-UA"/>
        </w:rPr>
        <w:t xml:space="preserve"> 2; </w:t>
      </w:r>
    </w:p>
    <w:p w:rsidR="00747A12" w:rsidRDefault="00463DAF" w:rsidP="00747A12">
      <w:pPr>
        <w:pStyle w:val="a3"/>
        <w:suppressAutoHyphens w:val="0"/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</w:t>
      </w:r>
      <w:r w:rsidR="00747A12">
        <w:rPr>
          <w:sz w:val="28"/>
          <w:szCs w:val="28"/>
          <w:lang w:val="uk-UA"/>
        </w:rPr>
        <w:t>аспорт Програми згідно з додатком 3.</w:t>
      </w:r>
    </w:p>
    <w:p w:rsidR="00747A12" w:rsidRDefault="00747A12" w:rsidP="00747A12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747A12" w:rsidRPr="00730498" w:rsidRDefault="00747A12" w:rsidP="00747A12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Pr="00730498">
        <w:rPr>
          <w:sz w:val="28"/>
          <w:szCs w:val="28"/>
          <w:lang w:val="uk-UA"/>
        </w:rPr>
        <w:t>. Координацію роботи щодо виконання цього рішення покласти на управління культури, національностей і релігій Дніпропетровської облдержадміністрації, контроль – на постійну комісію обласної ради з питань культури, духовності та спорту.</w:t>
      </w:r>
    </w:p>
    <w:p w:rsidR="00747A12" w:rsidRPr="00730498" w:rsidRDefault="00747A12" w:rsidP="00747A12">
      <w:pPr>
        <w:ind w:firstLine="720"/>
        <w:jc w:val="both"/>
        <w:rPr>
          <w:sz w:val="28"/>
          <w:szCs w:val="28"/>
          <w:lang w:val="uk-UA"/>
        </w:rPr>
      </w:pPr>
    </w:p>
    <w:p w:rsidR="00747A12" w:rsidRPr="00730498" w:rsidRDefault="00747A12" w:rsidP="00747A12">
      <w:pPr>
        <w:ind w:firstLine="720"/>
        <w:jc w:val="both"/>
        <w:rPr>
          <w:sz w:val="28"/>
          <w:szCs w:val="28"/>
          <w:lang w:val="uk-UA"/>
        </w:rPr>
      </w:pPr>
    </w:p>
    <w:p w:rsidR="00747A12" w:rsidRDefault="00747A12" w:rsidP="00747A12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Голова обласної </w:t>
      </w:r>
      <w:r w:rsidRPr="00730498">
        <w:rPr>
          <w:b/>
          <w:sz w:val="28"/>
          <w:szCs w:val="28"/>
          <w:lang w:val="uk-UA"/>
        </w:rPr>
        <w:t>ради</w:t>
      </w:r>
      <w:r>
        <w:rPr>
          <w:b/>
          <w:sz w:val="28"/>
          <w:szCs w:val="28"/>
          <w:lang w:val="uk-UA"/>
        </w:rPr>
        <w:t xml:space="preserve">    </w:t>
      </w:r>
      <w:r w:rsidRPr="00730498">
        <w:rPr>
          <w:b/>
          <w:sz w:val="28"/>
          <w:szCs w:val="28"/>
          <w:lang w:val="uk-UA"/>
        </w:rPr>
        <w:t xml:space="preserve">                                        </w:t>
      </w:r>
      <w:r>
        <w:rPr>
          <w:b/>
          <w:sz w:val="28"/>
          <w:szCs w:val="28"/>
          <w:lang w:val="uk-UA"/>
        </w:rPr>
        <w:t xml:space="preserve">              </w:t>
      </w:r>
      <w:r w:rsidRPr="00730498">
        <w:rPr>
          <w:b/>
          <w:sz w:val="28"/>
          <w:szCs w:val="28"/>
          <w:lang w:val="uk-UA"/>
        </w:rPr>
        <w:t xml:space="preserve">  Г. ПРИГУНОВ</w:t>
      </w:r>
    </w:p>
    <w:p w:rsidR="0042418E" w:rsidRPr="00747A12" w:rsidRDefault="0042418E">
      <w:pPr>
        <w:rPr>
          <w:lang w:val="uk-UA"/>
        </w:rPr>
      </w:pPr>
    </w:p>
    <w:sectPr w:rsidR="0042418E" w:rsidRPr="00747A12" w:rsidSect="00463DAF">
      <w:headerReference w:type="default" r:id="rId8"/>
      <w:pgSz w:w="11906" w:h="16838"/>
      <w:pgMar w:top="1134" w:right="1134" w:bottom="170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02B7" w:rsidRDefault="003A02B7" w:rsidP="00463DAF">
      <w:r>
        <w:separator/>
      </w:r>
    </w:p>
  </w:endnote>
  <w:endnote w:type="continuationSeparator" w:id="0">
    <w:p w:rsidR="003A02B7" w:rsidRDefault="003A02B7" w:rsidP="00463D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02B7" w:rsidRDefault="003A02B7" w:rsidP="00463DAF">
      <w:r>
        <w:separator/>
      </w:r>
    </w:p>
  </w:footnote>
  <w:footnote w:type="continuationSeparator" w:id="0">
    <w:p w:rsidR="003A02B7" w:rsidRDefault="003A02B7" w:rsidP="00463D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9192258"/>
      <w:docPartObj>
        <w:docPartGallery w:val="Page Numbers (Top of Page)"/>
        <w:docPartUnique/>
      </w:docPartObj>
    </w:sdtPr>
    <w:sdtContent>
      <w:p w:rsidR="00463DAF" w:rsidRDefault="00463DA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110D">
          <w:rPr>
            <w:noProof/>
          </w:rPr>
          <w:t>2</w:t>
        </w:r>
        <w:r>
          <w:fldChar w:fldCharType="end"/>
        </w:r>
      </w:p>
    </w:sdtContent>
  </w:sdt>
  <w:p w:rsidR="00463DAF" w:rsidRDefault="00463D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F17245"/>
    <w:multiLevelType w:val="hybridMultilevel"/>
    <w:tmpl w:val="F9747534"/>
    <w:lvl w:ilvl="0" w:tplc="EB56CE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12"/>
    <w:rsid w:val="00046CC8"/>
    <w:rsid w:val="00086793"/>
    <w:rsid w:val="0013110D"/>
    <w:rsid w:val="00293DAC"/>
    <w:rsid w:val="003A02B7"/>
    <w:rsid w:val="0042418E"/>
    <w:rsid w:val="00454831"/>
    <w:rsid w:val="00463DAF"/>
    <w:rsid w:val="00567BED"/>
    <w:rsid w:val="005B628B"/>
    <w:rsid w:val="005F0D10"/>
    <w:rsid w:val="0060170A"/>
    <w:rsid w:val="007200ED"/>
    <w:rsid w:val="00747A12"/>
    <w:rsid w:val="007F54CE"/>
    <w:rsid w:val="0082429A"/>
    <w:rsid w:val="00AF629D"/>
    <w:rsid w:val="00DD78CD"/>
    <w:rsid w:val="00ED6A36"/>
    <w:rsid w:val="00EF3490"/>
    <w:rsid w:val="00EF3AD4"/>
    <w:rsid w:val="00FA4215"/>
    <w:rsid w:val="00FD2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A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7B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BED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6">
    <w:name w:val="header"/>
    <w:basedOn w:val="a"/>
    <w:link w:val="a7"/>
    <w:uiPriority w:val="99"/>
    <w:unhideWhenUsed/>
    <w:rsid w:val="00463DAF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3DA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8">
    <w:name w:val="footer"/>
    <w:basedOn w:val="a"/>
    <w:link w:val="a9"/>
    <w:uiPriority w:val="99"/>
    <w:unhideWhenUsed/>
    <w:rsid w:val="00463DAF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3DAF"/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7A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7BE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BED"/>
    <w:rPr>
      <w:rFonts w:ascii="Tahoma" w:eastAsia="Times New Roman" w:hAnsi="Tahoma" w:cs="Tahoma"/>
      <w:sz w:val="16"/>
      <w:szCs w:val="16"/>
      <w:lang w:val="ru-RU" w:eastAsia="ar-SA"/>
    </w:rPr>
  </w:style>
  <w:style w:type="paragraph" w:styleId="a6">
    <w:name w:val="header"/>
    <w:basedOn w:val="a"/>
    <w:link w:val="a7"/>
    <w:uiPriority w:val="99"/>
    <w:unhideWhenUsed/>
    <w:rsid w:val="00463DAF"/>
    <w:pPr>
      <w:tabs>
        <w:tab w:val="center" w:pos="4819"/>
        <w:tab w:val="right" w:pos="9639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63DAF"/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styleId="a8">
    <w:name w:val="footer"/>
    <w:basedOn w:val="a"/>
    <w:link w:val="a9"/>
    <w:uiPriority w:val="99"/>
    <w:unhideWhenUsed/>
    <w:rsid w:val="00463DAF"/>
    <w:pPr>
      <w:tabs>
        <w:tab w:val="center" w:pos="4819"/>
        <w:tab w:val="right" w:pos="9639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63DAF"/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1550</Words>
  <Characters>884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2018-11-08T11:00:00Z</cp:lastPrinted>
  <dcterms:created xsi:type="dcterms:W3CDTF">2018-11-08T07:48:00Z</dcterms:created>
  <dcterms:modified xsi:type="dcterms:W3CDTF">2018-11-08T11:00:00Z</dcterms:modified>
</cp:coreProperties>
</file>