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1D" w:rsidRPr="00902DDD" w:rsidRDefault="00596B1D" w:rsidP="00596B1D">
      <w:pPr>
        <w:pStyle w:val="a7"/>
        <w:ind w:left="5180" w:firstLine="91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02DDD">
        <w:rPr>
          <w:rFonts w:ascii="Times New Roman" w:hAnsi="Times New Roman" w:cs="Times New Roman"/>
          <w:b w:val="0"/>
          <w:sz w:val="28"/>
          <w:szCs w:val="28"/>
        </w:rPr>
        <w:t>Додаток 3</w:t>
      </w:r>
    </w:p>
    <w:p w:rsidR="00596B1D" w:rsidRDefault="00596B1D" w:rsidP="00596B1D">
      <w:pPr>
        <w:pStyle w:val="a7"/>
        <w:ind w:left="5180" w:firstLine="916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до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ішення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обласної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ради</w:t>
      </w:r>
    </w:p>
    <w:p w:rsidR="00596B1D" w:rsidRPr="00BF3F6E" w:rsidRDefault="00596B1D" w:rsidP="00596B1D">
      <w:pPr>
        <w:pStyle w:val="a7"/>
        <w:rPr>
          <w:rFonts w:ascii="Times New Roman" w:hAnsi="Times New Roman" w:cs="Times New Roman"/>
          <w:sz w:val="18"/>
          <w:szCs w:val="24"/>
          <w:lang w:val="ru-RU"/>
        </w:rPr>
      </w:pPr>
    </w:p>
    <w:p w:rsidR="00596B1D" w:rsidRPr="00CF3047" w:rsidRDefault="00596B1D" w:rsidP="00596B1D">
      <w:pPr>
        <w:pStyle w:val="a7"/>
        <w:rPr>
          <w:rFonts w:ascii="Times New Roman" w:hAnsi="Times New Roman" w:cs="Times New Roman"/>
          <w:sz w:val="28"/>
          <w:szCs w:val="28"/>
        </w:rPr>
      </w:pPr>
      <w:r w:rsidRPr="00CF3047">
        <w:rPr>
          <w:rFonts w:ascii="Times New Roman" w:hAnsi="Times New Roman" w:cs="Times New Roman"/>
          <w:sz w:val="28"/>
          <w:szCs w:val="28"/>
        </w:rPr>
        <w:t>ПАСПОРТ</w:t>
      </w:r>
    </w:p>
    <w:p w:rsidR="00596B1D" w:rsidRPr="00CF3047" w:rsidRDefault="00BF3F6E" w:rsidP="00596B1D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96B1D" w:rsidRPr="00CF3047">
        <w:rPr>
          <w:b/>
          <w:sz w:val="28"/>
          <w:szCs w:val="28"/>
        </w:rPr>
        <w:t>рограми</w:t>
      </w:r>
    </w:p>
    <w:p w:rsidR="00596B1D" w:rsidRPr="00BF3F6E" w:rsidRDefault="00596B1D" w:rsidP="00596B1D">
      <w:pPr>
        <w:spacing w:line="228" w:lineRule="auto"/>
        <w:ind w:firstLine="720"/>
        <w:jc w:val="center"/>
        <w:rPr>
          <w:sz w:val="16"/>
        </w:rPr>
      </w:pPr>
    </w:p>
    <w:p w:rsidR="00596B1D" w:rsidRDefault="00596B1D" w:rsidP="00596B1D">
      <w:pPr>
        <w:spacing w:line="228" w:lineRule="auto"/>
        <w:ind w:firstLine="840"/>
        <w:contextualSpacing/>
        <w:jc w:val="both"/>
        <w:rPr>
          <w:sz w:val="28"/>
          <w:szCs w:val="28"/>
        </w:rPr>
      </w:pPr>
      <w:r w:rsidRPr="008E00B2">
        <w:rPr>
          <w:sz w:val="28"/>
          <w:szCs w:val="28"/>
        </w:rPr>
        <w:t>1. Назва: Програма розвитку Українського козацтва в Дніпропетровській області на 2008 – 20</w:t>
      </w:r>
      <w:r>
        <w:rPr>
          <w:sz w:val="28"/>
          <w:szCs w:val="28"/>
        </w:rPr>
        <w:t>20</w:t>
      </w:r>
      <w:r w:rsidRPr="008E00B2">
        <w:rPr>
          <w:sz w:val="28"/>
          <w:szCs w:val="28"/>
        </w:rPr>
        <w:t xml:space="preserve"> роки.</w:t>
      </w:r>
    </w:p>
    <w:p w:rsidR="00596B1D" w:rsidRDefault="00596B1D" w:rsidP="00596B1D">
      <w:pPr>
        <w:spacing w:line="228" w:lineRule="auto"/>
        <w:ind w:firstLine="840"/>
        <w:contextualSpacing/>
        <w:jc w:val="both"/>
        <w:rPr>
          <w:sz w:val="28"/>
          <w:szCs w:val="28"/>
        </w:rPr>
      </w:pPr>
      <w:r w:rsidRPr="008E00B2">
        <w:rPr>
          <w:sz w:val="28"/>
          <w:szCs w:val="28"/>
        </w:rPr>
        <w:t xml:space="preserve">2. Підстава для розроблення: </w:t>
      </w:r>
      <w:r>
        <w:rPr>
          <w:bCs/>
          <w:sz w:val="28"/>
          <w:szCs w:val="28"/>
        </w:rPr>
        <w:t xml:space="preserve">закони України </w:t>
      </w:r>
      <w:proofErr w:type="spellStart"/>
      <w:r w:rsidRPr="00596B1D">
        <w:rPr>
          <w:sz w:val="28"/>
          <w:szCs w:val="28"/>
        </w:rPr>
        <w:t>„</w:t>
      </w:r>
      <w:r w:rsidRPr="00EF4B18">
        <w:rPr>
          <w:sz w:val="28"/>
          <w:szCs w:val="28"/>
        </w:rPr>
        <w:t>Про</w:t>
      </w:r>
      <w:proofErr w:type="spellEnd"/>
      <w:r w:rsidRPr="00EF4B18">
        <w:rPr>
          <w:sz w:val="28"/>
          <w:szCs w:val="28"/>
        </w:rPr>
        <w:t xml:space="preserve"> м</w:t>
      </w:r>
      <w:r>
        <w:rPr>
          <w:sz w:val="28"/>
          <w:szCs w:val="28"/>
        </w:rPr>
        <w:t>ісцеві державні адміністрації”</w:t>
      </w:r>
      <w:r w:rsidRPr="00A73D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BF3F6E" w:rsidRPr="00596B1D">
        <w:rPr>
          <w:sz w:val="28"/>
          <w:szCs w:val="28"/>
        </w:rPr>
        <w:t>„</w:t>
      </w:r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r w:rsidRPr="00FC4DB3">
        <w:rPr>
          <w:sz w:val="28"/>
          <w:szCs w:val="28"/>
        </w:rPr>
        <w:t>місцеве самоврядування в Україні</w:t>
      </w:r>
      <w:r>
        <w:rPr>
          <w:sz w:val="28"/>
          <w:szCs w:val="28"/>
        </w:rPr>
        <w:t>”</w:t>
      </w:r>
      <w:r w:rsidRPr="008E00B2">
        <w:rPr>
          <w:sz w:val="28"/>
          <w:szCs w:val="28"/>
        </w:rPr>
        <w:t>.</w:t>
      </w:r>
    </w:p>
    <w:p w:rsidR="00596B1D" w:rsidRPr="00000F61" w:rsidRDefault="00596B1D" w:rsidP="00596B1D">
      <w:pPr>
        <w:spacing w:line="228" w:lineRule="auto"/>
        <w:ind w:firstLine="840"/>
        <w:contextualSpacing/>
        <w:jc w:val="both"/>
        <w:rPr>
          <w:sz w:val="28"/>
          <w:szCs w:val="28"/>
        </w:rPr>
      </w:pPr>
      <w:r w:rsidRPr="008E00B2">
        <w:rPr>
          <w:sz w:val="28"/>
          <w:szCs w:val="28"/>
        </w:rPr>
        <w:t xml:space="preserve">3. Регіональний замовник Програми або координатор: </w:t>
      </w:r>
      <w:r w:rsidRPr="00000F61">
        <w:rPr>
          <w:sz w:val="28"/>
          <w:szCs w:val="28"/>
        </w:rPr>
        <w:t>департамент інформаційної діяльності та комунікацій з громадськістю облдержадміністрації.</w:t>
      </w:r>
    </w:p>
    <w:p w:rsidR="00596B1D" w:rsidRDefault="00596B1D" w:rsidP="00596B1D">
      <w:pPr>
        <w:spacing w:line="228" w:lineRule="auto"/>
        <w:ind w:firstLine="840"/>
        <w:contextualSpacing/>
        <w:jc w:val="both"/>
        <w:rPr>
          <w:sz w:val="28"/>
          <w:szCs w:val="28"/>
        </w:rPr>
      </w:pPr>
      <w:r w:rsidRPr="008E00B2">
        <w:rPr>
          <w:sz w:val="28"/>
          <w:szCs w:val="28"/>
        </w:rPr>
        <w:t xml:space="preserve">4. </w:t>
      </w:r>
      <w:proofErr w:type="spellStart"/>
      <w:r w:rsidRPr="008E00B2">
        <w:rPr>
          <w:sz w:val="28"/>
          <w:szCs w:val="28"/>
        </w:rPr>
        <w:t>Співзамовники</w:t>
      </w:r>
      <w:proofErr w:type="spellEnd"/>
      <w:r w:rsidRPr="008E00B2">
        <w:rPr>
          <w:sz w:val="28"/>
          <w:szCs w:val="28"/>
        </w:rPr>
        <w:t xml:space="preserve"> Програми: </w:t>
      </w:r>
      <w:r w:rsidR="00BF3F6E">
        <w:rPr>
          <w:sz w:val="28"/>
          <w:szCs w:val="28"/>
        </w:rPr>
        <w:t>немає</w:t>
      </w:r>
      <w:r w:rsidRPr="00C03421">
        <w:rPr>
          <w:sz w:val="28"/>
          <w:szCs w:val="28"/>
        </w:rPr>
        <w:t>.</w:t>
      </w:r>
    </w:p>
    <w:p w:rsidR="00596B1D" w:rsidRDefault="00596B1D" w:rsidP="00596B1D">
      <w:pPr>
        <w:spacing w:line="228" w:lineRule="auto"/>
        <w:ind w:firstLine="840"/>
        <w:contextualSpacing/>
        <w:jc w:val="both"/>
        <w:rPr>
          <w:sz w:val="28"/>
          <w:szCs w:val="28"/>
        </w:rPr>
      </w:pPr>
      <w:r w:rsidRPr="008E00B2">
        <w:rPr>
          <w:sz w:val="28"/>
          <w:szCs w:val="28"/>
        </w:rPr>
        <w:t xml:space="preserve">5. Відповідальні за виконання: </w:t>
      </w:r>
      <w:r w:rsidRPr="00000F61">
        <w:rPr>
          <w:sz w:val="28"/>
          <w:szCs w:val="28"/>
        </w:rPr>
        <w:t>департамент інформаційної діяльності та комунікацій з громадськістю облдержадміністрації</w:t>
      </w:r>
      <w:r>
        <w:rPr>
          <w:sz w:val="28"/>
          <w:szCs w:val="28"/>
        </w:rPr>
        <w:t>, управління інформаційних технологій та електронного урядування</w:t>
      </w:r>
      <w:r w:rsidRPr="008E00B2">
        <w:rPr>
          <w:sz w:val="28"/>
          <w:szCs w:val="28"/>
        </w:rPr>
        <w:t xml:space="preserve"> облдержадміністрації, </w:t>
      </w:r>
      <w:r>
        <w:rPr>
          <w:sz w:val="28"/>
          <w:szCs w:val="28"/>
        </w:rPr>
        <w:t xml:space="preserve">управління культури, національностей і релігій </w:t>
      </w:r>
      <w:r w:rsidRPr="008E00B2">
        <w:rPr>
          <w:sz w:val="28"/>
          <w:szCs w:val="28"/>
        </w:rPr>
        <w:t xml:space="preserve">облдержадміністрації, </w:t>
      </w:r>
      <w:r>
        <w:rPr>
          <w:sz w:val="28"/>
          <w:szCs w:val="28"/>
        </w:rPr>
        <w:t>департамент</w:t>
      </w:r>
      <w:r w:rsidRPr="008E00B2">
        <w:rPr>
          <w:sz w:val="28"/>
          <w:szCs w:val="28"/>
        </w:rPr>
        <w:t xml:space="preserve"> освіти і науки облдержадміністрації, </w:t>
      </w:r>
      <w:r>
        <w:rPr>
          <w:sz w:val="28"/>
          <w:szCs w:val="28"/>
        </w:rPr>
        <w:t>управління</w:t>
      </w:r>
      <w:r w:rsidRPr="008E0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молоді і </w:t>
      </w:r>
      <w:r w:rsidRPr="008E00B2">
        <w:rPr>
          <w:sz w:val="28"/>
          <w:szCs w:val="28"/>
        </w:rPr>
        <w:t>спорту</w:t>
      </w:r>
      <w:r>
        <w:rPr>
          <w:sz w:val="28"/>
          <w:szCs w:val="28"/>
        </w:rPr>
        <w:t xml:space="preserve"> облдержадміністрації</w:t>
      </w:r>
      <w:r w:rsidRPr="008E00B2">
        <w:rPr>
          <w:sz w:val="28"/>
          <w:szCs w:val="28"/>
        </w:rPr>
        <w:t>, координаційна рада з питань козацтва при Дніпропетровській обл</w:t>
      </w:r>
      <w:r w:rsidRPr="00C03421">
        <w:rPr>
          <w:sz w:val="28"/>
          <w:szCs w:val="28"/>
        </w:rPr>
        <w:t>асн</w:t>
      </w:r>
      <w:r>
        <w:rPr>
          <w:sz w:val="28"/>
          <w:szCs w:val="28"/>
        </w:rPr>
        <w:t xml:space="preserve">ій </w:t>
      </w:r>
      <w:r w:rsidRPr="008E00B2">
        <w:rPr>
          <w:sz w:val="28"/>
          <w:szCs w:val="28"/>
        </w:rPr>
        <w:t xml:space="preserve">раді (за згодою), </w:t>
      </w:r>
      <w:r>
        <w:rPr>
          <w:sz w:val="28"/>
          <w:szCs w:val="28"/>
        </w:rPr>
        <w:t>Дніп</w:t>
      </w:r>
      <w:r w:rsidRPr="00FC7945">
        <w:rPr>
          <w:sz w:val="28"/>
          <w:szCs w:val="28"/>
        </w:rPr>
        <w:t>ропет</w:t>
      </w:r>
      <w:r>
        <w:rPr>
          <w:sz w:val="28"/>
          <w:szCs w:val="28"/>
        </w:rPr>
        <w:t>ро</w:t>
      </w:r>
      <w:r w:rsidRPr="00FC7945">
        <w:rPr>
          <w:sz w:val="28"/>
          <w:szCs w:val="28"/>
        </w:rPr>
        <w:t xml:space="preserve">вський обласний центр </w:t>
      </w:r>
      <w:r>
        <w:rPr>
          <w:sz w:val="28"/>
          <w:szCs w:val="28"/>
        </w:rPr>
        <w:t>з охорони історико-культурних</w:t>
      </w:r>
      <w:r w:rsidRPr="00FC7945">
        <w:rPr>
          <w:sz w:val="28"/>
          <w:szCs w:val="28"/>
        </w:rPr>
        <w:t xml:space="preserve"> </w:t>
      </w:r>
      <w:r>
        <w:rPr>
          <w:sz w:val="28"/>
          <w:szCs w:val="28"/>
        </w:rPr>
        <w:t>цінностей</w:t>
      </w:r>
      <w:r w:rsidRPr="008E00B2">
        <w:rPr>
          <w:sz w:val="28"/>
          <w:szCs w:val="28"/>
        </w:rPr>
        <w:t xml:space="preserve"> (за згодою), </w:t>
      </w:r>
      <w:r>
        <w:rPr>
          <w:sz w:val="28"/>
          <w:szCs w:val="28"/>
        </w:rPr>
        <w:t>Дніп</w:t>
      </w:r>
      <w:r w:rsidRPr="009071F3">
        <w:rPr>
          <w:sz w:val="28"/>
          <w:szCs w:val="28"/>
        </w:rPr>
        <w:t>ровський національний уні</w:t>
      </w:r>
      <w:r>
        <w:rPr>
          <w:sz w:val="28"/>
          <w:szCs w:val="28"/>
        </w:rPr>
        <w:t>верситет імені Олеся Гончара</w:t>
      </w:r>
      <w:r w:rsidRPr="008E00B2">
        <w:rPr>
          <w:sz w:val="28"/>
          <w:szCs w:val="28"/>
        </w:rPr>
        <w:t xml:space="preserve"> (за згодою), </w:t>
      </w:r>
      <w:r>
        <w:rPr>
          <w:sz w:val="28"/>
          <w:szCs w:val="28"/>
        </w:rPr>
        <w:t xml:space="preserve">комунальний заклад культури </w:t>
      </w:r>
      <w:proofErr w:type="spellStart"/>
      <w:r w:rsidRPr="00596B1D">
        <w:rPr>
          <w:sz w:val="28"/>
          <w:szCs w:val="28"/>
        </w:rPr>
        <w:t>„</w:t>
      </w:r>
      <w:r>
        <w:rPr>
          <w:sz w:val="28"/>
          <w:szCs w:val="28"/>
        </w:rPr>
        <w:t>Дніп</w:t>
      </w:r>
      <w:r w:rsidRPr="009D046A">
        <w:rPr>
          <w:sz w:val="28"/>
          <w:szCs w:val="28"/>
        </w:rPr>
        <w:t>ро</w:t>
      </w:r>
      <w:r>
        <w:rPr>
          <w:sz w:val="28"/>
          <w:szCs w:val="28"/>
        </w:rPr>
        <w:t>петро</w:t>
      </w:r>
      <w:r w:rsidRPr="009D046A">
        <w:rPr>
          <w:sz w:val="28"/>
          <w:szCs w:val="28"/>
        </w:rPr>
        <w:t>вський</w:t>
      </w:r>
      <w:proofErr w:type="spellEnd"/>
      <w:r w:rsidRPr="009D046A">
        <w:rPr>
          <w:sz w:val="28"/>
          <w:szCs w:val="28"/>
        </w:rPr>
        <w:t xml:space="preserve"> національний історичний музей імені Д.І.Яворницького</w:t>
      </w:r>
      <w:r w:rsidRPr="009071F3">
        <w:rPr>
          <w:sz w:val="28"/>
          <w:szCs w:val="28"/>
        </w:rPr>
        <w:t>”</w:t>
      </w:r>
      <w:r>
        <w:rPr>
          <w:sz w:val="28"/>
          <w:szCs w:val="28"/>
        </w:rPr>
        <w:t xml:space="preserve"> Дніпропетровської обласної ради</w:t>
      </w:r>
      <w:r w:rsidRPr="008E00B2">
        <w:rPr>
          <w:sz w:val="28"/>
          <w:szCs w:val="28"/>
        </w:rPr>
        <w:t xml:space="preserve"> (за згодою), райдержадміністрації, виконавчі комітети міських рад (за згодою).</w:t>
      </w:r>
    </w:p>
    <w:p w:rsidR="00596B1D" w:rsidRDefault="00596B1D" w:rsidP="00596B1D">
      <w:pPr>
        <w:spacing w:line="228" w:lineRule="auto"/>
        <w:ind w:firstLine="8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Мета: відродження і</w:t>
      </w:r>
      <w:r w:rsidRPr="00E45A26">
        <w:rPr>
          <w:sz w:val="28"/>
          <w:szCs w:val="28"/>
        </w:rPr>
        <w:t xml:space="preserve"> розвит</w:t>
      </w:r>
      <w:r>
        <w:rPr>
          <w:sz w:val="28"/>
          <w:szCs w:val="28"/>
        </w:rPr>
        <w:t>ок</w:t>
      </w:r>
      <w:r w:rsidRPr="00E45A26">
        <w:rPr>
          <w:sz w:val="28"/>
          <w:szCs w:val="28"/>
        </w:rPr>
        <w:t xml:space="preserve"> історичних, патріотичних, господарських та культурних традицій</w:t>
      </w:r>
      <w:r>
        <w:rPr>
          <w:sz w:val="28"/>
          <w:szCs w:val="28"/>
        </w:rPr>
        <w:t xml:space="preserve"> </w:t>
      </w:r>
      <w:r w:rsidRPr="00E45A26">
        <w:rPr>
          <w:sz w:val="28"/>
          <w:szCs w:val="28"/>
        </w:rPr>
        <w:t xml:space="preserve">і </w:t>
      </w:r>
      <w:r>
        <w:rPr>
          <w:sz w:val="28"/>
          <w:szCs w:val="28"/>
        </w:rPr>
        <w:t>цінностей</w:t>
      </w:r>
      <w:r w:rsidRPr="00E45A2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45A26">
        <w:rPr>
          <w:sz w:val="28"/>
          <w:szCs w:val="28"/>
        </w:rPr>
        <w:t>країнського козацтва, виховання у громадян національної свідомості, поваги до історії України, консолідаці</w:t>
      </w:r>
      <w:r>
        <w:rPr>
          <w:sz w:val="28"/>
          <w:szCs w:val="28"/>
        </w:rPr>
        <w:t>я</w:t>
      </w:r>
      <w:r w:rsidRPr="00E45A26">
        <w:rPr>
          <w:sz w:val="28"/>
          <w:szCs w:val="28"/>
        </w:rPr>
        <w:t xml:space="preserve"> українського народу, збереження історико-культурної спадщини</w:t>
      </w:r>
      <w:r>
        <w:rPr>
          <w:sz w:val="28"/>
          <w:szCs w:val="28"/>
        </w:rPr>
        <w:t>.</w:t>
      </w:r>
    </w:p>
    <w:p w:rsidR="00596B1D" w:rsidRDefault="00596B1D" w:rsidP="00596B1D">
      <w:pPr>
        <w:spacing w:line="228" w:lineRule="auto"/>
        <w:ind w:firstLine="840"/>
        <w:contextualSpacing/>
        <w:jc w:val="both"/>
        <w:rPr>
          <w:sz w:val="28"/>
          <w:szCs w:val="28"/>
        </w:rPr>
      </w:pPr>
      <w:r w:rsidRPr="008E00B2">
        <w:rPr>
          <w:sz w:val="28"/>
          <w:szCs w:val="28"/>
        </w:rPr>
        <w:t>7. Початок: 2008 рік, закінчення: 20</w:t>
      </w:r>
      <w:r>
        <w:rPr>
          <w:sz w:val="28"/>
          <w:szCs w:val="28"/>
        </w:rPr>
        <w:t>20</w:t>
      </w:r>
      <w:r w:rsidRPr="008E00B2">
        <w:rPr>
          <w:sz w:val="28"/>
          <w:szCs w:val="28"/>
        </w:rPr>
        <w:t xml:space="preserve"> рік.</w:t>
      </w:r>
    </w:p>
    <w:p w:rsidR="00596B1D" w:rsidRPr="006F0345" w:rsidRDefault="00596B1D" w:rsidP="00596B1D">
      <w:pPr>
        <w:spacing w:line="228" w:lineRule="auto"/>
        <w:ind w:firstLine="840"/>
        <w:contextualSpacing/>
        <w:jc w:val="both"/>
        <w:rPr>
          <w:sz w:val="16"/>
          <w:szCs w:val="16"/>
        </w:rPr>
      </w:pPr>
      <w:r w:rsidRPr="008E00B2">
        <w:rPr>
          <w:sz w:val="28"/>
          <w:szCs w:val="28"/>
        </w:rPr>
        <w:t xml:space="preserve">8. Етапи виконання: </w:t>
      </w:r>
      <w:r>
        <w:rPr>
          <w:sz w:val="28"/>
          <w:szCs w:val="28"/>
        </w:rPr>
        <w:t xml:space="preserve">І етап: </w:t>
      </w:r>
      <w:r w:rsidRPr="008E00B2">
        <w:rPr>
          <w:sz w:val="28"/>
          <w:szCs w:val="28"/>
        </w:rPr>
        <w:t xml:space="preserve">2008 – 2012 </w:t>
      </w:r>
      <w:r>
        <w:rPr>
          <w:sz w:val="28"/>
          <w:szCs w:val="28"/>
        </w:rPr>
        <w:t>роки, ІІ етап: 2013 – 2017 роки, ІІІ етап: 2018 – 2020 роки.</w:t>
      </w:r>
    </w:p>
    <w:p w:rsidR="00596B1D" w:rsidRPr="008E00B2" w:rsidRDefault="00596B1D" w:rsidP="00596B1D">
      <w:pPr>
        <w:spacing w:line="228" w:lineRule="auto"/>
        <w:ind w:firstLine="840"/>
        <w:contextualSpacing/>
        <w:jc w:val="both"/>
        <w:rPr>
          <w:sz w:val="28"/>
          <w:szCs w:val="28"/>
        </w:rPr>
      </w:pPr>
      <w:r w:rsidRPr="008E00B2">
        <w:rPr>
          <w:sz w:val="28"/>
          <w:szCs w:val="28"/>
        </w:rPr>
        <w:t>9. Загальні обсяги фінансування:</w:t>
      </w:r>
    </w:p>
    <w:tbl>
      <w:tblPr>
        <w:tblW w:w="9254" w:type="dxa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560"/>
        <w:gridCol w:w="932"/>
        <w:gridCol w:w="937"/>
        <w:gridCol w:w="980"/>
        <w:gridCol w:w="1680"/>
        <w:gridCol w:w="1466"/>
      </w:tblGrid>
      <w:tr w:rsidR="00596B1D" w:rsidRPr="00F0620F" w:rsidTr="000B48BB">
        <w:trPr>
          <w:cantSplit/>
          <w:trHeight w:val="312"/>
          <w:jc w:val="center"/>
        </w:trPr>
        <w:tc>
          <w:tcPr>
            <w:tcW w:w="1699" w:type="dxa"/>
            <w:vMerge w:val="restart"/>
            <w:shd w:val="clear" w:color="auto" w:fill="auto"/>
          </w:tcPr>
          <w:p w:rsidR="00596B1D" w:rsidRPr="006B5017" w:rsidRDefault="00596B1D" w:rsidP="000B48BB">
            <w:pPr>
              <w:ind w:left="120" w:right="-19"/>
              <w:contextualSpacing/>
              <w:jc w:val="center"/>
              <w:rPr>
                <w:b/>
                <w:sz w:val="20"/>
                <w:szCs w:val="20"/>
              </w:rPr>
            </w:pPr>
            <w:r w:rsidRPr="006B5017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96B1D" w:rsidRPr="006B5017" w:rsidRDefault="00596B1D" w:rsidP="000B48BB">
            <w:pPr>
              <w:ind w:left="-77" w:right="9"/>
              <w:contextualSpacing/>
              <w:jc w:val="center"/>
              <w:rPr>
                <w:b/>
                <w:sz w:val="20"/>
                <w:szCs w:val="20"/>
              </w:rPr>
            </w:pPr>
            <w:r w:rsidRPr="006B5017">
              <w:rPr>
                <w:b/>
                <w:sz w:val="20"/>
                <w:szCs w:val="20"/>
              </w:rPr>
              <w:t xml:space="preserve">Обсяг фінансування, усього </w:t>
            </w:r>
          </w:p>
        </w:tc>
        <w:tc>
          <w:tcPr>
            <w:tcW w:w="5995" w:type="dxa"/>
            <w:gridSpan w:val="5"/>
            <w:shd w:val="clear" w:color="auto" w:fill="auto"/>
          </w:tcPr>
          <w:p w:rsidR="00596B1D" w:rsidRPr="006B5017" w:rsidRDefault="00596B1D" w:rsidP="000B48BB">
            <w:pPr>
              <w:ind w:left="120" w:right="519"/>
              <w:contextualSpacing/>
              <w:jc w:val="center"/>
              <w:rPr>
                <w:b/>
                <w:sz w:val="20"/>
                <w:szCs w:val="20"/>
              </w:rPr>
            </w:pPr>
            <w:r w:rsidRPr="006B5017">
              <w:rPr>
                <w:b/>
                <w:sz w:val="20"/>
                <w:szCs w:val="20"/>
              </w:rPr>
              <w:t>За роками виконання</w:t>
            </w:r>
          </w:p>
        </w:tc>
      </w:tr>
      <w:tr w:rsidR="00596B1D" w:rsidRPr="00F0620F" w:rsidTr="000B48BB">
        <w:trPr>
          <w:cantSplit/>
          <w:trHeight w:val="298"/>
          <w:jc w:val="center"/>
        </w:trPr>
        <w:tc>
          <w:tcPr>
            <w:tcW w:w="1699" w:type="dxa"/>
            <w:vMerge/>
            <w:shd w:val="clear" w:color="auto" w:fill="auto"/>
          </w:tcPr>
          <w:p w:rsidR="00596B1D" w:rsidRPr="006B5017" w:rsidRDefault="00596B1D" w:rsidP="000B48BB">
            <w:pPr>
              <w:ind w:left="120" w:right="519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96B1D" w:rsidRPr="006B5017" w:rsidRDefault="00596B1D" w:rsidP="000B48BB">
            <w:pPr>
              <w:ind w:left="120" w:right="519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596B1D" w:rsidRPr="006B5017" w:rsidRDefault="00596B1D" w:rsidP="000B48BB">
            <w:pPr>
              <w:ind w:left="15" w:right="-59"/>
              <w:contextualSpacing/>
              <w:jc w:val="center"/>
              <w:rPr>
                <w:b/>
                <w:sz w:val="20"/>
                <w:szCs w:val="20"/>
              </w:rPr>
            </w:pPr>
            <w:r w:rsidRPr="006B501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37" w:type="dxa"/>
            <w:shd w:val="clear" w:color="auto" w:fill="auto"/>
          </w:tcPr>
          <w:p w:rsidR="00596B1D" w:rsidRPr="006B5017" w:rsidRDefault="00596B1D" w:rsidP="000B48BB">
            <w:pPr>
              <w:ind w:left="-37"/>
              <w:contextualSpacing/>
              <w:jc w:val="center"/>
              <w:rPr>
                <w:b/>
                <w:sz w:val="20"/>
                <w:szCs w:val="20"/>
              </w:rPr>
            </w:pPr>
            <w:r w:rsidRPr="006B501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80" w:type="dxa"/>
            <w:shd w:val="clear" w:color="auto" w:fill="auto"/>
          </w:tcPr>
          <w:p w:rsidR="00596B1D" w:rsidRPr="006B5017" w:rsidRDefault="00596B1D" w:rsidP="000B48BB">
            <w:pPr>
              <w:ind w:left="-82" w:right="31"/>
              <w:contextualSpacing/>
              <w:jc w:val="center"/>
              <w:rPr>
                <w:b/>
                <w:sz w:val="20"/>
                <w:szCs w:val="20"/>
              </w:rPr>
            </w:pPr>
            <w:r w:rsidRPr="006B501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680" w:type="dxa"/>
            <w:shd w:val="clear" w:color="auto" w:fill="auto"/>
          </w:tcPr>
          <w:p w:rsidR="00596B1D" w:rsidRPr="006B5017" w:rsidRDefault="00596B1D" w:rsidP="000B48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B5017">
              <w:rPr>
                <w:b/>
                <w:sz w:val="20"/>
                <w:szCs w:val="20"/>
              </w:rPr>
              <w:t>Усього,</w:t>
            </w:r>
          </w:p>
          <w:p w:rsidR="00596B1D" w:rsidRPr="006B5017" w:rsidRDefault="00596B1D" w:rsidP="000B48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B5017">
              <w:rPr>
                <w:b/>
                <w:sz w:val="20"/>
                <w:szCs w:val="20"/>
              </w:rPr>
              <w:t xml:space="preserve"> І – ІІ етапи</w:t>
            </w:r>
          </w:p>
        </w:tc>
        <w:tc>
          <w:tcPr>
            <w:tcW w:w="1466" w:type="dxa"/>
            <w:shd w:val="clear" w:color="auto" w:fill="auto"/>
          </w:tcPr>
          <w:p w:rsidR="00596B1D" w:rsidRPr="006B5017" w:rsidRDefault="00596B1D" w:rsidP="000B48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B5017">
              <w:rPr>
                <w:b/>
                <w:sz w:val="20"/>
                <w:szCs w:val="20"/>
              </w:rPr>
              <w:t>IІІ етап</w:t>
            </w:r>
          </w:p>
        </w:tc>
      </w:tr>
      <w:tr w:rsidR="00596B1D" w:rsidRPr="00F0620F" w:rsidTr="000B48BB">
        <w:trPr>
          <w:trHeight w:val="225"/>
          <w:jc w:val="center"/>
        </w:trPr>
        <w:tc>
          <w:tcPr>
            <w:tcW w:w="1699" w:type="dxa"/>
          </w:tcPr>
          <w:p w:rsidR="00596B1D" w:rsidRPr="009C4B72" w:rsidRDefault="00596B1D" w:rsidP="000B48BB">
            <w:pPr>
              <w:pStyle w:val="a3"/>
              <w:ind w:left="119" w:right="-19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5017">
              <w:rPr>
                <w:rFonts w:ascii="Times New Roman" w:hAnsi="Times New Roman" w:cs="Times New Roman"/>
                <w:b/>
                <w:sz w:val="20"/>
                <w:szCs w:val="20"/>
              </w:rPr>
              <w:t>Державний бюджет</w:t>
            </w:r>
          </w:p>
        </w:tc>
        <w:tc>
          <w:tcPr>
            <w:tcW w:w="1560" w:type="dxa"/>
          </w:tcPr>
          <w:p w:rsidR="00596B1D" w:rsidRPr="006B5017" w:rsidRDefault="00596B1D" w:rsidP="000B48BB">
            <w:pPr>
              <w:ind w:left="-77"/>
              <w:contextualSpacing/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  <w:tc>
          <w:tcPr>
            <w:tcW w:w="932" w:type="dxa"/>
          </w:tcPr>
          <w:p w:rsidR="00596B1D" w:rsidRPr="006B5017" w:rsidRDefault="00596B1D" w:rsidP="000B48BB">
            <w:pPr>
              <w:ind w:left="-77" w:right="-19"/>
              <w:contextualSpacing/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  <w:tc>
          <w:tcPr>
            <w:tcW w:w="937" w:type="dxa"/>
          </w:tcPr>
          <w:p w:rsidR="00596B1D" w:rsidRPr="006B5017" w:rsidRDefault="00596B1D" w:rsidP="000B48BB">
            <w:pPr>
              <w:ind w:left="120" w:right="519"/>
              <w:contextualSpacing/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  <w:tc>
          <w:tcPr>
            <w:tcW w:w="980" w:type="dxa"/>
          </w:tcPr>
          <w:p w:rsidR="00596B1D" w:rsidRPr="006B5017" w:rsidRDefault="00596B1D" w:rsidP="000B48BB">
            <w:pPr>
              <w:ind w:left="120" w:right="519"/>
              <w:contextualSpacing/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  <w:tc>
          <w:tcPr>
            <w:tcW w:w="1680" w:type="dxa"/>
            <w:shd w:val="clear" w:color="auto" w:fill="auto"/>
          </w:tcPr>
          <w:p w:rsidR="00596B1D" w:rsidRPr="006B5017" w:rsidRDefault="00596B1D" w:rsidP="000B48BB">
            <w:pPr>
              <w:ind w:left="120" w:right="519"/>
              <w:contextualSpacing/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  <w:tc>
          <w:tcPr>
            <w:tcW w:w="1466" w:type="dxa"/>
          </w:tcPr>
          <w:p w:rsidR="00596B1D" w:rsidRPr="006B5017" w:rsidRDefault="00596B1D" w:rsidP="000B48BB">
            <w:pPr>
              <w:ind w:left="120" w:right="519"/>
              <w:contextualSpacing/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</w:tr>
      <w:tr w:rsidR="00596B1D" w:rsidRPr="00655925" w:rsidTr="000B48BB">
        <w:trPr>
          <w:trHeight w:val="511"/>
          <w:jc w:val="center"/>
        </w:trPr>
        <w:tc>
          <w:tcPr>
            <w:tcW w:w="1699" w:type="dxa"/>
          </w:tcPr>
          <w:p w:rsidR="00596B1D" w:rsidRPr="009C4B72" w:rsidRDefault="00596B1D" w:rsidP="000B48BB">
            <w:pPr>
              <w:pStyle w:val="a5"/>
              <w:ind w:left="119" w:right="243"/>
              <w:contextualSpacing/>
              <w:rPr>
                <w:b/>
                <w:sz w:val="20"/>
                <w:szCs w:val="20"/>
                <w:lang w:val="en-US"/>
              </w:rPr>
            </w:pPr>
            <w:r w:rsidRPr="006B5017">
              <w:rPr>
                <w:b/>
                <w:sz w:val="20"/>
                <w:szCs w:val="20"/>
              </w:rPr>
              <w:t>Обласний бюджет</w:t>
            </w:r>
          </w:p>
        </w:tc>
        <w:tc>
          <w:tcPr>
            <w:tcW w:w="1560" w:type="dxa"/>
          </w:tcPr>
          <w:p w:rsidR="00596B1D" w:rsidRPr="009C4B72" w:rsidRDefault="00596B1D" w:rsidP="000B48BB">
            <w:pPr>
              <w:ind w:left="-77"/>
              <w:contextualSpacing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  <w:lang w:val="en-US"/>
              </w:rPr>
              <w:t>234</w:t>
            </w:r>
            <w:r w:rsidRPr="009C4B72">
              <w:rPr>
                <w:sz w:val="20"/>
                <w:szCs w:val="20"/>
              </w:rPr>
              <w:t>0,034</w:t>
            </w:r>
          </w:p>
        </w:tc>
        <w:tc>
          <w:tcPr>
            <w:tcW w:w="932" w:type="dxa"/>
          </w:tcPr>
          <w:p w:rsidR="00596B1D" w:rsidRPr="009C4B72" w:rsidRDefault="00596B1D" w:rsidP="000B48BB">
            <w:pPr>
              <w:ind w:left="-77" w:right="-19"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>260,0</w:t>
            </w:r>
          </w:p>
        </w:tc>
        <w:tc>
          <w:tcPr>
            <w:tcW w:w="937" w:type="dxa"/>
          </w:tcPr>
          <w:p w:rsidR="00596B1D" w:rsidRPr="009C4B72" w:rsidRDefault="00596B1D" w:rsidP="000B48BB">
            <w:pPr>
              <w:ind w:left="-37"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  <w:lang w:val="en-US"/>
              </w:rPr>
              <w:t>61</w:t>
            </w:r>
            <w:r w:rsidRPr="009C4B72">
              <w:rPr>
                <w:sz w:val="20"/>
                <w:szCs w:val="20"/>
              </w:rPr>
              <w:t>0,0</w:t>
            </w:r>
          </w:p>
        </w:tc>
        <w:tc>
          <w:tcPr>
            <w:tcW w:w="980" w:type="dxa"/>
          </w:tcPr>
          <w:p w:rsidR="00596B1D" w:rsidRPr="009C4B72" w:rsidRDefault="00596B1D" w:rsidP="000B48BB">
            <w:pPr>
              <w:ind w:left="-37"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  <w:lang w:val="en-US"/>
              </w:rPr>
              <w:t>61</w:t>
            </w:r>
            <w:r w:rsidRPr="009C4B72">
              <w:rPr>
                <w:sz w:val="20"/>
                <w:szCs w:val="20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596B1D" w:rsidRPr="009C4B72" w:rsidRDefault="00596B1D" w:rsidP="000B48BB">
            <w:pPr>
              <w:ind w:left="-37"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>860,034</w:t>
            </w:r>
          </w:p>
        </w:tc>
        <w:tc>
          <w:tcPr>
            <w:tcW w:w="1466" w:type="dxa"/>
          </w:tcPr>
          <w:p w:rsidR="00596B1D" w:rsidRPr="009C4B72" w:rsidRDefault="00596B1D" w:rsidP="000B48BB">
            <w:pPr>
              <w:ind w:left="-37"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  <w:lang w:val="en-US"/>
              </w:rPr>
              <w:t>14</w:t>
            </w:r>
            <w:r w:rsidRPr="009C4B72">
              <w:rPr>
                <w:sz w:val="20"/>
                <w:szCs w:val="20"/>
              </w:rPr>
              <w:t>80,0</w:t>
            </w:r>
          </w:p>
        </w:tc>
      </w:tr>
      <w:tr w:rsidR="00596B1D" w:rsidRPr="00655925" w:rsidTr="000B48BB">
        <w:trPr>
          <w:trHeight w:val="374"/>
          <w:jc w:val="center"/>
        </w:trPr>
        <w:tc>
          <w:tcPr>
            <w:tcW w:w="1699" w:type="dxa"/>
          </w:tcPr>
          <w:p w:rsidR="00596B1D" w:rsidRPr="009C4B72" w:rsidRDefault="00BF3F6E" w:rsidP="00BF3F6E">
            <w:pPr>
              <w:ind w:left="119" w:right="223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Місцевий </w:t>
            </w:r>
            <w:r w:rsidR="00596B1D" w:rsidRPr="009C4B72">
              <w:rPr>
                <w:b/>
                <w:sz w:val="20"/>
                <w:szCs w:val="20"/>
              </w:rPr>
              <w:t>бюджет</w:t>
            </w:r>
          </w:p>
        </w:tc>
        <w:tc>
          <w:tcPr>
            <w:tcW w:w="1560" w:type="dxa"/>
          </w:tcPr>
          <w:p w:rsidR="00596B1D" w:rsidRPr="006B5017" w:rsidRDefault="00596B1D" w:rsidP="000B48BB">
            <w:pPr>
              <w:ind w:left="-77"/>
              <w:contextualSpacing/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  <w:tc>
          <w:tcPr>
            <w:tcW w:w="932" w:type="dxa"/>
          </w:tcPr>
          <w:p w:rsidR="00596B1D" w:rsidRPr="006B5017" w:rsidRDefault="00596B1D" w:rsidP="000B48BB">
            <w:pPr>
              <w:ind w:left="-77" w:right="-19"/>
              <w:contextualSpacing/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  <w:tc>
          <w:tcPr>
            <w:tcW w:w="937" w:type="dxa"/>
          </w:tcPr>
          <w:p w:rsidR="00596B1D" w:rsidRPr="006B5017" w:rsidRDefault="00596B1D" w:rsidP="000B48BB">
            <w:pPr>
              <w:ind w:left="120" w:right="519"/>
              <w:contextualSpacing/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  <w:tc>
          <w:tcPr>
            <w:tcW w:w="980" w:type="dxa"/>
          </w:tcPr>
          <w:p w:rsidR="00596B1D" w:rsidRPr="006B5017" w:rsidRDefault="00596B1D" w:rsidP="000B48BB">
            <w:pPr>
              <w:ind w:left="120" w:right="519"/>
              <w:contextualSpacing/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  <w:tc>
          <w:tcPr>
            <w:tcW w:w="1680" w:type="dxa"/>
            <w:shd w:val="clear" w:color="auto" w:fill="auto"/>
          </w:tcPr>
          <w:p w:rsidR="00596B1D" w:rsidRPr="006B5017" w:rsidRDefault="00596B1D" w:rsidP="000B48BB">
            <w:pPr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  <w:tc>
          <w:tcPr>
            <w:tcW w:w="1466" w:type="dxa"/>
          </w:tcPr>
          <w:p w:rsidR="00596B1D" w:rsidRPr="006B5017" w:rsidRDefault="00596B1D" w:rsidP="000B48BB">
            <w:pPr>
              <w:ind w:left="120" w:right="519"/>
              <w:contextualSpacing/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</w:tr>
      <w:tr w:rsidR="00596B1D" w:rsidRPr="00655925" w:rsidTr="000B48BB">
        <w:trPr>
          <w:trHeight w:val="596"/>
          <w:jc w:val="center"/>
        </w:trPr>
        <w:tc>
          <w:tcPr>
            <w:tcW w:w="1699" w:type="dxa"/>
          </w:tcPr>
          <w:p w:rsidR="00596B1D" w:rsidRPr="006B5017" w:rsidRDefault="00596B1D" w:rsidP="000B48BB">
            <w:pPr>
              <w:ind w:left="119" w:right="522"/>
              <w:contextualSpacing/>
              <w:rPr>
                <w:b/>
                <w:sz w:val="20"/>
                <w:szCs w:val="20"/>
              </w:rPr>
            </w:pPr>
            <w:r w:rsidRPr="006B5017">
              <w:rPr>
                <w:b/>
                <w:sz w:val="20"/>
                <w:szCs w:val="20"/>
              </w:rPr>
              <w:t>Інші джерела</w:t>
            </w:r>
          </w:p>
          <w:p w:rsidR="00596B1D" w:rsidRPr="009C4B72" w:rsidRDefault="00596B1D" w:rsidP="000B48BB">
            <w:pPr>
              <w:pStyle w:val="a3"/>
              <w:ind w:right="522"/>
              <w:contextualSpacing/>
              <w:rPr>
                <w:rFonts w:ascii="Times New Roman" w:hAnsi="Times New Roman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</w:tcPr>
          <w:p w:rsidR="00596B1D" w:rsidRPr="006B5017" w:rsidRDefault="00596B1D" w:rsidP="000B48BB">
            <w:pPr>
              <w:ind w:left="-77"/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  <w:tc>
          <w:tcPr>
            <w:tcW w:w="932" w:type="dxa"/>
          </w:tcPr>
          <w:p w:rsidR="00596B1D" w:rsidRPr="006B5017" w:rsidRDefault="00596B1D" w:rsidP="000B48BB">
            <w:pPr>
              <w:ind w:left="-77" w:right="-19"/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  <w:tc>
          <w:tcPr>
            <w:tcW w:w="937" w:type="dxa"/>
          </w:tcPr>
          <w:p w:rsidR="00596B1D" w:rsidRPr="006B5017" w:rsidRDefault="00596B1D" w:rsidP="000B48BB">
            <w:pPr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  <w:tc>
          <w:tcPr>
            <w:tcW w:w="980" w:type="dxa"/>
          </w:tcPr>
          <w:p w:rsidR="00596B1D" w:rsidRPr="006B5017" w:rsidRDefault="00596B1D" w:rsidP="000B48BB">
            <w:pPr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  <w:tc>
          <w:tcPr>
            <w:tcW w:w="1680" w:type="dxa"/>
            <w:shd w:val="clear" w:color="auto" w:fill="auto"/>
          </w:tcPr>
          <w:p w:rsidR="00596B1D" w:rsidRPr="006B5017" w:rsidRDefault="00596B1D" w:rsidP="000B48BB">
            <w:pPr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  <w:tc>
          <w:tcPr>
            <w:tcW w:w="1466" w:type="dxa"/>
          </w:tcPr>
          <w:p w:rsidR="00596B1D" w:rsidRPr="006B5017" w:rsidRDefault="00596B1D" w:rsidP="000B48BB">
            <w:pPr>
              <w:jc w:val="center"/>
              <w:rPr>
                <w:sz w:val="20"/>
                <w:szCs w:val="20"/>
              </w:rPr>
            </w:pPr>
            <w:r w:rsidRPr="006B5017">
              <w:rPr>
                <w:sz w:val="20"/>
                <w:szCs w:val="20"/>
              </w:rPr>
              <w:t>–</w:t>
            </w:r>
          </w:p>
        </w:tc>
      </w:tr>
      <w:tr w:rsidR="00596B1D" w:rsidRPr="00655925" w:rsidTr="000B48BB">
        <w:trPr>
          <w:trHeight w:val="312"/>
          <w:jc w:val="center"/>
        </w:trPr>
        <w:tc>
          <w:tcPr>
            <w:tcW w:w="1699" w:type="dxa"/>
          </w:tcPr>
          <w:p w:rsidR="00596B1D" w:rsidRPr="006B5017" w:rsidRDefault="00596B1D" w:rsidP="00BF3F6E">
            <w:pPr>
              <w:ind w:left="119" w:right="522"/>
              <w:contextualSpacing/>
              <w:rPr>
                <w:b/>
                <w:sz w:val="20"/>
                <w:szCs w:val="20"/>
              </w:rPr>
            </w:pPr>
            <w:r w:rsidRPr="006B5017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1560" w:type="dxa"/>
          </w:tcPr>
          <w:p w:rsidR="00596B1D" w:rsidRPr="009C4B72" w:rsidRDefault="00596B1D" w:rsidP="000B48BB">
            <w:pPr>
              <w:ind w:left="-77"/>
              <w:contextualSpacing/>
              <w:jc w:val="center"/>
              <w:rPr>
                <w:b/>
                <w:sz w:val="20"/>
                <w:szCs w:val="20"/>
              </w:rPr>
            </w:pPr>
            <w:r w:rsidRPr="009C4B72">
              <w:rPr>
                <w:b/>
                <w:sz w:val="20"/>
                <w:szCs w:val="20"/>
                <w:lang w:val="en-US"/>
              </w:rPr>
              <w:t>2340</w:t>
            </w:r>
            <w:r w:rsidRPr="009C4B72">
              <w:rPr>
                <w:b/>
                <w:sz w:val="20"/>
                <w:szCs w:val="20"/>
              </w:rPr>
              <w:t>,034</w:t>
            </w:r>
          </w:p>
        </w:tc>
        <w:tc>
          <w:tcPr>
            <w:tcW w:w="932" w:type="dxa"/>
          </w:tcPr>
          <w:p w:rsidR="00596B1D" w:rsidRPr="009C4B72" w:rsidRDefault="00596B1D" w:rsidP="000B48BB">
            <w:pPr>
              <w:ind w:left="-77" w:right="-19"/>
              <w:jc w:val="center"/>
              <w:rPr>
                <w:b/>
                <w:sz w:val="20"/>
                <w:szCs w:val="20"/>
              </w:rPr>
            </w:pPr>
            <w:r w:rsidRPr="009C4B72">
              <w:rPr>
                <w:b/>
                <w:sz w:val="20"/>
                <w:szCs w:val="20"/>
              </w:rPr>
              <w:t>260,0</w:t>
            </w:r>
          </w:p>
        </w:tc>
        <w:tc>
          <w:tcPr>
            <w:tcW w:w="937" w:type="dxa"/>
          </w:tcPr>
          <w:p w:rsidR="00596B1D" w:rsidRPr="009C4B72" w:rsidRDefault="00596B1D" w:rsidP="000B48BB">
            <w:pPr>
              <w:ind w:left="120" w:right="9"/>
              <w:jc w:val="center"/>
              <w:rPr>
                <w:b/>
                <w:sz w:val="20"/>
                <w:szCs w:val="20"/>
              </w:rPr>
            </w:pPr>
            <w:r w:rsidRPr="009C4B72">
              <w:rPr>
                <w:b/>
                <w:sz w:val="20"/>
                <w:szCs w:val="20"/>
                <w:lang w:val="en-US"/>
              </w:rPr>
              <w:t>61</w:t>
            </w:r>
            <w:r w:rsidRPr="009C4B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0" w:type="dxa"/>
          </w:tcPr>
          <w:p w:rsidR="00596B1D" w:rsidRPr="009C4B72" w:rsidRDefault="00596B1D" w:rsidP="000B48BB">
            <w:pPr>
              <w:ind w:left="120" w:right="9"/>
              <w:jc w:val="center"/>
              <w:rPr>
                <w:b/>
                <w:sz w:val="20"/>
                <w:szCs w:val="20"/>
              </w:rPr>
            </w:pPr>
            <w:r w:rsidRPr="009C4B72">
              <w:rPr>
                <w:b/>
                <w:sz w:val="20"/>
                <w:szCs w:val="20"/>
                <w:lang w:val="en-US"/>
              </w:rPr>
              <w:t>61</w:t>
            </w:r>
            <w:r w:rsidRPr="009C4B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680" w:type="dxa"/>
            <w:shd w:val="clear" w:color="auto" w:fill="auto"/>
          </w:tcPr>
          <w:p w:rsidR="00596B1D" w:rsidRPr="009C4B72" w:rsidRDefault="00596B1D" w:rsidP="000B48BB">
            <w:pPr>
              <w:ind w:left="120" w:right="9"/>
              <w:jc w:val="center"/>
              <w:rPr>
                <w:b/>
                <w:sz w:val="20"/>
                <w:szCs w:val="20"/>
              </w:rPr>
            </w:pPr>
            <w:r w:rsidRPr="009C4B72">
              <w:rPr>
                <w:b/>
                <w:sz w:val="20"/>
                <w:szCs w:val="20"/>
              </w:rPr>
              <w:t>860,034</w:t>
            </w:r>
          </w:p>
        </w:tc>
        <w:tc>
          <w:tcPr>
            <w:tcW w:w="1466" w:type="dxa"/>
          </w:tcPr>
          <w:p w:rsidR="00596B1D" w:rsidRPr="009C4B72" w:rsidRDefault="00596B1D" w:rsidP="000B48BB">
            <w:pPr>
              <w:ind w:left="120" w:right="9"/>
              <w:jc w:val="center"/>
              <w:rPr>
                <w:b/>
                <w:sz w:val="20"/>
                <w:szCs w:val="20"/>
              </w:rPr>
            </w:pPr>
            <w:r w:rsidRPr="009C4B72">
              <w:rPr>
                <w:b/>
                <w:sz w:val="20"/>
                <w:szCs w:val="20"/>
                <w:lang w:val="en-US"/>
              </w:rPr>
              <w:t>14</w:t>
            </w:r>
            <w:r w:rsidRPr="009C4B72">
              <w:rPr>
                <w:b/>
                <w:sz w:val="20"/>
                <w:szCs w:val="20"/>
              </w:rPr>
              <w:t>80,0</w:t>
            </w:r>
          </w:p>
        </w:tc>
      </w:tr>
    </w:tbl>
    <w:p w:rsidR="00596B1D" w:rsidRDefault="00596B1D" w:rsidP="00596B1D">
      <w:pPr>
        <w:spacing w:line="228" w:lineRule="auto"/>
        <w:ind w:left="120" w:right="519" w:firstLine="720"/>
        <w:contextualSpacing/>
        <w:jc w:val="both"/>
        <w:rPr>
          <w:sz w:val="28"/>
          <w:szCs w:val="28"/>
        </w:rPr>
      </w:pPr>
      <w:r w:rsidRPr="00016EF1">
        <w:rPr>
          <w:sz w:val="28"/>
          <w:szCs w:val="28"/>
        </w:rPr>
        <w:lastRenderedPageBreak/>
        <w:t xml:space="preserve">10. Очікувані кінцеві результати виконання </w:t>
      </w:r>
      <w:r w:rsidR="00712AED">
        <w:rPr>
          <w:sz w:val="28"/>
          <w:szCs w:val="28"/>
        </w:rPr>
        <w:t>П</w:t>
      </w:r>
      <w:r>
        <w:rPr>
          <w:sz w:val="28"/>
          <w:szCs w:val="28"/>
        </w:rPr>
        <w:t>рограми:</w:t>
      </w:r>
    </w:p>
    <w:p w:rsidR="00596B1D" w:rsidRPr="005D1D72" w:rsidRDefault="00596B1D" w:rsidP="00596B1D">
      <w:pPr>
        <w:spacing w:line="228" w:lineRule="auto"/>
        <w:ind w:left="120" w:right="519" w:firstLine="720"/>
        <w:contextualSpacing/>
        <w:jc w:val="both"/>
        <w:rPr>
          <w:sz w:val="16"/>
          <w:szCs w:val="16"/>
        </w:rPr>
      </w:pPr>
    </w:p>
    <w:tbl>
      <w:tblPr>
        <w:tblW w:w="9496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3920"/>
        <w:gridCol w:w="840"/>
        <w:gridCol w:w="1064"/>
        <w:gridCol w:w="851"/>
        <w:gridCol w:w="850"/>
        <w:gridCol w:w="851"/>
      </w:tblGrid>
      <w:tr w:rsidR="00712AED" w:rsidRPr="00CF4A5A" w:rsidTr="00712AED">
        <w:tc>
          <w:tcPr>
            <w:tcW w:w="1120" w:type="dxa"/>
            <w:vMerge w:val="restart"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5D1D72">
              <w:rPr>
                <w:b/>
                <w:sz w:val="18"/>
                <w:szCs w:val="18"/>
              </w:rPr>
              <w:t>Напрями показників Програми</w:t>
            </w:r>
          </w:p>
        </w:tc>
        <w:tc>
          <w:tcPr>
            <w:tcW w:w="3920" w:type="dxa"/>
            <w:vMerge w:val="restart"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5D1D72">
              <w:rPr>
                <w:b/>
                <w:sz w:val="18"/>
                <w:szCs w:val="18"/>
              </w:rPr>
              <w:t>Найменування показників Програми</w:t>
            </w:r>
          </w:p>
        </w:tc>
        <w:tc>
          <w:tcPr>
            <w:tcW w:w="4456" w:type="dxa"/>
            <w:gridSpan w:val="5"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120" w:right="519"/>
              <w:contextualSpacing/>
              <w:jc w:val="center"/>
              <w:rPr>
                <w:b/>
                <w:sz w:val="18"/>
                <w:szCs w:val="18"/>
              </w:rPr>
            </w:pPr>
            <w:r w:rsidRPr="005D1D72">
              <w:rPr>
                <w:b/>
                <w:sz w:val="18"/>
                <w:szCs w:val="18"/>
              </w:rPr>
              <w:t>Значення показників</w:t>
            </w:r>
          </w:p>
        </w:tc>
      </w:tr>
      <w:tr w:rsidR="00712AED" w:rsidRPr="00CF4A5A" w:rsidTr="00712AED">
        <w:tc>
          <w:tcPr>
            <w:tcW w:w="1120" w:type="dxa"/>
            <w:vMerge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120" w:right="519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120" w:right="519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 w:rsidRPr="005D1D72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3616" w:type="dxa"/>
            <w:gridSpan w:val="4"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-9" w:right="6"/>
              <w:contextualSpacing/>
              <w:jc w:val="center"/>
              <w:rPr>
                <w:b/>
                <w:sz w:val="18"/>
                <w:szCs w:val="18"/>
              </w:rPr>
            </w:pPr>
            <w:r w:rsidRPr="005D1D72">
              <w:rPr>
                <w:b/>
                <w:sz w:val="18"/>
                <w:szCs w:val="18"/>
              </w:rPr>
              <w:t>У тому числі за роками</w:t>
            </w:r>
          </w:p>
        </w:tc>
      </w:tr>
      <w:tr w:rsidR="00712AED" w:rsidRPr="00CF4A5A" w:rsidTr="00712AED">
        <w:tc>
          <w:tcPr>
            <w:tcW w:w="1120" w:type="dxa"/>
            <w:vMerge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120" w:right="519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120" w:right="519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712AED" w:rsidRPr="005D1D72" w:rsidRDefault="00712AED" w:rsidP="000B48BB">
            <w:pPr>
              <w:spacing w:line="216" w:lineRule="auto"/>
              <w:ind w:left="-11" w:right="6"/>
              <w:contextualSpacing/>
              <w:jc w:val="center"/>
              <w:rPr>
                <w:b/>
                <w:sz w:val="18"/>
                <w:szCs w:val="18"/>
              </w:rPr>
            </w:pPr>
            <w:r w:rsidRPr="005D1D72">
              <w:rPr>
                <w:b/>
                <w:sz w:val="18"/>
                <w:szCs w:val="18"/>
              </w:rPr>
              <w:t>І – ІІ етапи</w:t>
            </w:r>
          </w:p>
          <w:p w:rsidR="00712AED" w:rsidRPr="005D1D72" w:rsidRDefault="00712AED" w:rsidP="00712AED">
            <w:pPr>
              <w:spacing w:line="216" w:lineRule="auto"/>
              <w:ind w:left="-11" w:right="6"/>
              <w:contextualSpacing/>
              <w:jc w:val="center"/>
              <w:rPr>
                <w:b/>
                <w:sz w:val="18"/>
                <w:szCs w:val="18"/>
              </w:rPr>
            </w:pPr>
            <w:r w:rsidRPr="005D1D72">
              <w:rPr>
                <w:b/>
                <w:sz w:val="18"/>
                <w:szCs w:val="18"/>
                <w:lang w:val="ru-RU"/>
              </w:rPr>
              <w:t xml:space="preserve">   </w:t>
            </w:r>
            <w:r w:rsidRPr="005D1D72">
              <w:rPr>
                <w:b/>
                <w:sz w:val="18"/>
                <w:szCs w:val="18"/>
              </w:rPr>
              <w:t>2008</w:t>
            </w:r>
            <w:r w:rsidRPr="005D1D72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–</w:t>
            </w:r>
            <w:r w:rsidRPr="005D1D72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-9" w:right="6"/>
              <w:contextualSpacing/>
              <w:jc w:val="center"/>
              <w:rPr>
                <w:b/>
                <w:sz w:val="18"/>
                <w:szCs w:val="18"/>
              </w:rPr>
            </w:pPr>
            <w:r w:rsidRPr="005D1D72">
              <w:rPr>
                <w:b/>
                <w:sz w:val="18"/>
                <w:szCs w:val="18"/>
              </w:rPr>
              <w:t>ІІІ етап</w:t>
            </w:r>
          </w:p>
        </w:tc>
      </w:tr>
      <w:tr w:rsidR="00712AED" w:rsidRPr="00CF4A5A" w:rsidTr="00712AED">
        <w:trPr>
          <w:trHeight w:val="590"/>
        </w:trPr>
        <w:tc>
          <w:tcPr>
            <w:tcW w:w="1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120" w:right="519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120" w:right="519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-9" w:right="6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-9" w:right="6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-9" w:right="6"/>
              <w:contextualSpacing/>
              <w:jc w:val="center"/>
              <w:rPr>
                <w:b/>
                <w:sz w:val="18"/>
                <w:szCs w:val="18"/>
              </w:rPr>
            </w:pPr>
            <w:r w:rsidRPr="005D1D72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-9" w:right="6"/>
              <w:contextualSpacing/>
              <w:jc w:val="center"/>
              <w:rPr>
                <w:b/>
                <w:sz w:val="18"/>
                <w:szCs w:val="18"/>
              </w:rPr>
            </w:pPr>
            <w:r w:rsidRPr="005D1D72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712AED" w:rsidRPr="005D1D72" w:rsidRDefault="00712AED" w:rsidP="000B48BB">
            <w:pPr>
              <w:spacing w:line="228" w:lineRule="auto"/>
              <w:ind w:left="-9" w:right="6"/>
              <w:contextualSpacing/>
              <w:jc w:val="center"/>
              <w:rPr>
                <w:b/>
                <w:sz w:val="18"/>
                <w:szCs w:val="18"/>
              </w:rPr>
            </w:pPr>
            <w:r w:rsidRPr="005D1D72">
              <w:rPr>
                <w:b/>
                <w:sz w:val="18"/>
                <w:szCs w:val="18"/>
              </w:rPr>
              <w:t>2020</w:t>
            </w:r>
          </w:p>
        </w:tc>
      </w:tr>
      <w:tr w:rsidR="00712AED" w:rsidRPr="00CF4A5A" w:rsidTr="00712AED">
        <w:trPr>
          <w:trHeight w:val="639"/>
        </w:trPr>
        <w:tc>
          <w:tcPr>
            <w:tcW w:w="1120" w:type="dxa"/>
            <w:vMerge w:val="restart"/>
            <w:shd w:val="clear" w:color="auto" w:fill="auto"/>
          </w:tcPr>
          <w:p w:rsidR="00712AED" w:rsidRPr="0052386F" w:rsidRDefault="00712AED" w:rsidP="000B48BB">
            <w:pPr>
              <w:spacing w:line="228" w:lineRule="auto"/>
              <w:ind w:left="120" w:right="-108"/>
              <w:contextualSpacing/>
              <w:rPr>
                <w:b/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Соціальні</w:t>
            </w:r>
          </w:p>
        </w:tc>
        <w:tc>
          <w:tcPr>
            <w:tcW w:w="3920" w:type="dxa"/>
            <w:shd w:val="clear" w:color="auto" w:fill="auto"/>
          </w:tcPr>
          <w:p w:rsidR="00712AED" w:rsidRPr="0052386F" w:rsidRDefault="00712AED" w:rsidP="000B48BB">
            <w:pPr>
              <w:spacing w:line="216" w:lineRule="auto"/>
              <w:contextualSpacing/>
              <w:rPr>
                <w:b/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 xml:space="preserve">1.3. Створення, підтримка та інформаційне наповнення електронного ресурсу </w:t>
            </w:r>
            <w:proofErr w:type="spellStart"/>
            <w:r w:rsidRPr="00712AED">
              <w:rPr>
                <w:sz w:val="20"/>
                <w:szCs w:val="20"/>
              </w:rPr>
              <w:t>„</w:t>
            </w:r>
            <w:r w:rsidRPr="0052386F">
              <w:rPr>
                <w:sz w:val="20"/>
                <w:szCs w:val="20"/>
              </w:rPr>
              <w:t>Козацтво</w:t>
            </w:r>
            <w:proofErr w:type="spellEnd"/>
            <w:r w:rsidRPr="0052386F">
              <w:rPr>
                <w:sz w:val="20"/>
                <w:szCs w:val="20"/>
              </w:rPr>
              <w:t xml:space="preserve"> Дніпропетровщини”</w:t>
            </w:r>
          </w:p>
        </w:tc>
        <w:tc>
          <w:tcPr>
            <w:tcW w:w="840" w:type="dxa"/>
            <w:shd w:val="clear" w:color="auto" w:fill="auto"/>
          </w:tcPr>
          <w:p w:rsidR="00712AED" w:rsidRPr="0052386F" w:rsidRDefault="00712AED" w:rsidP="000B48BB">
            <w:pPr>
              <w:spacing w:line="228" w:lineRule="auto"/>
              <w:ind w:left="-9" w:right="6"/>
              <w:contextualSpacing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  <w:shd w:val="clear" w:color="auto" w:fill="auto"/>
          </w:tcPr>
          <w:p w:rsidR="00712AED" w:rsidRPr="0052386F" w:rsidRDefault="00712AED" w:rsidP="000B48BB">
            <w:pPr>
              <w:spacing w:line="228" w:lineRule="auto"/>
              <w:ind w:left="-9" w:right="6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12AED" w:rsidRPr="0052386F" w:rsidRDefault="00712AED" w:rsidP="000B48BB">
            <w:pPr>
              <w:spacing w:line="228" w:lineRule="auto"/>
              <w:ind w:left="-9" w:right="6"/>
              <w:contextualSpacing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712AED" w:rsidRPr="0052386F" w:rsidRDefault="00712AED" w:rsidP="000B48BB">
            <w:pPr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712AED" w:rsidRPr="0052386F" w:rsidRDefault="00712AED" w:rsidP="000B48BB">
            <w:pPr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–</w:t>
            </w:r>
          </w:p>
        </w:tc>
      </w:tr>
      <w:tr w:rsidR="00712AED" w:rsidRPr="00CF4A5A" w:rsidTr="00712AED">
        <w:trPr>
          <w:trHeight w:val="420"/>
        </w:trPr>
        <w:tc>
          <w:tcPr>
            <w:tcW w:w="1120" w:type="dxa"/>
            <w:vMerge/>
            <w:shd w:val="clear" w:color="auto" w:fill="auto"/>
          </w:tcPr>
          <w:p w:rsidR="00712AED" w:rsidRPr="0052386F" w:rsidRDefault="00712AED" w:rsidP="000B48BB">
            <w:pPr>
              <w:spacing w:line="228" w:lineRule="auto"/>
              <w:ind w:left="120" w:right="51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0" w:type="dxa"/>
            <w:shd w:val="clear" w:color="auto" w:fill="auto"/>
          </w:tcPr>
          <w:p w:rsidR="00712AED" w:rsidRPr="0052386F" w:rsidRDefault="00712AED" w:rsidP="000B48BB">
            <w:pPr>
              <w:spacing w:line="216" w:lineRule="auto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3.1. Видання книги про розвиток сучасного козацтва</w:t>
            </w:r>
          </w:p>
        </w:tc>
        <w:tc>
          <w:tcPr>
            <w:tcW w:w="840" w:type="dxa"/>
            <w:shd w:val="clear" w:color="auto" w:fill="auto"/>
          </w:tcPr>
          <w:p w:rsidR="00712AED" w:rsidRDefault="00712AED" w:rsidP="000B48BB">
            <w:pPr>
              <w:spacing w:line="228" w:lineRule="auto"/>
              <w:ind w:left="-9" w:right="6"/>
              <w:contextualSpacing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  <w:p w:rsidR="004A4852" w:rsidRPr="0052386F" w:rsidRDefault="00273C23" w:rsidP="004A4852">
            <w:pPr>
              <w:spacing w:line="228" w:lineRule="auto"/>
              <w:ind w:left="-46" w:right="-3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прим.</w:t>
            </w:r>
          </w:p>
        </w:tc>
        <w:tc>
          <w:tcPr>
            <w:tcW w:w="1064" w:type="dxa"/>
            <w:shd w:val="clear" w:color="auto" w:fill="auto"/>
          </w:tcPr>
          <w:p w:rsidR="004A4852" w:rsidRDefault="00712AED" w:rsidP="004A4852">
            <w:pPr>
              <w:spacing w:line="228" w:lineRule="auto"/>
              <w:ind w:left="-9" w:right="-108"/>
              <w:contextualSpacing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  <w:r w:rsidR="004A4852">
              <w:rPr>
                <w:sz w:val="20"/>
                <w:szCs w:val="20"/>
              </w:rPr>
              <w:t xml:space="preserve"> </w:t>
            </w:r>
          </w:p>
          <w:p w:rsidR="00712AED" w:rsidRPr="0052386F" w:rsidRDefault="00273C23" w:rsidP="00273C23">
            <w:pPr>
              <w:spacing w:line="228" w:lineRule="auto"/>
              <w:ind w:left="-9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="004A4852" w:rsidRPr="004A4852">
              <w:rPr>
                <w:sz w:val="16"/>
                <w:szCs w:val="20"/>
              </w:rPr>
              <w:t>рим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12AED" w:rsidRPr="0052386F" w:rsidRDefault="00712AED" w:rsidP="004A4852">
            <w:pPr>
              <w:ind w:right="-108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  <w:shd w:val="clear" w:color="auto" w:fill="auto"/>
          </w:tcPr>
          <w:p w:rsidR="00712AED" w:rsidRPr="0052386F" w:rsidRDefault="00712AED" w:rsidP="004A4852">
            <w:pPr>
              <w:ind w:right="-108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712AED" w:rsidRPr="0052386F" w:rsidRDefault="00712AED" w:rsidP="004A4852">
            <w:pPr>
              <w:ind w:right="-108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–</w:t>
            </w:r>
          </w:p>
        </w:tc>
      </w:tr>
      <w:tr w:rsidR="00712AED" w:rsidRPr="00CF4A5A" w:rsidTr="00712AED">
        <w:trPr>
          <w:trHeight w:val="750"/>
        </w:trPr>
        <w:tc>
          <w:tcPr>
            <w:tcW w:w="1120" w:type="dxa"/>
            <w:vMerge/>
            <w:shd w:val="clear" w:color="auto" w:fill="auto"/>
          </w:tcPr>
          <w:p w:rsidR="00712AED" w:rsidRPr="0052386F" w:rsidRDefault="00712AED" w:rsidP="000B48BB">
            <w:pPr>
              <w:spacing w:line="228" w:lineRule="auto"/>
              <w:ind w:left="120" w:right="519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20" w:type="dxa"/>
            <w:shd w:val="clear" w:color="auto" w:fill="auto"/>
          </w:tcPr>
          <w:p w:rsidR="00712AED" w:rsidRPr="0052386F" w:rsidRDefault="00712AED" w:rsidP="000B48BB">
            <w:pPr>
              <w:suppressAutoHyphens/>
              <w:snapToGrid w:val="0"/>
              <w:spacing w:line="216" w:lineRule="auto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 xml:space="preserve">3.6. Виготовлення та придбання поліграфічної продукції (плакати, брошури, буклети, листівки, книги, довідники, інформаційна та інша друкована продукція) з історії </w:t>
            </w:r>
            <w:r>
              <w:rPr>
                <w:sz w:val="20"/>
                <w:szCs w:val="20"/>
              </w:rPr>
              <w:t>У</w:t>
            </w:r>
            <w:r w:rsidRPr="0052386F">
              <w:rPr>
                <w:sz w:val="20"/>
                <w:szCs w:val="20"/>
              </w:rPr>
              <w:t>країнського козацтва</w:t>
            </w:r>
          </w:p>
        </w:tc>
        <w:tc>
          <w:tcPr>
            <w:tcW w:w="840" w:type="dxa"/>
            <w:shd w:val="clear" w:color="auto" w:fill="auto"/>
          </w:tcPr>
          <w:p w:rsidR="004A4852" w:rsidRDefault="00712AED" w:rsidP="004A4852">
            <w:pPr>
              <w:spacing w:line="228" w:lineRule="auto"/>
              <w:ind w:left="-9" w:right="6"/>
              <w:contextualSpacing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2577</w:t>
            </w:r>
            <w:r>
              <w:rPr>
                <w:sz w:val="20"/>
                <w:szCs w:val="20"/>
              </w:rPr>
              <w:t>0</w:t>
            </w:r>
            <w:r w:rsidR="004A4852">
              <w:rPr>
                <w:sz w:val="20"/>
                <w:szCs w:val="20"/>
              </w:rPr>
              <w:t xml:space="preserve"> </w:t>
            </w:r>
          </w:p>
          <w:p w:rsidR="00712AED" w:rsidRPr="0052386F" w:rsidRDefault="00273C23" w:rsidP="004A4852">
            <w:pPr>
              <w:spacing w:line="228" w:lineRule="auto"/>
              <w:ind w:left="-9" w:right="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Pr="004A4852">
              <w:rPr>
                <w:sz w:val="16"/>
                <w:szCs w:val="20"/>
              </w:rPr>
              <w:t>рим</w:t>
            </w:r>
          </w:p>
        </w:tc>
        <w:tc>
          <w:tcPr>
            <w:tcW w:w="1064" w:type="dxa"/>
            <w:shd w:val="clear" w:color="auto" w:fill="auto"/>
          </w:tcPr>
          <w:p w:rsidR="004A4852" w:rsidRDefault="00712AED" w:rsidP="004A4852">
            <w:pPr>
              <w:spacing w:line="228" w:lineRule="auto"/>
              <w:ind w:left="-9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2386F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</w:t>
            </w:r>
            <w:r w:rsidR="004A4852">
              <w:rPr>
                <w:sz w:val="20"/>
                <w:szCs w:val="20"/>
              </w:rPr>
              <w:t xml:space="preserve"> </w:t>
            </w:r>
          </w:p>
          <w:p w:rsidR="00712AED" w:rsidRPr="0052386F" w:rsidRDefault="00273C23" w:rsidP="004A4852">
            <w:pPr>
              <w:spacing w:line="228" w:lineRule="auto"/>
              <w:ind w:left="-9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Pr="004A4852">
              <w:rPr>
                <w:sz w:val="16"/>
                <w:szCs w:val="20"/>
              </w:rPr>
              <w:t>рим</w:t>
            </w:r>
          </w:p>
        </w:tc>
        <w:tc>
          <w:tcPr>
            <w:tcW w:w="851" w:type="dxa"/>
            <w:shd w:val="clear" w:color="auto" w:fill="auto"/>
          </w:tcPr>
          <w:p w:rsidR="004A4852" w:rsidRDefault="00712AED" w:rsidP="004A4852">
            <w:pPr>
              <w:spacing w:line="228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  <w:r w:rsidR="004A4852">
              <w:rPr>
                <w:sz w:val="20"/>
                <w:szCs w:val="20"/>
              </w:rPr>
              <w:t xml:space="preserve"> </w:t>
            </w:r>
          </w:p>
          <w:p w:rsidR="00712AED" w:rsidRPr="0052386F" w:rsidRDefault="00273C23" w:rsidP="004A485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Pr="004A4852">
              <w:rPr>
                <w:sz w:val="16"/>
                <w:szCs w:val="20"/>
              </w:rPr>
              <w:t>рим</w:t>
            </w:r>
          </w:p>
        </w:tc>
        <w:tc>
          <w:tcPr>
            <w:tcW w:w="850" w:type="dxa"/>
            <w:shd w:val="clear" w:color="auto" w:fill="auto"/>
          </w:tcPr>
          <w:p w:rsidR="004A4852" w:rsidRDefault="00712AED" w:rsidP="004A4852">
            <w:pPr>
              <w:spacing w:line="228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</w:p>
          <w:p w:rsidR="00712AED" w:rsidRPr="0052386F" w:rsidRDefault="00273C23" w:rsidP="004A485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Pr="004A4852">
              <w:rPr>
                <w:sz w:val="16"/>
                <w:szCs w:val="20"/>
              </w:rPr>
              <w:t>рим</w:t>
            </w:r>
          </w:p>
        </w:tc>
        <w:tc>
          <w:tcPr>
            <w:tcW w:w="851" w:type="dxa"/>
            <w:shd w:val="clear" w:color="auto" w:fill="auto"/>
          </w:tcPr>
          <w:p w:rsidR="004A4852" w:rsidRDefault="00712AED" w:rsidP="004A4852">
            <w:pPr>
              <w:spacing w:line="228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</w:t>
            </w:r>
          </w:p>
          <w:p w:rsidR="00712AED" w:rsidRPr="0052386F" w:rsidRDefault="00273C23" w:rsidP="004A485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п</w:t>
            </w:r>
            <w:r w:rsidRPr="004A4852">
              <w:rPr>
                <w:sz w:val="16"/>
                <w:szCs w:val="20"/>
              </w:rPr>
              <w:t>рим</w:t>
            </w:r>
          </w:p>
        </w:tc>
      </w:tr>
      <w:tr w:rsidR="00712AED" w:rsidRPr="00F0620F" w:rsidTr="00712AED">
        <w:tc>
          <w:tcPr>
            <w:tcW w:w="1120" w:type="dxa"/>
            <w:vMerge/>
          </w:tcPr>
          <w:p w:rsidR="00712AED" w:rsidRPr="0032214D" w:rsidRDefault="00712AED" w:rsidP="000B48BB">
            <w:pPr>
              <w:spacing w:line="228" w:lineRule="auto"/>
              <w:ind w:left="120" w:right="1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712AED" w:rsidRPr="0052386F" w:rsidRDefault="00712AED" w:rsidP="000B48BB">
            <w:pPr>
              <w:spacing w:line="216" w:lineRule="auto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4.5. Організація фестивалів та козацьких змагань</w:t>
            </w:r>
          </w:p>
        </w:tc>
        <w:tc>
          <w:tcPr>
            <w:tcW w:w="840" w:type="dxa"/>
          </w:tcPr>
          <w:p w:rsidR="00712AED" w:rsidRPr="0052386F" w:rsidRDefault="00712AED" w:rsidP="000B48BB">
            <w:pPr>
              <w:spacing w:line="228" w:lineRule="auto"/>
              <w:ind w:left="-108" w:right="1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064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  <w:lang w:val="ru-RU"/>
              </w:rPr>
            </w:pPr>
            <w:r w:rsidRPr="0052386F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851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12AED" w:rsidRPr="009C4B72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12AED" w:rsidRPr="009C4B72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9C4B72">
              <w:rPr>
                <w:sz w:val="20"/>
                <w:szCs w:val="20"/>
              </w:rPr>
              <w:t>4</w:t>
            </w:r>
          </w:p>
        </w:tc>
      </w:tr>
      <w:tr w:rsidR="00712AED" w:rsidRPr="00F0620F" w:rsidTr="00712AED">
        <w:tc>
          <w:tcPr>
            <w:tcW w:w="1120" w:type="dxa"/>
            <w:vMerge/>
          </w:tcPr>
          <w:p w:rsidR="00712AED" w:rsidRPr="0032214D" w:rsidRDefault="00712AED" w:rsidP="000B48BB">
            <w:pPr>
              <w:spacing w:line="228" w:lineRule="auto"/>
              <w:ind w:left="120" w:right="1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712AED" w:rsidRPr="0052386F" w:rsidRDefault="00712AED" w:rsidP="000B48BB">
            <w:pPr>
              <w:spacing w:line="216" w:lineRule="auto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 xml:space="preserve">4.8. Організація наукових конференцій та круглих столів з питань історії і розвитку </w:t>
            </w:r>
            <w:r>
              <w:rPr>
                <w:sz w:val="20"/>
                <w:szCs w:val="20"/>
              </w:rPr>
              <w:t>У</w:t>
            </w:r>
            <w:r w:rsidRPr="0052386F">
              <w:rPr>
                <w:sz w:val="20"/>
                <w:szCs w:val="20"/>
              </w:rPr>
              <w:t>країнського козацтва</w:t>
            </w:r>
          </w:p>
        </w:tc>
        <w:tc>
          <w:tcPr>
            <w:tcW w:w="840" w:type="dxa"/>
          </w:tcPr>
          <w:p w:rsidR="00712AED" w:rsidRPr="0052386F" w:rsidRDefault="00712AED" w:rsidP="000B48BB">
            <w:pPr>
              <w:spacing w:line="228" w:lineRule="auto"/>
              <w:ind w:left="-108" w:right="12"/>
              <w:jc w:val="center"/>
              <w:rPr>
                <w:sz w:val="20"/>
                <w:szCs w:val="20"/>
                <w:lang w:val="ru-RU"/>
              </w:rPr>
            </w:pPr>
            <w:r w:rsidRPr="0052386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64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  <w:lang w:val="ru-RU"/>
              </w:rPr>
            </w:pPr>
            <w:r w:rsidRPr="0052386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2</w:t>
            </w:r>
          </w:p>
        </w:tc>
      </w:tr>
      <w:tr w:rsidR="00712AED" w:rsidRPr="00F0620F" w:rsidTr="00712AED">
        <w:trPr>
          <w:trHeight w:val="680"/>
        </w:trPr>
        <w:tc>
          <w:tcPr>
            <w:tcW w:w="1120" w:type="dxa"/>
            <w:vMerge/>
          </w:tcPr>
          <w:p w:rsidR="00712AED" w:rsidRPr="0032214D" w:rsidRDefault="00712AED" w:rsidP="000B48BB">
            <w:pPr>
              <w:spacing w:line="228" w:lineRule="auto"/>
              <w:ind w:left="120" w:right="1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712AED" w:rsidRPr="0052386F" w:rsidRDefault="00712AED" w:rsidP="000B48BB">
            <w:pPr>
              <w:spacing w:line="216" w:lineRule="auto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 xml:space="preserve">4.11. Створення документальних фільмів та відеороликів, присвячених історії, культурі, традиціям </w:t>
            </w:r>
            <w:r>
              <w:rPr>
                <w:sz w:val="20"/>
                <w:szCs w:val="20"/>
              </w:rPr>
              <w:t>У</w:t>
            </w:r>
            <w:r w:rsidRPr="0052386F">
              <w:rPr>
                <w:sz w:val="20"/>
                <w:szCs w:val="20"/>
              </w:rPr>
              <w:t>країнського козацтва та подіям козацької доби</w:t>
            </w:r>
          </w:p>
        </w:tc>
        <w:tc>
          <w:tcPr>
            <w:tcW w:w="840" w:type="dxa"/>
          </w:tcPr>
          <w:p w:rsidR="00712AED" w:rsidRPr="0052386F" w:rsidRDefault="00712AED" w:rsidP="000B48BB">
            <w:pPr>
              <w:spacing w:line="228" w:lineRule="auto"/>
              <w:ind w:left="-108" w:right="12"/>
              <w:jc w:val="center"/>
              <w:rPr>
                <w:sz w:val="20"/>
                <w:szCs w:val="20"/>
                <w:lang w:val="ru-RU"/>
              </w:rPr>
            </w:pPr>
            <w:r w:rsidRPr="0052386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064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  <w:lang w:val="ru-RU"/>
              </w:rPr>
            </w:pPr>
            <w:r w:rsidRPr="0052386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1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</w:tr>
      <w:tr w:rsidR="00712AED" w:rsidRPr="00F0620F" w:rsidTr="00712AED">
        <w:tc>
          <w:tcPr>
            <w:tcW w:w="1120" w:type="dxa"/>
            <w:vMerge/>
          </w:tcPr>
          <w:p w:rsidR="00712AED" w:rsidRPr="0032214D" w:rsidRDefault="00712AED" w:rsidP="000B48BB">
            <w:pPr>
              <w:spacing w:line="228" w:lineRule="auto"/>
              <w:ind w:left="120" w:right="519"/>
              <w:contextualSpacing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712AED" w:rsidRDefault="00712AED" w:rsidP="000B48BB">
            <w:pPr>
              <w:spacing w:line="216" w:lineRule="auto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 xml:space="preserve">6.5. Проведення заходів до дня пам’яті кошового отамана Запорозької Січі </w:t>
            </w:r>
          </w:p>
          <w:p w:rsidR="00712AED" w:rsidRPr="0052386F" w:rsidRDefault="00712AED" w:rsidP="000B48BB">
            <w:pPr>
              <w:spacing w:line="216" w:lineRule="auto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 xml:space="preserve">Сірка </w:t>
            </w:r>
            <w:r>
              <w:rPr>
                <w:sz w:val="20"/>
                <w:szCs w:val="20"/>
              </w:rPr>
              <w:t>І.Д.</w:t>
            </w:r>
            <w:r w:rsidRPr="00C64AF2">
              <w:rPr>
                <w:sz w:val="20"/>
                <w:szCs w:val="20"/>
                <w:lang w:val="ru-RU"/>
              </w:rPr>
              <w:t xml:space="preserve"> </w:t>
            </w:r>
            <w:r w:rsidRPr="0052386F">
              <w:rPr>
                <w:sz w:val="20"/>
                <w:szCs w:val="20"/>
              </w:rPr>
              <w:t xml:space="preserve">в селі </w:t>
            </w:r>
            <w:proofErr w:type="spellStart"/>
            <w:r w:rsidRPr="0052386F">
              <w:rPr>
                <w:sz w:val="20"/>
                <w:szCs w:val="20"/>
              </w:rPr>
              <w:t>Капулівка</w:t>
            </w:r>
            <w:proofErr w:type="spellEnd"/>
            <w:r w:rsidRPr="0052386F">
              <w:rPr>
                <w:sz w:val="20"/>
                <w:szCs w:val="20"/>
              </w:rPr>
              <w:t xml:space="preserve"> Нікопольського району Дніпропетровської області</w:t>
            </w:r>
          </w:p>
        </w:tc>
        <w:tc>
          <w:tcPr>
            <w:tcW w:w="840" w:type="dxa"/>
          </w:tcPr>
          <w:p w:rsidR="00712AED" w:rsidRPr="0052386F" w:rsidRDefault="00712AED" w:rsidP="000B48BB">
            <w:pPr>
              <w:spacing w:line="228" w:lineRule="auto"/>
              <w:ind w:left="-108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11</w:t>
            </w:r>
          </w:p>
        </w:tc>
        <w:tc>
          <w:tcPr>
            <w:tcW w:w="1064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</w:tr>
      <w:tr w:rsidR="00712AED" w:rsidRPr="00F0620F" w:rsidTr="00712AED">
        <w:tc>
          <w:tcPr>
            <w:tcW w:w="1120" w:type="dxa"/>
            <w:vMerge/>
          </w:tcPr>
          <w:p w:rsidR="00712AED" w:rsidRPr="0032214D" w:rsidRDefault="00712AED" w:rsidP="000B48BB">
            <w:pPr>
              <w:spacing w:line="228" w:lineRule="auto"/>
              <w:ind w:left="120" w:right="519"/>
              <w:contextualSpacing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712AED" w:rsidRPr="0052386F" w:rsidRDefault="00712AED" w:rsidP="000B48BB">
            <w:pPr>
              <w:spacing w:line="216" w:lineRule="auto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6.6. Здійснення заходів до Дня незалежності України</w:t>
            </w:r>
          </w:p>
        </w:tc>
        <w:tc>
          <w:tcPr>
            <w:tcW w:w="840" w:type="dxa"/>
          </w:tcPr>
          <w:p w:rsidR="00712AED" w:rsidRPr="0052386F" w:rsidRDefault="00712AED" w:rsidP="000B48BB">
            <w:pPr>
              <w:spacing w:line="228" w:lineRule="auto"/>
              <w:ind w:left="-108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</w:tr>
      <w:tr w:rsidR="00712AED" w:rsidRPr="00F0620F" w:rsidTr="00712AED">
        <w:tc>
          <w:tcPr>
            <w:tcW w:w="1120" w:type="dxa"/>
            <w:vMerge/>
          </w:tcPr>
          <w:p w:rsidR="00712AED" w:rsidRPr="0032214D" w:rsidRDefault="00712AED" w:rsidP="000B48BB">
            <w:pPr>
              <w:spacing w:line="228" w:lineRule="auto"/>
              <w:ind w:left="120" w:right="519"/>
              <w:contextualSpacing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712AED" w:rsidRPr="0052386F" w:rsidRDefault="00712AED" w:rsidP="000B48BB">
            <w:pPr>
              <w:spacing w:line="216" w:lineRule="auto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 xml:space="preserve">6.7. Проведення заходів з нагоди святкування Покрови Пресвятої Богородиці та Дня </w:t>
            </w:r>
            <w:r>
              <w:rPr>
                <w:sz w:val="20"/>
                <w:szCs w:val="20"/>
              </w:rPr>
              <w:t>У</w:t>
            </w:r>
            <w:r w:rsidRPr="0052386F">
              <w:rPr>
                <w:sz w:val="20"/>
                <w:szCs w:val="20"/>
              </w:rPr>
              <w:t>країнського козацтва</w:t>
            </w:r>
          </w:p>
        </w:tc>
        <w:tc>
          <w:tcPr>
            <w:tcW w:w="840" w:type="dxa"/>
          </w:tcPr>
          <w:p w:rsidR="00712AED" w:rsidRPr="0052386F" w:rsidRDefault="00712AED" w:rsidP="000B48B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10</w:t>
            </w:r>
          </w:p>
        </w:tc>
        <w:tc>
          <w:tcPr>
            <w:tcW w:w="1064" w:type="dxa"/>
          </w:tcPr>
          <w:p w:rsidR="00712AED" w:rsidRPr="0052386F" w:rsidRDefault="00712AED" w:rsidP="000B48BB">
            <w:pPr>
              <w:spacing w:line="228" w:lineRule="auto"/>
              <w:ind w:left="11" w:right="11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</w:tr>
      <w:tr w:rsidR="00712AED" w:rsidRPr="00F0620F" w:rsidTr="00712AED">
        <w:trPr>
          <w:trHeight w:val="236"/>
        </w:trPr>
        <w:tc>
          <w:tcPr>
            <w:tcW w:w="1120" w:type="dxa"/>
            <w:vMerge/>
          </w:tcPr>
          <w:p w:rsidR="00712AED" w:rsidRPr="0032214D" w:rsidRDefault="00712AED" w:rsidP="000B48BB">
            <w:pPr>
              <w:spacing w:line="228" w:lineRule="auto"/>
              <w:ind w:left="120" w:right="519"/>
              <w:contextualSpacing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712AED" w:rsidRDefault="00712AED" w:rsidP="000B48BB">
            <w:pPr>
              <w:spacing w:line="216" w:lineRule="auto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 xml:space="preserve">6.8. Здійснення заходів до дня трагедії у </w:t>
            </w:r>
          </w:p>
          <w:p w:rsidR="00712AED" w:rsidRPr="0052386F" w:rsidRDefault="00712AED" w:rsidP="000B48BB">
            <w:pPr>
              <w:spacing w:line="216" w:lineRule="auto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м. Батурині (з виїздом)</w:t>
            </w:r>
          </w:p>
        </w:tc>
        <w:tc>
          <w:tcPr>
            <w:tcW w:w="840" w:type="dxa"/>
          </w:tcPr>
          <w:p w:rsidR="00712AED" w:rsidRPr="0052386F" w:rsidRDefault="00712AED" w:rsidP="000B48B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AED" w:rsidRPr="0052386F" w:rsidRDefault="00712AED" w:rsidP="000B48BB">
            <w:pPr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712AED" w:rsidRPr="0052386F" w:rsidRDefault="00712AED" w:rsidP="000B48BB">
            <w:pPr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712AED" w:rsidRPr="0052386F" w:rsidRDefault="00712AED" w:rsidP="000B48BB">
            <w:pPr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–</w:t>
            </w:r>
          </w:p>
        </w:tc>
      </w:tr>
      <w:tr w:rsidR="00712AED" w:rsidRPr="00F0620F" w:rsidTr="00712AED">
        <w:tc>
          <w:tcPr>
            <w:tcW w:w="1120" w:type="dxa"/>
            <w:vMerge/>
          </w:tcPr>
          <w:p w:rsidR="00712AED" w:rsidRPr="0032214D" w:rsidRDefault="00712AED" w:rsidP="000B48BB">
            <w:pPr>
              <w:spacing w:line="228" w:lineRule="auto"/>
              <w:ind w:left="120" w:right="519"/>
              <w:contextualSpacing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712AED" w:rsidRPr="0052386F" w:rsidRDefault="00712AED" w:rsidP="000B48BB">
            <w:pPr>
              <w:spacing w:line="21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 Організація виїзду на о</w:t>
            </w:r>
            <w:proofErr w:type="spellStart"/>
            <w:r w:rsidRPr="00C64AF2">
              <w:rPr>
                <w:sz w:val="20"/>
                <w:szCs w:val="20"/>
                <w:lang w:val="ru-RU"/>
              </w:rPr>
              <w:t>стрів</w:t>
            </w:r>
            <w:proofErr w:type="spellEnd"/>
            <w:r>
              <w:rPr>
                <w:sz w:val="20"/>
                <w:szCs w:val="20"/>
              </w:rPr>
              <w:t> Хортиця</w:t>
            </w:r>
            <w:r w:rsidRPr="0052386F">
              <w:rPr>
                <w:sz w:val="20"/>
                <w:szCs w:val="20"/>
              </w:rPr>
              <w:t xml:space="preserve"> для проведення тризни із вшанування козаків</w:t>
            </w:r>
            <w:r>
              <w:rPr>
                <w:sz w:val="20"/>
                <w:szCs w:val="20"/>
              </w:rPr>
              <w:t>, загиблих</w:t>
            </w:r>
            <w:r w:rsidRPr="0052386F">
              <w:rPr>
                <w:sz w:val="20"/>
                <w:szCs w:val="20"/>
              </w:rPr>
              <w:t xml:space="preserve"> під час зруйнування Січі (у першу суботу червня)</w:t>
            </w:r>
          </w:p>
        </w:tc>
        <w:tc>
          <w:tcPr>
            <w:tcW w:w="840" w:type="dxa"/>
          </w:tcPr>
          <w:p w:rsidR="00712AED" w:rsidRPr="0052386F" w:rsidRDefault="00712AED" w:rsidP="000B48B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  <w:tc>
          <w:tcPr>
            <w:tcW w:w="1064" w:type="dxa"/>
          </w:tcPr>
          <w:p w:rsidR="00712AED" w:rsidRPr="0052386F" w:rsidRDefault="00712AED" w:rsidP="000B48BB">
            <w:pPr>
              <w:spacing w:line="228" w:lineRule="auto"/>
              <w:ind w:left="12" w:right="12"/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12AED" w:rsidRPr="0052386F" w:rsidRDefault="00712AED" w:rsidP="000B48BB">
            <w:pPr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–</w:t>
            </w:r>
          </w:p>
        </w:tc>
        <w:tc>
          <w:tcPr>
            <w:tcW w:w="850" w:type="dxa"/>
          </w:tcPr>
          <w:p w:rsidR="00712AED" w:rsidRPr="0052386F" w:rsidRDefault="00712AED" w:rsidP="000B48BB">
            <w:pPr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–</w:t>
            </w:r>
          </w:p>
        </w:tc>
        <w:tc>
          <w:tcPr>
            <w:tcW w:w="851" w:type="dxa"/>
          </w:tcPr>
          <w:p w:rsidR="00712AED" w:rsidRPr="0052386F" w:rsidRDefault="00712AED" w:rsidP="000B48BB">
            <w:pPr>
              <w:jc w:val="center"/>
              <w:rPr>
                <w:sz w:val="20"/>
                <w:szCs w:val="20"/>
              </w:rPr>
            </w:pPr>
            <w:r w:rsidRPr="0052386F">
              <w:rPr>
                <w:sz w:val="20"/>
                <w:szCs w:val="20"/>
              </w:rPr>
              <w:t>–</w:t>
            </w:r>
          </w:p>
        </w:tc>
      </w:tr>
    </w:tbl>
    <w:p w:rsidR="00596B1D" w:rsidRPr="00F36C21" w:rsidRDefault="00596B1D" w:rsidP="00596B1D">
      <w:pPr>
        <w:spacing w:line="228" w:lineRule="auto"/>
        <w:ind w:left="120" w:right="519"/>
        <w:contextualSpacing/>
        <w:rPr>
          <w:sz w:val="16"/>
          <w:szCs w:val="16"/>
        </w:rPr>
      </w:pPr>
    </w:p>
    <w:p w:rsidR="00596B1D" w:rsidRDefault="00596B1D" w:rsidP="00596B1D">
      <w:pPr>
        <w:ind w:firstLine="720"/>
        <w:jc w:val="both"/>
        <w:rPr>
          <w:sz w:val="28"/>
          <w:szCs w:val="28"/>
        </w:rPr>
      </w:pPr>
      <w:r w:rsidRPr="00CF3047">
        <w:rPr>
          <w:sz w:val="28"/>
          <w:szCs w:val="28"/>
        </w:rPr>
        <w:t>11. Координація та контроль за виконанням.</w:t>
      </w:r>
    </w:p>
    <w:p w:rsidR="00596B1D" w:rsidRPr="00E45A26" w:rsidRDefault="00596B1D" w:rsidP="00596B1D">
      <w:pPr>
        <w:ind w:firstLine="720"/>
        <w:jc w:val="both"/>
        <w:rPr>
          <w:sz w:val="28"/>
          <w:szCs w:val="28"/>
        </w:rPr>
      </w:pPr>
      <w:r w:rsidRPr="00043E51">
        <w:rPr>
          <w:sz w:val="28"/>
          <w:szCs w:val="28"/>
        </w:rPr>
        <w:t xml:space="preserve">Координацію </w:t>
      </w:r>
      <w:r>
        <w:rPr>
          <w:sz w:val="28"/>
          <w:szCs w:val="28"/>
        </w:rPr>
        <w:t xml:space="preserve">виконання Програми </w:t>
      </w:r>
      <w:r w:rsidRPr="00043E51">
        <w:rPr>
          <w:sz w:val="28"/>
          <w:szCs w:val="28"/>
        </w:rPr>
        <w:t xml:space="preserve">здійснює </w:t>
      </w:r>
      <w:r>
        <w:rPr>
          <w:sz w:val="28"/>
          <w:szCs w:val="28"/>
        </w:rPr>
        <w:t>її регіональний замовник </w:t>
      </w:r>
      <w:r w:rsidRPr="00043E51">
        <w:rPr>
          <w:sz w:val="28"/>
          <w:szCs w:val="28"/>
        </w:rPr>
        <w:t xml:space="preserve">– </w:t>
      </w:r>
      <w:r w:rsidRPr="00C10E21">
        <w:rPr>
          <w:sz w:val="28"/>
          <w:szCs w:val="28"/>
        </w:rPr>
        <w:t>департамент інформаційної діяльності та комунікацій з громадськістю облдержадміністрації</w:t>
      </w:r>
      <w:r>
        <w:rPr>
          <w:sz w:val="28"/>
          <w:szCs w:val="28"/>
        </w:rPr>
        <w:t xml:space="preserve">, </w:t>
      </w:r>
      <w:r w:rsidRPr="00043E51">
        <w:rPr>
          <w:sz w:val="28"/>
          <w:szCs w:val="28"/>
        </w:rPr>
        <w:t>як</w:t>
      </w:r>
      <w:r>
        <w:rPr>
          <w:sz w:val="28"/>
          <w:szCs w:val="28"/>
        </w:rPr>
        <w:t>ий</w:t>
      </w:r>
      <w:r w:rsidRPr="00043E51">
        <w:rPr>
          <w:sz w:val="28"/>
          <w:szCs w:val="28"/>
        </w:rPr>
        <w:t xml:space="preserve"> щоквартал</w:t>
      </w:r>
      <w:r w:rsidR="00712AED">
        <w:rPr>
          <w:sz w:val="28"/>
          <w:szCs w:val="28"/>
        </w:rPr>
        <w:t>у</w:t>
      </w:r>
      <w:r w:rsidRPr="00043E51">
        <w:rPr>
          <w:sz w:val="28"/>
          <w:szCs w:val="28"/>
        </w:rPr>
        <w:t xml:space="preserve"> до 15 числа місяця, що настає за звітним періодом, подає </w:t>
      </w:r>
      <w:r>
        <w:rPr>
          <w:sz w:val="28"/>
          <w:szCs w:val="28"/>
        </w:rPr>
        <w:t xml:space="preserve">до </w:t>
      </w:r>
      <w:r w:rsidRPr="00043E51">
        <w:rPr>
          <w:sz w:val="28"/>
          <w:szCs w:val="28"/>
        </w:rPr>
        <w:t>обласн</w:t>
      </w:r>
      <w:r>
        <w:rPr>
          <w:sz w:val="28"/>
          <w:szCs w:val="28"/>
        </w:rPr>
        <w:t>ої</w:t>
      </w:r>
      <w:r w:rsidRPr="00043E51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ої</w:t>
      </w:r>
      <w:r w:rsidRPr="00043E51">
        <w:rPr>
          <w:sz w:val="28"/>
          <w:szCs w:val="28"/>
        </w:rPr>
        <w:t xml:space="preserve"> адміністрації та обласн</w:t>
      </w:r>
      <w:r>
        <w:rPr>
          <w:sz w:val="28"/>
          <w:szCs w:val="28"/>
        </w:rPr>
        <w:t>ої</w:t>
      </w:r>
      <w:r w:rsidRPr="00043E51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043E51">
        <w:rPr>
          <w:sz w:val="28"/>
          <w:szCs w:val="28"/>
        </w:rPr>
        <w:t xml:space="preserve"> узагальнену інфо</w:t>
      </w:r>
      <w:r>
        <w:rPr>
          <w:sz w:val="28"/>
          <w:szCs w:val="28"/>
        </w:rPr>
        <w:t xml:space="preserve">рмацію про стан та результати </w:t>
      </w:r>
      <w:r w:rsidRPr="00043E51">
        <w:rPr>
          <w:sz w:val="28"/>
          <w:szCs w:val="28"/>
        </w:rPr>
        <w:t xml:space="preserve"> виконання</w:t>
      </w:r>
      <w:r>
        <w:rPr>
          <w:sz w:val="28"/>
          <w:szCs w:val="28"/>
        </w:rPr>
        <w:t xml:space="preserve"> Програми</w:t>
      </w:r>
      <w:r w:rsidRPr="00043E51">
        <w:rPr>
          <w:sz w:val="28"/>
          <w:szCs w:val="28"/>
        </w:rPr>
        <w:t>.</w:t>
      </w:r>
    </w:p>
    <w:p w:rsidR="00596B1D" w:rsidRPr="00613BA4" w:rsidRDefault="00596B1D" w:rsidP="00596B1D">
      <w:pPr>
        <w:pStyle w:val="a7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3BA4">
        <w:rPr>
          <w:rFonts w:ascii="Times New Roman" w:hAnsi="Times New Roman" w:cs="Times New Roman"/>
          <w:b w:val="0"/>
          <w:sz w:val="28"/>
          <w:szCs w:val="28"/>
        </w:rPr>
        <w:t>Контроль за виконанням Програми здійснює постійна комісія Дніпропетровської обласної ради з питань зв’язків з об’єднаннями громадян і засобами масової інформації.</w:t>
      </w:r>
    </w:p>
    <w:p w:rsidR="00596B1D" w:rsidRPr="00596B1D" w:rsidRDefault="00596B1D" w:rsidP="00596B1D">
      <w:pPr>
        <w:spacing w:after="120" w:line="180" w:lineRule="auto"/>
        <w:ind w:right="-125"/>
      </w:pPr>
    </w:p>
    <w:p w:rsidR="00596B1D" w:rsidRPr="00596B1D" w:rsidRDefault="00712AED" w:rsidP="00596B1D">
      <w:pPr>
        <w:ind w:right="-22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Перший з</w:t>
      </w:r>
      <w:r w:rsidR="00596B1D" w:rsidRPr="00596B1D">
        <w:rPr>
          <w:b/>
          <w:sz w:val="28"/>
          <w:szCs w:val="28"/>
        </w:rPr>
        <w:t>аступник</w:t>
      </w:r>
    </w:p>
    <w:p w:rsidR="003A4496" w:rsidRDefault="00596B1D" w:rsidP="00596B1D">
      <w:pPr>
        <w:ind w:right="-22"/>
      </w:pPr>
      <w:r w:rsidRPr="00596B1D">
        <w:rPr>
          <w:b/>
          <w:sz w:val="28"/>
          <w:szCs w:val="28"/>
        </w:rPr>
        <w:t xml:space="preserve">голови обласної ради                 </w:t>
      </w:r>
      <w:r w:rsidRPr="00596B1D">
        <w:rPr>
          <w:b/>
          <w:sz w:val="28"/>
          <w:szCs w:val="28"/>
          <w:lang w:val="ru-RU"/>
        </w:rPr>
        <w:t xml:space="preserve">                 </w:t>
      </w:r>
      <w:r w:rsidRPr="00596B1D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</w:t>
      </w:r>
      <w:r w:rsidRPr="00596B1D">
        <w:rPr>
          <w:b/>
          <w:sz w:val="28"/>
          <w:szCs w:val="28"/>
        </w:rPr>
        <w:t xml:space="preserve">   </w:t>
      </w:r>
      <w:r w:rsidR="00712AED">
        <w:rPr>
          <w:b/>
          <w:sz w:val="28"/>
          <w:szCs w:val="28"/>
        </w:rPr>
        <w:t>С. ОЛІЙНИК</w:t>
      </w:r>
    </w:p>
    <w:sectPr w:rsidR="003A4496" w:rsidSect="00BF3F6E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DD" w:rsidRDefault="002024DD" w:rsidP="00D301B5">
      <w:r>
        <w:separator/>
      </w:r>
    </w:p>
  </w:endnote>
  <w:endnote w:type="continuationSeparator" w:id="0">
    <w:p w:rsidR="002024DD" w:rsidRDefault="002024DD" w:rsidP="00D30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DD" w:rsidRDefault="002024DD" w:rsidP="00D301B5">
      <w:r>
        <w:separator/>
      </w:r>
    </w:p>
  </w:footnote>
  <w:footnote w:type="continuationSeparator" w:id="0">
    <w:p w:rsidR="002024DD" w:rsidRDefault="002024DD" w:rsidP="00D30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123005"/>
      <w:docPartObj>
        <w:docPartGallery w:val="Page Numbers (Top of Page)"/>
        <w:docPartUnique/>
      </w:docPartObj>
    </w:sdtPr>
    <w:sdtEndPr/>
    <w:sdtContent>
      <w:p w:rsidR="00D301B5" w:rsidRDefault="00D301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592" w:rsidRPr="00862592">
          <w:rPr>
            <w:noProof/>
            <w:lang w:val="ru-RU"/>
          </w:rPr>
          <w:t>2</w:t>
        </w:r>
        <w:r>
          <w:fldChar w:fldCharType="end"/>
        </w:r>
      </w:p>
    </w:sdtContent>
  </w:sdt>
  <w:p w:rsidR="00D301B5" w:rsidRDefault="00D301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C9"/>
    <w:rsid w:val="000228C2"/>
    <w:rsid w:val="001373C1"/>
    <w:rsid w:val="002024DD"/>
    <w:rsid w:val="002628A0"/>
    <w:rsid w:val="00273C23"/>
    <w:rsid w:val="003A4496"/>
    <w:rsid w:val="003F0B35"/>
    <w:rsid w:val="00421EC9"/>
    <w:rsid w:val="004A4852"/>
    <w:rsid w:val="00596B1D"/>
    <w:rsid w:val="006021F5"/>
    <w:rsid w:val="006846BB"/>
    <w:rsid w:val="00712AED"/>
    <w:rsid w:val="00862592"/>
    <w:rsid w:val="00B96ECC"/>
    <w:rsid w:val="00BF3F6E"/>
    <w:rsid w:val="00D3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96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96B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96B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96B1D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8">
    <w:name w:val="Название Знак"/>
    <w:basedOn w:val="a0"/>
    <w:link w:val="a7"/>
    <w:rsid w:val="00596B1D"/>
    <w:rPr>
      <w:rFonts w:ascii="Bookman Old Style" w:eastAsia="Times New Roman" w:hAnsi="Bookman Old Style" w:cs="Arial"/>
      <w:b/>
      <w:bCs/>
      <w:sz w:val="26"/>
      <w:lang w:eastAsia="ru-RU"/>
    </w:rPr>
  </w:style>
  <w:style w:type="paragraph" w:styleId="a9">
    <w:name w:val="footer"/>
    <w:basedOn w:val="a"/>
    <w:link w:val="aa"/>
    <w:uiPriority w:val="99"/>
    <w:unhideWhenUsed/>
    <w:rsid w:val="00D30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0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96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96B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96B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96B1D"/>
    <w:pPr>
      <w:spacing w:line="228" w:lineRule="auto"/>
      <w:jc w:val="center"/>
    </w:pPr>
    <w:rPr>
      <w:rFonts w:ascii="Bookman Old Style" w:hAnsi="Bookman Old Style" w:cs="Arial"/>
      <w:b/>
      <w:bCs/>
      <w:sz w:val="26"/>
      <w:szCs w:val="22"/>
    </w:rPr>
  </w:style>
  <w:style w:type="character" w:customStyle="1" w:styleId="a8">
    <w:name w:val="Название Знак"/>
    <w:basedOn w:val="a0"/>
    <w:link w:val="a7"/>
    <w:rsid w:val="00596B1D"/>
    <w:rPr>
      <w:rFonts w:ascii="Bookman Old Style" w:eastAsia="Times New Roman" w:hAnsi="Bookman Old Style" w:cs="Arial"/>
      <w:b/>
      <w:bCs/>
      <w:sz w:val="26"/>
      <w:lang w:eastAsia="ru-RU"/>
    </w:rPr>
  </w:style>
  <w:style w:type="paragraph" w:styleId="a9">
    <w:name w:val="footer"/>
    <w:basedOn w:val="a"/>
    <w:link w:val="aa"/>
    <w:uiPriority w:val="99"/>
    <w:unhideWhenUsed/>
    <w:rsid w:val="00D30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01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2744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2018-12-04T14:32:00Z</cp:lastPrinted>
  <dcterms:created xsi:type="dcterms:W3CDTF">2018-11-08T08:47:00Z</dcterms:created>
  <dcterms:modified xsi:type="dcterms:W3CDTF">2018-12-04T14:32:00Z</dcterms:modified>
</cp:coreProperties>
</file>