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D9" w:rsidRPr="00043186" w:rsidRDefault="001233D9" w:rsidP="001233D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3</w:t>
      </w:r>
    </w:p>
    <w:p w:rsidR="001233D9" w:rsidRPr="00043186" w:rsidRDefault="001233D9" w:rsidP="001233D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обласної ради</w:t>
      </w:r>
    </w:p>
    <w:p w:rsidR="001233D9" w:rsidRPr="00043186" w:rsidRDefault="001233D9" w:rsidP="001233D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D9" w:rsidRPr="00043186" w:rsidRDefault="001233D9" w:rsidP="0012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D9" w:rsidRPr="005315AD" w:rsidRDefault="001233D9" w:rsidP="0012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1233D9" w:rsidRPr="005315AD" w:rsidRDefault="001233D9" w:rsidP="0012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регіональної цільової Програми</w:t>
      </w:r>
    </w:p>
    <w:p w:rsidR="001233D9" w:rsidRPr="005315AD" w:rsidRDefault="001233D9" w:rsidP="0012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D9" w:rsidRPr="005315AD" w:rsidRDefault="001233D9" w:rsidP="0012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Назва: Програма розвитку туризму у Дніпропетровській області</w:t>
      </w:r>
      <w:r w:rsidR="003E57F0"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2022 роки.</w:t>
      </w:r>
    </w:p>
    <w:p w:rsidR="001233D9" w:rsidRPr="005315AD" w:rsidRDefault="001233D9" w:rsidP="0012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D9" w:rsidRPr="005315AD" w:rsidRDefault="001233D9" w:rsidP="0012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Підстава для розроблення: закони України </w:t>
      </w:r>
      <w:r w:rsidR="003E57F0"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місцеві державні адміністрації”, </w:t>
      </w:r>
      <w:r w:rsidR="003E57F0"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місцеве самовряду</w:t>
      </w:r>
      <w:bookmarkStart w:id="0" w:name="_GoBack"/>
      <w:bookmarkEnd w:id="0"/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вання в Україні”, </w:t>
      </w:r>
      <w:r w:rsidR="003E57F0"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туризм”.</w:t>
      </w:r>
    </w:p>
    <w:p w:rsidR="001233D9" w:rsidRPr="005315AD" w:rsidRDefault="001233D9" w:rsidP="0012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D9" w:rsidRPr="005315AD" w:rsidRDefault="001233D9" w:rsidP="0012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Регіональні замовники Програми або координатори: департамент економічного розвитку Дніпропетровської обласної державної адміністрації, Дніпропетровська обласна рада.</w:t>
      </w:r>
    </w:p>
    <w:p w:rsidR="001233D9" w:rsidRPr="005315AD" w:rsidRDefault="001233D9" w:rsidP="0012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D9" w:rsidRPr="005315AD" w:rsidRDefault="001233D9" w:rsidP="0012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Співзамовники</w:t>
      </w:r>
      <w:proofErr w:type="spellEnd"/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Програми:</w:t>
      </w:r>
      <w:r w:rsidRPr="00531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15AD"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немає.</w:t>
      </w:r>
    </w:p>
    <w:p w:rsidR="001233D9" w:rsidRPr="005315AD" w:rsidRDefault="001233D9" w:rsidP="0012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D9" w:rsidRPr="00B00A53" w:rsidRDefault="001233D9" w:rsidP="0012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Відповідальні за виконання: Дніпропетровська обласна рада, структурні підрозділи Дніпропетровської обласної державної адміністрації (департаменти облдержадміністрації: економічного розвитку; інформаційної діяльності та комунікацій з громадськістю; освіти і науки; житлово-комунального господарства та будівництва; управління облдержадміністрації: зовнішньоекономічної діяльності; інформаційних технологій та електронного урядування; молоді і спорту), районні державні адміністрації, районні ради </w:t>
      </w:r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(за згодою), виконавчі комітети міських рад (за згодою), об’єднані територіальні громади (за згодою), Дніпровський національний університет імені Олеся Гончара (за згодою), комунальне підприємство </w:t>
      </w:r>
      <w:r w:rsidR="005315AD"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народної творчості </w:t>
      </w:r>
      <w:r w:rsidR="005315AD"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proofErr w:type="spellStart"/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Дивокрай</w:t>
      </w:r>
      <w:proofErr w:type="spellEnd"/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Дніпропетровської обласної ради” (за згодою), комунальне підприємство </w:t>
      </w:r>
      <w:r w:rsidR="005315AD"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Молодіжний центр міжнародного партнерства, позашкільної та неформальної освіти </w:t>
      </w:r>
      <w:r w:rsidR="005315AD"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proofErr w:type="spellStart"/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Освіторіум</w:t>
      </w:r>
      <w:proofErr w:type="spellEnd"/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Дніпропетровської обласної ради” (за згодою), комунальний заклад культури </w:t>
      </w:r>
      <w:r w:rsidR="005315AD"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Дніпропетровський національний історичний музей імені Д.І. Яворницького” Дніпропетровської обласної ради (за згодою), комунальний заклад </w:t>
      </w:r>
      <w:r w:rsidR="005315AD"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Дніпропетровське регіональне інвестиційне агентство” Дніпропетровс</w:t>
      </w:r>
      <w:r w:rsidR="00B0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ької обласної ради” (за згодою), </w:t>
      </w:r>
      <w:r w:rsidR="00B00A53" w:rsidRPr="00B00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комунальне підприємство Дніпропетровської обласної ради „Представництво Придніпров’я” (за згодою)</w:t>
      </w:r>
    </w:p>
    <w:p w:rsidR="001233D9" w:rsidRPr="005315AD" w:rsidRDefault="001233D9" w:rsidP="0012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D9" w:rsidRPr="005315AD" w:rsidRDefault="001233D9" w:rsidP="0012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Мета: формування виняткового і різноманітного туристичного продукту регіону, просування його на внутрішньому та міжнародному ринках шляхом рекламно-інформаційної кампанії, розвиток туристичної інфраструктури належного рівня.</w:t>
      </w:r>
    </w:p>
    <w:p w:rsidR="001233D9" w:rsidRDefault="001233D9" w:rsidP="0012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Початок: 2014 рік, закінчення – 2022 рік.</w:t>
      </w:r>
    </w:p>
    <w:p w:rsidR="00B00A53" w:rsidRPr="005315AD" w:rsidRDefault="00B00A53" w:rsidP="0012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D9" w:rsidRPr="005315AD" w:rsidRDefault="001233D9" w:rsidP="0012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Етапи виконання: Програма реалізується у два етапи: І етап – </w:t>
      </w:r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2014 – 2018 рр., ІІ етап – 2019 – 2022 рр.</w:t>
      </w:r>
    </w:p>
    <w:p w:rsidR="005315AD" w:rsidRPr="00043186" w:rsidRDefault="005315AD" w:rsidP="0012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233D9" w:rsidRPr="005315AD" w:rsidRDefault="001233D9" w:rsidP="0012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Загальні обсяги фінансування (тис. грн):</w:t>
      </w:r>
    </w:p>
    <w:p w:rsidR="001233D9" w:rsidRPr="00B00A53" w:rsidRDefault="001233D9" w:rsidP="0012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056"/>
        <w:gridCol w:w="992"/>
        <w:gridCol w:w="993"/>
        <w:gridCol w:w="991"/>
        <w:gridCol w:w="994"/>
        <w:gridCol w:w="1070"/>
      </w:tblGrid>
      <w:tr w:rsidR="001233D9" w:rsidRPr="005315AD" w:rsidTr="006C6D61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Джерела фінансування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ind w:left="-171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Обсяг фінансування,</w:t>
            </w:r>
          </w:p>
          <w:p w:rsidR="001233D9" w:rsidRPr="005315AD" w:rsidRDefault="001233D9" w:rsidP="006C6D61">
            <w:pPr>
              <w:spacing w:after="0" w:line="240" w:lineRule="auto"/>
              <w:ind w:left="-171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усього</w:t>
            </w:r>
          </w:p>
          <w:p w:rsidR="001233D9" w:rsidRPr="005315AD" w:rsidRDefault="001233D9" w:rsidP="006C6D61">
            <w:pPr>
              <w:spacing w:after="0" w:line="240" w:lineRule="auto"/>
              <w:ind w:left="-171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(тис. грн)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За роками виконання</w:t>
            </w:r>
          </w:p>
        </w:tc>
      </w:tr>
      <w:tr w:rsidR="001233D9" w:rsidRPr="005315AD" w:rsidTr="006C6D61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Усього</w:t>
            </w:r>
          </w:p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І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2019 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2020 рік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2021 рік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2022 рік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Усього</w:t>
            </w:r>
          </w:p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ІІ етап</w:t>
            </w:r>
          </w:p>
        </w:tc>
      </w:tr>
      <w:tr w:rsidR="001233D9" w:rsidRPr="005315AD" w:rsidTr="006C6D61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Державний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233D9" w:rsidRPr="005315AD" w:rsidTr="006C6D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Обласний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ind w:left="-149" w:right="-9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Cs/>
                <w:lang w:eastAsia="ru-RU"/>
              </w:rPr>
              <w:t>42357,0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ind w:left="-73" w:right="-9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Cs/>
                <w:lang w:eastAsia="ru-RU"/>
              </w:rPr>
              <w:t>27897,0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3707,5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3587,5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3582,5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3582,5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ind w:left="-149" w:right="-9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Cs/>
                <w:lang w:eastAsia="ru-RU"/>
              </w:rPr>
              <w:t>14460,0</w:t>
            </w:r>
          </w:p>
        </w:tc>
      </w:tr>
      <w:tr w:rsidR="001233D9" w:rsidRPr="005315AD" w:rsidTr="006C6D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Місцеві бюджети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ind w:left="-149" w:right="-9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Cs/>
                <w:lang w:eastAsia="ru-RU"/>
              </w:rPr>
              <w:t>8415,0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ind w:left="-73" w:right="-9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Cs/>
                <w:lang w:eastAsia="ru-RU"/>
              </w:rPr>
              <w:t>5145,0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810,0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815,0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815,0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ind w:left="-149" w:right="-9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Cs/>
                <w:lang w:eastAsia="ru-RU"/>
              </w:rPr>
              <w:t>3270,0</w:t>
            </w:r>
          </w:p>
        </w:tc>
      </w:tr>
      <w:tr w:rsidR="001233D9" w:rsidRPr="005315AD" w:rsidTr="006C6D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Інші </w:t>
            </w:r>
          </w:p>
          <w:p w:rsidR="001233D9" w:rsidRPr="005315AD" w:rsidRDefault="001233D9" w:rsidP="006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джерела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ind w:left="-149" w:right="-9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Cs/>
                <w:lang w:eastAsia="ru-RU"/>
              </w:rPr>
              <w:t>4595,0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ind w:left="-73" w:right="-9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Cs/>
                <w:lang w:eastAsia="ru-RU"/>
              </w:rPr>
              <w:t>3045,0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380,0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ind w:left="-149" w:right="-9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Cs/>
                <w:lang w:eastAsia="ru-RU"/>
              </w:rPr>
              <w:t>1550,0</w:t>
            </w:r>
          </w:p>
        </w:tc>
      </w:tr>
      <w:tr w:rsidR="001233D9" w:rsidRPr="005315AD" w:rsidTr="006C6D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ind w:left="-149" w:right="-9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Cs/>
                <w:lang w:eastAsia="ru-RU"/>
              </w:rPr>
              <w:t>55367,0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ind w:left="-149" w:right="-9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Cs/>
                <w:lang w:eastAsia="ru-RU"/>
              </w:rPr>
              <w:t>4937,5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ind w:left="-149" w:right="-9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Cs/>
                <w:lang w:eastAsia="ru-RU"/>
              </w:rPr>
              <w:t>4782,5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ind w:left="-149" w:right="-9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Cs/>
                <w:lang w:eastAsia="ru-RU"/>
              </w:rPr>
              <w:t>4782,5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ind w:left="-149" w:right="-9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Cs/>
                <w:lang w:eastAsia="ru-RU"/>
              </w:rPr>
              <w:t>4777,5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Cs/>
                <w:lang w:eastAsia="ru-RU"/>
              </w:rPr>
              <w:t>19280,0</w:t>
            </w:r>
          </w:p>
        </w:tc>
      </w:tr>
    </w:tbl>
    <w:p w:rsidR="001233D9" w:rsidRPr="00B00A53" w:rsidRDefault="001233D9" w:rsidP="0012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33D9" w:rsidRPr="005315AD" w:rsidRDefault="001233D9" w:rsidP="0012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5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Очікувані кінцеві результати виконання регіональної цільової Програми:</w:t>
      </w:r>
    </w:p>
    <w:p w:rsidR="001233D9" w:rsidRPr="00B00A53" w:rsidRDefault="001233D9" w:rsidP="0012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7"/>
        <w:gridCol w:w="2601"/>
        <w:gridCol w:w="795"/>
        <w:gridCol w:w="764"/>
        <w:gridCol w:w="709"/>
        <w:gridCol w:w="850"/>
        <w:gridCol w:w="851"/>
        <w:gridCol w:w="850"/>
        <w:gridCol w:w="851"/>
      </w:tblGrid>
      <w:tr w:rsidR="001233D9" w:rsidRPr="00043186" w:rsidTr="006C6D61">
        <w:trPr>
          <w:trHeight w:val="487"/>
          <w:tblHeader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Напрями показників Програми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 показників виконання Програми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Значення показників</w:t>
            </w:r>
          </w:p>
        </w:tc>
      </w:tr>
      <w:tr w:rsidR="001233D9" w:rsidRPr="00043186" w:rsidTr="006C6D61">
        <w:trPr>
          <w:trHeight w:val="487"/>
          <w:tblHeader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Усього</w:t>
            </w: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у тому числі за роками</w:t>
            </w:r>
          </w:p>
        </w:tc>
      </w:tr>
      <w:tr w:rsidR="001233D9" w:rsidRPr="00043186" w:rsidTr="006C6D61">
        <w:trPr>
          <w:trHeight w:val="130"/>
          <w:tblHeader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 етап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D9" w:rsidRPr="005315AD" w:rsidRDefault="001233D9" w:rsidP="006C6D61">
            <w:pPr>
              <w:spacing w:after="0" w:line="240" w:lineRule="auto"/>
              <w:ind w:left="-108" w:right="-108" w:hanging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3D9" w:rsidRPr="005315AD" w:rsidRDefault="001233D9" w:rsidP="006C6D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b/>
                <w:lang w:eastAsia="ru-RU"/>
              </w:rPr>
              <w:t>ІІ етап</w:t>
            </w:r>
          </w:p>
        </w:tc>
      </w:tr>
      <w:tr w:rsidR="001233D9" w:rsidRPr="00043186" w:rsidTr="006C6D61">
        <w:trPr>
          <w:trHeight w:val="1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tabs>
                <w:tab w:val="center" w:pos="4677"/>
                <w:tab w:val="right" w:pos="9355"/>
              </w:tabs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 xml:space="preserve">Соціальні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Default="001233D9" w:rsidP="006C6D61">
            <w:pPr>
              <w:tabs>
                <w:tab w:val="center" w:pos="4677"/>
                <w:tab w:val="right" w:pos="8696"/>
              </w:tabs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Кількість проведених виставкових заходів</w:t>
            </w:r>
          </w:p>
          <w:p w:rsidR="00B00A53" w:rsidRPr="00B00A53" w:rsidRDefault="00B00A53" w:rsidP="006C6D61">
            <w:pPr>
              <w:tabs>
                <w:tab w:val="center" w:pos="4677"/>
                <w:tab w:val="right" w:pos="8696"/>
              </w:tabs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ind w:left="-108" w:right="-108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233D9" w:rsidRPr="00043186" w:rsidTr="006C6D61">
        <w:trPr>
          <w:trHeight w:val="1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Соціальні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Default="001233D9" w:rsidP="006C6D6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Кількість учасників інформаційно-рекламних турів</w:t>
            </w:r>
          </w:p>
          <w:p w:rsidR="00B00A53" w:rsidRPr="00B00A53" w:rsidRDefault="00B00A53" w:rsidP="006C6D6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ind w:left="-108" w:right="-108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  <w:tr w:rsidR="001233D9" w:rsidRPr="00043186" w:rsidTr="006C6D61">
        <w:trPr>
          <w:trHeight w:val="1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Соціальні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Default="001233D9" w:rsidP="005315AD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Кількість відвідувачів електронного сайт</w:t>
            </w:r>
            <w:r w:rsidRPr="005315AD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15AD" w:rsidRPr="005315AD">
              <w:rPr>
                <w:rFonts w:ascii="Times New Roman" w:eastAsia="Times New Roman" w:hAnsi="Times New Roman" w:cs="Times New Roman"/>
                <w:lang w:eastAsia="ru-RU"/>
              </w:rPr>
              <w:t>„</w:t>
            </w: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Туристичний інформаційний центр Дніпропетровщини”</w:t>
            </w:r>
          </w:p>
          <w:p w:rsidR="00B00A53" w:rsidRPr="00B00A53" w:rsidRDefault="00B00A53" w:rsidP="005315AD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114000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49000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ind w:left="-108" w:right="-108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65000</w:t>
            </w:r>
          </w:p>
        </w:tc>
      </w:tr>
      <w:tr w:rsidR="001233D9" w:rsidRPr="00043186" w:rsidTr="006C6D61">
        <w:trPr>
          <w:trHeight w:val="1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043186" w:rsidRDefault="001233D9" w:rsidP="006C6D61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Соціальні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Default="001233D9" w:rsidP="008617A3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7A3">
              <w:rPr>
                <w:rFonts w:ascii="Times New Roman" w:eastAsia="Times New Roman" w:hAnsi="Times New Roman" w:cs="Times New Roman"/>
                <w:lang w:eastAsia="ru-RU"/>
              </w:rPr>
              <w:t xml:space="preserve">Кількість відвідувачів </w:t>
            </w:r>
            <w:proofErr w:type="spellStart"/>
            <w:r w:rsidRPr="008617A3">
              <w:rPr>
                <w:rFonts w:ascii="Times New Roman" w:eastAsia="Times New Roman" w:hAnsi="Times New Roman" w:cs="Times New Roman"/>
                <w:lang w:eastAsia="ru-RU"/>
              </w:rPr>
              <w:t>web-сайта</w:t>
            </w:r>
            <w:proofErr w:type="spellEnd"/>
            <w:r w:rsidRPr="008617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15AD" w:rsidRPr="008617A3">
              <w:rPr>
                <w:rFonts w:ascii="Times New Roman" w:eastAsia="Times New Roman" w:hAnsi="Times New Roman" w:cs="Times New Roman"/>
                <w:lang w:eastAsia="ru-RU"/>
              </w:rPr>
              <w:t>„</w:t>
            </w:r>
            <w:r w:rsidRPr="008617A3">
              <w:rPr>
                <w:rFonts w:ascii="Times New Roman" w:eastAsia="Times New Roman" w:hAnsi="Times New Roman" w:cs="Times New Roman"/>
                <w:lang w:eastAsia="ru-RU"/>
              </w:rPr>
              <w:t>Електронний гід Дніпра”</w:t>
            </w:r>
          </w:p>
          <w:p w:rsidR="00B00A53" w:rsidRPr="00B00A53" w:rsidRDefault="00B00A53" w:rsidP="008617A3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10"/>
                <w:szCs w:val="10"/>
                <w:highlight w:val="yellow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111000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ind w:left="-108" w:right="-108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65000</w:t>
            </w:r>
          </w:p>
        </w:tc>
      </w:tr>
      <w:tr w:rsidR="001233D9" w:rsidRPr="00043186" w:rsidTr="00B00A53">
        <w:trPr>
          <w:trHeight w:val="108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Соціальні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Кількість відвідувачів</w:t>
            </w:r>
          </w:p>
          <w:p w:rsidR="001233D9" w:rsidRPr="005315AD" w:rsidRDefault="001233D9" w:rsidP="006C6D6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екскурсійних турів для учнів шкіл та студентів області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295000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175000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ind w:left="-108" w:right="-108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120000</w:t>
            </w:r>
          </w:p>
        </w:tc>
      </w:tr>
      <w:tr w:rsidR="001233D9" w:rsidRPr="00043186" w:rsidTr="006C6D61">
        <w:trPr>
          <w:trHeight w:val="1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Соціальні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Кількість установлених покажчиків туристичних об’єктів, маршрутів та ін.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ind w:left="-108" w:right="-108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233D9" w:rsidRPr="00043186" w:rsidTr="006C6D61">
        <w:trPr>
          <w:trHeight w:val="1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Соціальні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80" w:rsidRPr="00B00A53" w:rsidRDefault="001233D9" w:rsidP="00B00A53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Кількість проведених спортивно-оздоровчих заходів (чемпіонати, естафети, походи тощо)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ind w:left="-108" w:right="-108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1233D9" w:rsidRPr="00043186" w:rsidTr="006C6D61">
        <w:trPr>
          <w:trHeight w:val="1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Соціальні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 xml:space="preserve">Кількість проведених заходів тематичного та </w:t>
            </w:r>
            <w:proofErr w:type="spellStart"/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подієвого</w:t>
            </w:r>
            <w:proofErr w:type="spellEnd"/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 xml:space="preserve"> туризму </w:t>
            </w:r>
            <w:r w:rsidR="005315A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308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області (регіональні, всеукраїнські, міжнародні форуми, ярмарки, виставки, семінари тощо)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ind w:left="-108" w:right="-108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D9" w:rsidRPr="005315AD" w:rsidRDefault="001233D9" w:rsidP="006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5A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</w:tbl>
    <w:p w:rsidR="00BE6A80" w:rsidRDefault="00BE6A80" w:rsidP="0012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33D9" w:rsidRPr="00930811" w:rsidRDefault="001233D9" w:rsidP="0012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1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Координацію роботи щодо виконання Програми здійснюють департамент економічного розвитку облдержадміністрації та Дніпропетровська обласна рада, контроль – постійна комісія обласної ради з питань культури, духовності та спорту.</w:t>
      </w:r>
    </w:p>
    <w:p w:rsidR="001233D9" w:rsidRPr="00930811" w:rsidRDefault="001233D9" w:rsidP="0012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економічного розвитку облдержадміністрації готує звіти про результати виконання Програми та щокварталу до 15 числа місяця, що настає за звітним періодом, надає їх до облдержадміністрації та обласної ради.</w:t>
      </w:r>
    </w:p>
    <w:p w:rsidR="001233D9" w:rsidRPr="00930811" w:rsidRDefault="001233D9" w:rsidP="00123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33D9" w:rsidRPr="00930811" w:rsidRDefault="001233D9" w:rsidP="001233D9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zh-CN"/>
        </w:rPr>
      </w:pPr>
    </w:p>
    <w:p w:rsidR="001233D9" w:rsidRPr="00930811" w:rsidRDefault="001233D9" w:rsidP="001233D9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93081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Перший заступник </w:t>
      </w:r>
    </w:p>
    <w:p w:rsidR="001233D9" w:rsidRPr="00043186" w:rsidRDefault="001233D9" w:rsidP="001233D9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93081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голови обласної ради </w:t>
      </w:r>
      <w:r w:rsidRPr="0093081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93081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93081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93081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93081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93081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93081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  <w:t>С. ОЛІЙНИК</w:t>
      </w:r>
    </w:p>
    <w:p w:rsidR="0042418E" w:rsidRPr="001233D9" w:rsidRDefault="0042418E">
      <w:pPr>
        <w:rPr>
          <w:lang w:val="x-none"/>
        </w:rPr>
      </w:pPr>
    </w:p>
    <w:sectPr w:rsidR="0042418E" w:rsidRPr="001233D9" w:rsidSect="00BE6A80">
      <w:headerReference w:type="default" r:id="rId7"/>
      <w:pgSz w:w="11906" w:h="16838"/>
      <w:pgMar w:top="1135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44" w:rsidRDefault="00FF7C44" w:rsidP="005315AD">
      <w:pPr>
        <w:spacing w:after="0" w:line="240" w:lineRule="auto"/>
      </w:pPr>
      <w:r>
        <w:separator/>
      </w:r>
    </w:p>
  </w:endnote>
  <w:endnote w:type="continuationSeparator" w:id="0">
    <w:p w:rsidR="00FF7C44" w:rsidRDefault="00FF7C44" w:rsidP="0053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44" w:rsidRDefault="00FF7C44" w:rsidP="005315AD">
      <w:pPr>
        <w:spacing w:after="0" w:line="240" w:lineRule="auto"/>
      </w:pPr>
      <w:r>
        <w:separator/>
      </w:r>
    </w:p>
  </w:footnote>
  <w:footnote w:type="continuationSeparator" w:id="0">
    <w:p w:rsidR="00FF7C44" w:rsidRDefault="00FF7C44" w:rsidP="0053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961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15AD" w:rsidRPr="005315AD" w:rsidRDefault="005315A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15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15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15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0A53" w:rsidRPr="00B00A53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5315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15AD" w:rsidRDefault="005315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D9"/>
    <w:rsid w:val="00046CC8"/>
    <w:rsid w:val="00086793"/>
    <w:rsid w:val="001233D9"/>
    <w:rsid w:val="00293DAC"/>
    <w:rsid w:val="003E57F0"/>
    <w:rsid w:val="0042418E"/>
    <w:rsid w:val="00454831"/>
    <w:rsid w:val="005315AD"/>
    <w:rsid w:val="005B628B"/>
    <w:rsid w:val="005F0D10"/>
    <w:rsid w:val="0060170A"/>
    <w:rsid w:val="007200ED"/>
    <w:rsid w:val="007F54CE"/>
    <w:rsid w:val="0082429A"/>
    <w:rsid w:val="008617A3"/>
    <w:rsid w:val="00930811"/>
    <w:rsid w:val="00A4771E"/>
    <w:rsid w:val="00AF629D"/>
    <w:rsid w:val="00B00A53"/>
    <w:rsid w:val="00BE6A80"/>
    <w:rsid w:val="00DD78CD"/>
    <w:rsid w:val="00ED6A36"/>
    <w:rsid w:val="00EF3490"/>
    <w:rsid w:val="00EF3AD4"/>
    <w:rsid w:val="00FA4215"/>
    <w:rsid w:val="00FB1BAE"/>
    <w:rsid w:val="00FD257D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5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5AD"/>
  </w:style>
  <w:style w:type="paragraph" w:styleId="a5">
    <w:name w:val="footer"/>
    <w:basedOn w:val="a"/>
    <w:link w:val="a6"/>
    <w:uiPriority w:val="99"/>
    <w:unhideWhenUsed/>
    <w:rsid w:val="005315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5AD"/>
  </w:style>
  <w:style w:type="paragraph" w:styleId="a7">
    <w:name w:val="Balloon Text"/>
    <w:basedOn w:val="a"/>
    <w:link w:val="a8"/>
    <w:uiPriority w:val="99"/>
    <w:semiHidden/>
    <w:unhideWhenUsed/>
    <w:rsid w:val="0086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5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5AD"/>
  </w:style>
  <w:style w:type="paragraph" w:styleId="a5">
    <w:name w:val="footer"/>
    <w:basedOn w:val="a"/>
    <w:link w:val="a6"/>
    <w:uiPriority w:val="99"/>
    <w:unhideWhenUsed/>
    <w:rsid w:val="005315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5AD"/>
  </w:style>
  <w:style w:type="paragraph" w:styleId="a7">
    <w:name w:val="Balloon Text"/>
    <w:basedOn w:val="a"/>
    <w:link w:val="a8"/>
    <w:uiPriority w:val="99"/>
    <w:semiHidden/>
    <w:unhideWhenUsed/>
    <w:rsid w:val="0086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2799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2018-11-26T07:47:00Z</cp:lastPrinted>
  <dcterms:created xsi:type="dcterms:W3CDTF">2018-11-12T14:36:00Z</dcterms:created>
  <dcterms:modified xsi:type="dcterms:W3CDTF">2018-11-26T07:54:00Z</dcterms:modified>
</cp:coreProperties>
</file>