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B0" w:rsidRDefault="0097276E" w:rsidP="008B1CB0">
      <w:pPr>
        <w:spacing w:after="0" w:line="240" w:lineRule="auto"/>
        <w:ind w:left="10490"/>
        <w:rPr>
          <w:rFonts w:ascii="Times New Roman" w:hAnsi="Times New Roman" w:cs="Times New Roman"/>
          <w:sz w:val="28"/>
          <w:szCs w:val="28"/>
          <w:lang w:val="uk-UA"/>
        </w:rPr>
      </w:pPr>
      <w:r>
        <w:rPr>
          <w:rFonts w:ascii="Times New Roman" w:hAnsi="Times New Roman" w:cs="Times New Roman"/>
          <w:sz w:val="28"/>
          <w:szCs w:val="28"/>
          <w:lang w:val="uk-UA"/>
        </w:rPr>
        <w:t>Додаток 2</w:t>
      </w:r>
      <w:r w:rsidR="008B1CB0">
        <w:rPr>
          <w:rFonts w:ascii="Times New Roman" w:hAnsi="Times New Roman" w:cs="Times New Roman"/>
          <w:sz w:val="28"/>
          <w:szCs w:val="28"/>
          <w:lang w:val="uk-UA"/>
        </w:rPr>
        <w:t xml:space="preserve"> </w:t>
      </w:r>
      <w:r w:rsidR="000A2A12">
        <w:rPr>
          <w:rFonts w:ascii="Times New Roman" w:hAnsi="Times New Roman" w:cs="Times New Roman"/>
          <w:sz w:val="28"/>
          <w:szCs w:val="28"/>
          <w:lang w:val="uk-UA"/>
        </w:rPr>
        <w:t>д</w:t>
      </w:r>
      <w:r w:rsidRPr="0025537F">
        <w:rPr>
          <w:rFonts w:ascii="Times New Roman" w:hAnsi="Times New Roman" w:cs="Times New Roman"/>
          <w:sz w:val="28"/>
          <w:szCs w:val="28"/>
          <w:lang w:val="uk-UA"/>
        </w:rPr>
        <w:t>о</w:t>
      </w:r>
      <w:r w:rsidR="000A2A12">
        <w:rPr>
          <w:rFonts w:ascii="Times New Roman" w:hAnsi="Times New Roman" w:cs="Times New Roman"/>
          <w:sz w:val="28"/>
          <w:szCs w:val="28"/>
          <w:lang w:val="uk-UA"/>
        </w:rPr>
        <w:t xml:space="preserve"> додатка </w:t>
      </w:r>
    </w:p>
    <w:p w:rsidR="0097276E" w:rsidRDefault="000A2A12" w:rsidP="008B1CB0">
      <w:pPr>
        <w:spacing w:after="0" w:line="240" w:lineRule="auto"/>
        <w:ind w:left="10490"/>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sidR="0097276E">
        <w:rPr>
          <w:rFonts w:ascii="Times New Roman" w:hAnsi="Times New Roman" w:cs="Times New Roman"/>
          <w:sz w:val="28"/>
          <w:szCs w:val="28"/>
          <w:lang w:val="uk-UA"/>
        </w:rPr>
        <w:t>рішення обласної ради</w:t>
      </w:r>
    </w:p>
    <w:p w:rsidR="0097276E" w:rsidRPr="00B616EE" w:rsidRDefault="0097276E" w:rsidP="000A2A12">
      <w:pPr>
        <w:spacing w:after="0" w:line="230" w:lineRule="auto"/>
        <w:ind w:left="10490"/>
        <w:rPr>
          <w:rFonts w:ascii="Times New Roman" w:hAnsi="Times New Roman" w:cs="Times New Roman"/>
          <w:sz w:val="28"/>
          <w:szCs w:val="28"/>
        </w:rPr>
      </w:pPr>
    </w:p>
    <w:p w:rsidR="0097276E" w:rsidRPr="00B616EE" w:rsidRDefault="0097276E" w:rsidP="000A2A12">
      <w:pPr>
        <w:spacing w:after="0" w:line="230" w:lineRule="auto"/>
        <w:ind w:left="10490"/>
        <w:rPr>
          <w:rFonts w:ascii="Times New Roman" w:hAnsi="Times New Roman" w:cs="Times New Roman"/>
          <w:sz w:val="20"/>
          <w:szCs w:val="20"/>
        </w:rPr>
      </w:pPr>
    </w:p>
    <w:p w:rsidR="0097276E" w:rsidRPr="00B616EE" w:rsidRDefault="0097276E" w:rsidP="0097276E">
      <w:pPr>
        <w:spacing w:after="0" w:line="230" w:lineRule="auto"/>
        <w:ind w:left="10773"/>
        <w:rPr>
          <w:rFonts w:ascii="Times New Roman" w:hAnsi="Times New Roman" w:cs="Times New Roman"/>
          <w:sz w:val="20"/>
          <w:szCs w:val="20"/>
        </w:rPr>
      </w:pPr>
    </w:p>
    <w:p w:rsidR="0097276E" w:rsidRPr="0016742D" w:rsidRDefault="0097276E" w:rsidP="0097276E">
      <w:pPr>
        <w:spacing w:after="0" w:line="230" w:lineRule="auto"/>
        <w:jc w:val="center"/>
        <w:rPr>
          <w:rFonts w:ascii="Times New Roman" w:hAnsi="Times New Roman" w:cs="Times New Roman"/>
          <w:sz w:val="28"/>
          <w:szCs w:val="28"/>
          <w:lang w:val="uk-UA"/>
        </w:rPr>
      </w:pPr>
      <w:r w:rsidRPr="0016742D">
        <w:rPr>
          <w:rFonts w:ascii="Times New Roman" w:eastAsia="Times New Roman" w:hAnsi="Times New Roman" w:cs="Times New Roman"/>
          <w:b/>
          <w:color w:val="000000"/>
          <w:sz w:val="28"/>
          <w:szCs w:val="28"/>
          <w:lang w:val="uk-UA" w:eastAsia="ru-RU"/>
        </w:rPr>
        <w:t>ПОКАЗНИКИ</w:t>
      </w:r>
    </w:p>
    <w:p w:rsidR="0097276E" w:rsidRPr="0016742D" w:rsidRDefault="0097276E" w:rsidP="0097276E">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16742D">
        <w:rPr>
          <w:rFonts w:ascii="Times New Roman" w:eastAsia="Times New Roman" w:hAnsi="Times New Roman" w:cs="Times New Roman"/>
          <w:b/>
          <w:color w:val="000000"/>
          <w:sz w:val="28"/>
          <w:szCs w:val="28"/>
          <w:lang w:val="uk-UA" w:eastAsia="ru-RU"/>
        </w:rPr>
        <w:t xml:space="preserve">оцінки ефективності виконання </w:t>
      </w:r>
      <w:r w:rsidR="008B1CB0">
        <w:rPr>
          <w:rFonts w:ascii="Times New Roman" w:eastAsia="Times New Roman" w:hAnsi="Times New Roman" w:cs="Times New Roman"/>
          <w:b/>
          <w:color w:val="000000"/>
          <w:sz w:val="28"/>
          <w:szCs w:val="28"/>
          <w:lang w:val="uk-UA" w:eastAsia="ru-RU"/>
        </w:rPr>
        <w:t>п</w:t>
      </w:r>
      <w:r w:rsidRPr="0016742D">
        <w:rPr>
          <w:rFonts w:ascii="Times New Roman" w:eastAsia="Times New Roman" w:hAnsi="Times New Roman" w:cs="Times New Roman"/>
          <w:b/>
          <w:color w:val="000000"/>
          <w:sz w:val="28"/>
          <w:szCs w:val="28"/>
          <w:lang w:val="uk-UA" w:eastAsia="ru-RU"/>
        </w:rPr>
        <w:t>рограми</w:t>
      </w:r>
    </w:p>
    <w:p w:rsidR="0097276E" w:rsidRPr="0016742D" w:rsidRDefault="0097276E" w:rsidP="0097276E">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16"/>
          <w:szCs w:val="16"/>
          <w:lang w:val="uk-UA" w:eastAsia="ru-RU"/>
        </w:rPr>
      </w:pPr>
    </w:p>
    <w:p w:rsidR="0097276E" w:rsidRPr="0016742D" w:rsidRDefault="0097276E" w:rsidP="0097276E">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r w:rsidRPr="0016742D">
        <w:rPr>
          <w:rFonts w:ascii="Times New Roman" w:eastAsia="Times New Roman" w:hAnsi="Times New Roman" w:cs="Times New Roman"/>
          <w:b/>
          <w:color w:val="000000"/>
          <w:sz w:val="28"/>
          <w:szCs w:val="28"/>
          <w:lang w:val="uk-UA" w:eastAsia="ru-RU"/>
        </w:rPr>
        <w:t xml:space="preserve">І. Кількісні показники виконання </w:t>
      </w:r>
      <w:r w:rsidR="008B1CB0">
        <w:rPr>
          <w:rFonts w:ascii="Times New Roman" w:eastAsia="Times New Roman" w:hAnsi="Times New Roman" w:cs="Times New Roman"/>
          <w:b/>
          <w:color w:val="000000"/>
          <w:sz w:val="28"/>
          <w:szCs w:val="28"/>
          <w:lang w:val="uk-UA" w:eastAsia="ru-RU"/>
        </w:rPr>
        <w:t>п</w:t>
      </w:r>
      <w:r w:rsidRPr="0016742D">
        <w:rPr>
          <w:rFonts w:ascii="Times New Roman" w:eastAsia="Times New Roman" w:hAnsi="Times New Roman" w:cs="Times New Roman"/>
          <w:b/>
          <w:color w:val="000000"/>
          <w:sz w:val="28"/>
          <w:szCs w:val="28"/>
          <w:lang w:val="uk-UA" w:eastAsia="ru-RU"/>
        </w:rPr>
        <w:t>рограми</w:t>
      </w:r>
    </w:p>
    <w:p w:rsidR="0097276E" w:rsidRDefault="0097276E" w:rsidP="0097276E">
      <w:pPr>
        <w:widowControl w:val="0"/>
        <w:shd w:val="clear" w:color="auto" w:fill="FFFFFF"/>
        <w:tabs>
          <w:tab w:val="left" w:pos="1330"/>
        </w:tabs>
        <w:autoSpaceDE w:val="0"/>
        <w:autoSpaceDN w:val="0"/>
        <w:adjustRightInd w:val="0"/>
        <w:spacing w:after="0" w:line="240" w:lineRule="auto"/>
        <w:jc w:val="center"/>
        <w:rPr>
          <w:rFonts w:ascii="Times New Roman" w:eastAsia="Times New Roman" w:hAnsi="Times New Roman" w:cs="Times New Roman"/>
          <w:b/>
          <w:color w:val="000000"/>
          <w:sz w:val="10"/>
          <w:szCs w:val="10"/>
          <w:lang w:val="uk-UA" w:eastAsia="ru-RU"/>
        </w:rPr>
      </w:pP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5"/>
        <w:gridCol w:w="3373"/>
        <w:gridCol w:w="2747"/>
        <w:gridCol w:w="1374"/>
        <w:gridCol w:w="1310"/>
        <w:gridCol w:w="1001"/>
      </w:tblGrid>
      <w:tr w:rsidR="000A2A12" w:rsidRPr="000A2A12" w:rsidTr="0022768E">
        <w:trPr>
          <w:trHeight w:val="461"/>
          <w:tblHeader/>
          <w:jc w:val="center"/>
        </w:trPr>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 xml:space="preserve">Назва напряму діяльності </w:t>
            </w:r>
          </w:p>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(пріоритетні завдання)</w:t>
            </w:r>
          </w:p>
        </w:tc>
        <w:tc>
          <w:tcPr>
            <w:tcW w:w="6120" w:type="dxa"/>
            <w:gridSpan w:val="2"/>
            <w:tcBorders>
              <w:top w:val="single" w:sz="4" w:space="0" w:color="auto"/>
              <w:left w:val="single" w:sz="4" w:space="0" w:color="auto"/>
              <w:bottom w:val="single" w:sz="4" w:space="0" w:color="auto"/>
              <w:right w:val="single" w:sz="4" w:space="0" w:color="auto"/>
            </w:tcBorders>
          </w:tcPr>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 xml:space="preserve">Кількісні показники </w:t>
            </w:r>
          </w:p>
          <w:p w:rsidR="000A2A12" w:rsidRPr="000A2A12" w:rsidRDefault="000A2A12" w:rsidP="008B1CB0">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 xml:space="preserve">виконання </w:t>
            </w:r>
            <w:r w:rsidR="008B1CB0">
              <w:rPr>
                <w:rFonts w:ascii="Times New Roman" w:hAnsi="Times New Roman" w:cs="Times New Roman"/>
                <w:b/>
                <w:sz w:val="24"/>
                <w:szCs w:val="24"/>
                <w:lang w:val="uk-UA"/>
              </w:rPr>
              <w:t>п</w:t>
            </w:r>
            <w:r w:rsidRPr="000A2A12">
              <w:rPr>
                <w:rFonts w:ascii="Times New Roman" w:hAnsi="Times New Roman" w:cs="Times New Roman"/>
                <w:b/>
                <w:sz w:val="24"/>
                <w:szCs w:val="24"/>
                <w:lang w:val="uk-UA"/>
              </w:rPr>
              <w:t>рограми</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A2A12" w:rsidRPr="000A2A12" w:rsidRDefault="000A2A12" w:rsidP="000A2A12">
            <w:pPr>
              <w:spacing w:after="0" w:line="240" w:lineRule="auto"/>
              <w:ind w:left="-108" w:right="-98"/>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Значення показника, за роками</w:t>
            </w:r>
          </w:p>
        </w:tc>
      </w:tr>
      <w:tr w:rsidR="008B1CB0" w:rsidRPr="000A2A12" w:rsidTr="0022768E">
        <w:trPr>
          <w:tblHeader/>
          <w:jc w:val="center"/>
        </w:trPr>
        <w:tc>
          <w:tcPr>
            <w:tcW w:w="5525" w:type="dxa"/>
            <w:vMerge/>
            <w:tcBorders>
              <w:top w:val="single" w:sz="4" w:space="0" w:color="auto"/>
              <w:left w:val="single" w:sz="4" w:space="0" w:color="auto"/>
              <w:bottom w:val="single" w:sz="4" w:space="0" w:color="auto"/>
              <w:right w:val="single" w:sz="4" w:space="0" w:color="auto"/>
            </w:tcBorders>
            <w:vAlign w:val="center"/>
            <w:hideMark/>
          </w:tcPr>
          <w:p w:rsidR="008B1CB0" w:rsidRPr="000A2A12" w:rsidRDefault="008B1CB0" w:rsidP="000A2A12">
            <w:pPr>
              <w:spacing w:after="0" w:line="240" w:lineRule="auto"/>
              <w:rPr>
                <w:rFonts w:ascii="Times New Roman" w:hAnsi="Times New Roman" w:cs="Times New Roman"/>
                <w:b/>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4"/>
                <w:szCs w:val="24"/>
                <w:lang w:val="uk-UA"/>
              </w:rPr>
            </w:pPr>
            <w:r w:rsidRPr="000A2A12">
              <w:rPr>
                <w:rFonts w:ascii="Times New Roman" w:hAnsi="Times New Roman" w:cs="Times New Roman"/>
                <w:b/>
                <w:color w:val="000000"/>
                <w:sz w:val="24"/>
                <w:szCs w:val="24"/>
                <w:lang w:val="uk-UA"/>
              </w:rPr>
              <w:t>Найменування показника</w:t>
            </w:r>
          </w:p>
        </w:tc>
        <w:tc>
          <w:tcPr>
            <w:tcW w:w="2747" w:type="dxa"/>
            <w:tcBorders>
              <w:top w:val="single" w:sz="4" w:space="0" w:color="auto"/>
              <w:left w:val="single" w:sz="4" w:space="0" w:color="auto"/>
              <w:bottom w:val="single" w:sz="4" w:space="0" w:color="auto"/>
              <w:right w:val="single" w:sz="4" w:space="0" w:color="auto"/>
            </w:tcBorders>
            <w:vAlign w:val="center"/>
            <w:hideMark/>
          </w:tcPr>
          <w:p w:rsidR="008B1CB0" w:rsidRPr="000A2A12" w:rsidRDefault="008B1CB0" w:rsidP="008B1CB0">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 xml:space="preserve">Усього за </w:t>
            </w:r>
            <w:r>
              <w:rPr>
                <w:rFonts w:ascii="Times New Roman" w:hAnsi="Times New Roman" w:cs="Times New Roman"/>
                <w:b/>
                <w:sz w:val="24"/>
                <w:szCs w:val="24"/>
                <w:lang w:val="uk-UA"/>
              </w:rPr>
              <w:t>п</w:t>
            </w:r>
            <w:r w:rsidRPr="000A2A12">
              <w:rPr>
                <w:rFonts w:ascii="Times New Roman" w:hAnsi="Times New Roman" w:cs="Times New Roman"/>
                <w:b/>
                <w:sz w:val="24"/>
                <w:szCs w:val="24"/>
                <w:lang w:val="uk-UA"/>
              </w:rPr>
              <w:t>рограмою</w:t>
            </w:r>
          </w:p>
        </w:tc>
        <w:tc>
          <w:tcPr>
            <w:tcW w:w="1374" w:type="dxa"/>
            <w:tcBorders>
              <w:top w:val="single" w:sz="4" w:space="0" w:color="auto"/>
              <w:left w:val="single" w:sz="4" w:space="0" w:color="auto"/>
              <w:bottom w:val="single" w:sz="4" w:space="0" w:color="auto"/>
              <w:right w:val="single" w:sz="4" w:space="0" w:color="auto"/>
            </w:tcBorders>
            <w:vAlign w:val="center"/>
            <w:hideMark/>
          </w:tcPr>
          <w:p w:rsidR="008B1CB0" w:rsidRPr="000A2A12" w:rsidRDefault="008B1CB0" w:rsidP="000A2A12">
            <w:pPr>
              <w:spacing w:after="0" w:line="240" w:lineRule="auto"/>
              <w:ind w:left="-172" w:right="-108" w:firstLine="52"/>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2020 рік</w:t>
            </w:r>
          </w:p>
        </w:tc>
        <w:tc>
          <w:tcPr>
            <w:tcW w:w="1310" w:type="dxa"/>
            <w:tcBorders>
              <w:top w:val="single" w:sz="4" w:space="0" w:color="auto"/>
              <w:left w:val="single" w:sz="4" w:space="0" w:color="auto"/>
              <w:bottom w:val="single" w:sz="4" w:space="0" w:color="auto"/>
              <w:right w:val="single" w:sz="4" w:space="0" w:color="auto"/>
            </w:tcBorders>
            <w:vAlign w:val="center"/>
            <w:hideMark/>
          </w:tcPr>
          <w:p w:rsidR="008B1CB0" w:rsidRPr="000A2A12" w:rsidRDefault="008B1CB0" w:rsidP="000A2A12">
            <w:pPr>
              <w:spacing w:after="0" w:line="240" w:lineRule="auto"/>
              <w:ind w:left="-108" w:right="-98" w:hanging="100"/>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2021 рік</w:t>
            </w:r>
          </w:p>
        </w:tc>
        <w:tc>
          <w:tcPr>
            <w:tcW w:w="1001" w:type="dxa"/>
            <w:tcBorders>
              <w:top w:val="single" w:sz="4" w:space="0" w:color="auto"/>
              <w:left w:val="single" w:sz="4" w:space="0" w:color="auto"/>
              <w:bottom w:val="single" w:sz="4" w:space="0" w:color="auto"/>
              <w:right w:val="single" w:sz="4" w:space="0" w:color="auto"/>
            </w:tcBorders>
            <w:vAlign w:val="center"/>
            <w:hideMark/>
          </w:tcPr>
          <w:p w:rsidR="008B1CB0" w:rsidRPr="000A2A12" w:rsidRDefault="008B1CB0" w:rsidP="000A2A12">
            <w:pPr>
              <w:spacing w:after="0" w:line="240" w:lineRule="auto"/>
              <w:ind w:left="-108" w:right="-98" w:hanging="46"/>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2022 рік</w:t>
            </w:r>
          </w:p>
        </w:tc>
      </w:tr>
      <w:tr w:rsidR="000A2A12" w:rsidRPr="000A2A12" w:rsidTr="0022768E">
        <w:trPr>
          <w:cantSplit/>
          <w:trHeight w:val="533"/>
          <w:jc w:val="center"/>
        </w:trPr>
        <w:tc>
          <w:tcPr>
            <w:tcW w:w="15330" w:type="dxa"/>
            <w:gridSpan w:val="6"/>
            <w:tcBorders>
              <w:top w:val="single" w:sz="4" w:space="0" w:color="auto"/>
              <w:left w:val="single" w:sz="4" w:space="0" w:color="auto"/>
              <w:bottom w:val="single" w:sz="4" w:space="0" w:color="auto"/>
              <w:right w:val="single" w:sz="4" w:space="0" w:color="auto"/>
            </w:tcBorders>
            <w:vAlign w:val="center"/>
            <w:hideMark/>
          </w:tcPr>
          <w:p w:rsidR="000A2A12" w:rsidRPr="000A2A12" w:rsidRDefault="000A2A12" w:rsidP="008B1CB0">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 xml:space="preserve">1. Організаційне та методичне забезпечення </w:t>
            </w:r>
            <w:r w:rsidR="008B1CB0">
              <w:rPr>
                <w:rFonts w:ascii="Times New Roman" w:hAnsi="Times New Roman" w:cs="Times New Roman"/>
                <w:b/>
                <w:sz w:val="24"/>
                <w:szCs w:val="24"/>
                <w:lang w:val="uk-UA"/>
              </w:rPr>
              <w:t>п</w:t>
            </w:r>
            <w:r w:rsidRPr="000A2A12">
              <w:rPr>
                <w:rFonts w:ascii="Times New Roman" w:hAnsi="Times New Roman" w:cs="Times New Roman"/>
                <w:b/>
                <w:sz w:val="24"/>
                <w:szCs w:val="24"/>
                <w:lang w:val="uk-UA"/>
              </w:rPr>
              <w:t>рограми</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1.1. Проведення оцінювання рівня цифрового розвитку районів, міст та ОТГ області за визначеними показниками</w:t>
            </w:r>
          </w:p>
          <w:p w:rsidR="008B1CB0" w:rsidRPr="000A2A12" w:rsidRDefault="008B1CB0" w:rsidP="000A2A12">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проведених оцінювань</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firstLine="20"/>
              <w:rPr>
                <w:rFonts w:ascii="Times New Roman" w:hAnsi="Times New Roman" w:cs="Times New Roman"/>
                <w:sz w:val="24"/>
                <w:szCs w:val="24"/>
                <w:lang w:val="uk-UA"/>
              </w:rPr>
            </w:pPr>
            <w:r w:rsidRPr="000A2A12">
              <w:rPr>
                <w:rFonts w:ascii="Times New Roman" w:hAnsi="Times New Roman" w:cs="Times New Roman"/>
                <w:sz w:val="24"/>
                <w:szCs w:val="24"/>
                <w:lang w:val="uk-UA"/>
              </w:rPr>
              <w:t>1.2. Проведення інвентаризації інформаційних та програмно-технічних ресурсів усіх структурних підрозділів облдержадміністрації, райдержадміністрацій, органів місцевого самоврядування  з урахуванням вимог нормативно-правових актів стосовно використання комп’ютерних програм</w:t>
            </w:r>
          </w:p>
          <w:p w:rsidR="008B1CB0" w:rsidRPr="000A2A12" w:rsidRDefault="008B1CB0" w:rsidP="000A2A12">
            <w:pPr>
              <w:spacing w:after="0" w:line="240" w:lineRule="auto"/>
              <w:ind w:firstLine="20"/>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проведених інвентаризацій</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hideMark/>
          </w:tcPr>
          <w:p w:rsidR="008B1CB0" w:rsidRDefault="008B1CB0" w:rsidP="008B1CB0">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1.3. Розробка нормативно-правових та технічних документів, методичних рекомендацій щодо: організації виконання завдань </w:t>
            </w:r>
            <w:r>
              <w:rPr>
                <w:rFonts w:ascii="Times New Roman" w:hAnsi="Times New Roman" w:cs="Times New Roman"/>
                <w:sz w:val="24"/>
                <w:szCs w:val="24"/>
                <w:lang w:val="uk-UA"/>
              </w:rPr>
              <w:t>п</w:t>
            </w:r>
            <w:r w:rsidRPr="000A2A12">
              <w:rPr>
                <w:rFonts w:ascii="Times New Roman" w:hAnsi="Times New Roman" w:cs="Times New Roman"/>
                <w:sz w:val="24"/>
                <w:szCs w:val="24"/>
                <w:lang w:val="uk-UA"/>
              </w:rPr>
              <w:t xml:space="preserve">рограми;  створення, упровадження та адміністрування інформаційних систем та програмно-технічних </w:t>
            </w:r>
            <w:r w:rsidRPr="000A2A12">
              <w:rPr>
                <w:rFonts w:ascii="Times New Roman" w:hAnsi="Times New Roman" w:cs="Times New Roman"/>
                <w:sz w:val="24"/>
                <w:szCs w:val="24"/>
                <w:lang w:val="uk-UA"/>
              </w:rPr>
              <w:lastRenderedPageBreak/>
              <w:t xml:space="preserve">комплексів, засобів інформатизації, механізмів інтеграції систем; організації цифрових робочих місць службовців; організації захисту інформації в регіональних телекомунікаційних системах </w:t>
            </w:r>
          </w:p>
          <w:p w:rsidR="0022768E" w:rsidRPr="000A2A12" w:rsidRDefault="0022768E" w:rsidP="008B1CB0">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lastRenderedPageBreak/>
              <w:t>Кількість нормативних документів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9</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vAlign w:val="center"/>
          </w:tcPr>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lastRenderedPageBreak/>
              <w:t xml:space="preserve">1.4. Організація навчання фахівців органів виконавчої влади та органів місцевого самоврядування, у тому числі на базі спеціалізованих установ та підприємств, з питань цифрових навичок та компетенцій. Постійне підвищення  кваліфікації фахівців </w:t>
            </w:r>
          </w:p>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КП ГІКНВЦ ДОР (адміністраторів мереж та </w:t>
            </w:r>
          </w:p>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баз даних, захисту інформації тощо)</w:t>
            </w:r>
          </w:p>
          <w:p w:rsidR="008B1CB0" w:rsidRPr="000A2A12" w:rsidRDefault="008B1CB0"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Чисельність фахівців, </w:t>
            </w:r>
          </w:p>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які пройшли навчання</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600</w:t>
            </w:r>
          </w:p>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осіб</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1.5. Сприяння формуванню потреб населення у використанні цифрових технологій та розвитку відповідних цифрових компетенцій, у тому числі шляхом виготовлення та розповсюдження мультимедійної та печатної продукції тощо</w:t>
            </w:r>
          </w:p>
          <w:p w:rsidR="008B1CB0" w:rsidRPr="000A2A12" w:rsidRDefault="008B1CB0" w:rsidP="000A2A12">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виготовленої продукції</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300</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1.6. Проведення  всеукраїнських науково-практичних конференцій, регіональних семінарів, круглих столів, </w:t>
            </w:r>
            <w:proofErr w:type="spellStart"/>
            <w:r w:rsidRPr="000A2A12">
              <w:rPr>
                <w:rFonts w:ascii="Times New Roman" w:hAnsi="Times New Roman" w:cs="Times New Roman"/>
                <w:sz w:val="24"/>
                <w:szCs w:val="24"/>
                <w:lang w:val="uk-UA"/>
              </w:rPr>
              <w:t>відеоконференцій</w:t>
            </w:r>
            <w:proofErr w:type="spellEnd"/>
            <w:r w:rsidRPr="000A2A12">
              <w:rPr>
                <w:rFonts w:ascii="Times New Roman" w:hAnsi="Times New Roman" w:cs="Times New Roman"/>
                <w:sz w:val="24"/>
                <w:szCs w:val="24"/>
                <w:lang w:val="uk-UA"/>
              </w:rPr>
              <w:t xml:space="preserve"> за участю керівників органів влади, науковців, представників громадських організацій та бізнес-структур щодо впровадження новітніх інформаційних технологій, електронного урядування тощо </w:t>
            </w: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конкурсів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0A2A12" w:rsidRPr="000A2A12" w:rsidTr="0022768E">
        <w:trPr>
          <w:trHeight w:val="702"/>
          <w:jc w:val="center"/>
        </w:trPr>
        <w:tc>
          <w:tcPr>
            <w:tcW w:w="15330" w:type="dxa"/>
            <w:gridSpan w:val="6"/>
            <w:tcBorders>
              <w:top w:val="single" w:sz="4" w:space="0" w:color="auto"/>
              <w:left w:val="single" w:sz="4" w:space="0" w:color="auto"/>
              <w:bottom w:val="single" w:sz="4" w:space="0" w:color="auto"/>
              <w:right w:val="single" w:sz="4" w:space="0" w:color="auto"/>
            </w:tcBorders>
            <w:vAlign w:val="center"/>
          </w:tcPr>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lastRenderedPageBreak/>
              <w:t>2. Упровадження технологій е-урядування</w:t>
            </w:r>
            <w:r>
              <w:rPr>
                <w:rFonts w:ascii="Times New Roman" w:hAnsi="Times New Roman" w:cs="Times New Roman"/>
                <w:b/>
                <w:sz w:val="24"/>
                <w:szCs w:val="24"/>
                <w:lang w:val="uk-UA"/>
              </w:rPr>
              <w:t xml:space="preserve"> </w:t>
            </w:r>
            <w:r w:rsidRPr="000A2A12">
              <w:rPr>
                <w:rFonts w:ascii="Times New Roman" w:hAnsi="Times New Roman" w:cs="Times New Roman"/>
                <w:b/>
                <w:sz w:val="24"/>
                <w:szCs w:val="24"/>
                <w:lang w:val="uk-UA"/>
              </w:rPr>
              <w:t>в органах виконавчої влади та</w:t>
            </w:r>
            <w:r>
              <w:rPr>
                <w:rFonts w:ascii="Times New Roman" w:hAnsi="Times New Roman" w:cs="Times New Roman"/>
                <w:b/>
                <w:sz w:val="24"/>
                <w:szCs w:val="24"/>
                <w:lang w:val="uk-UA"/>
              </w:rPr>
              <w:t xml:space="preserve"> </w:t>
            </w:r>
            <w:r w:rsidRPr="000A2A12">
              <w:rPr>
                <w:rFonts w:ascii="Times New Roman" w:hAnsi="Times New Roman" w:cs="Times New Roman"/>
                <w:b/>
                <w:sz w:val="24"/>
                <w:szCs w:val="24"/>
                <w:lang w:val="uk-UA"/>
              </w:rPr>
              <w:t>місцевого самоврядування області; формування системи регіональних</w:t>
            </w:r>
            <w:r>
              <w:rPr>
                <w:rFonts w:ascii="Times New Roman" w:hAnsi="Times New Roman" w:cs="Times New Roman"/>
                <w:b/>
                <w:sz w:val="24"/>
                <w:szCs w:val="24"/>
                <w:lang w:val="uk-UA"/>
              </w:rPr>
              <w:t xml:space="preserve"> </w:t>
            </w:r>
            <w:r w:rsidRPr="000A2A12">
              <w:rPr>
                <w:rFonts w:ascii="Times New Roman" w:hAnsi="Times New Roman" w:cs="Times New Roman"/>
                <w:b/>
                <w:sz w:val="24"/>
                <w:szCs w:val="24"/>
                <w:lang w:val="uk-UA"/>
              </w:rPr>
              <w:t>електронних інформаційних ресурсів</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2.1. Розвиток системи електронного документообігу</w:t>
            </w: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Чисельність нових користувачів</w:t>
            </w:r>
          </w:p>
        </w:tc>
        <w:tc>
          <w:tcPr>
            <w:tcW w:w="2747" w:type="dxa"/>
            <w:tcBorders>
              <w:top w:val="single" w:sz="4" w:space="0" w:color="auto"/>
              <w:left w:val="single" w:sz="4" w:space="0" w:color="auto"/>
              <w:bottom w:val="single" w:sz="4" w:space="0" w:color="auto"/>
              <w:right w:val="single" w:sz="4" w:space="0" w:color="auto"/>
            </w:tcBorders>
            <w:hideMark/>
          </w:tcPr>
          <w:p w:rsidR="008B1CB0"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300</w:t>
            </w:r>
          </w:p>
          <w:p w:rsidR="008B1CB0" w:rsidRPr="000A2A12" w:rsidRDefault="008B1CB0" w:rsidP="000A2A1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осіб</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2.2. Упровадження пілотних проектів із реалізації електронних сервісів та систем у місцевих органах виконавчої влади,  органах місцевого самоврядування, територіальних громадах </w:t>
            </w:r>
          </w:p>
          <w:p w:rsidR="008B1CB0" w:rsidRPr="000A2A12" w:rsidRDefault="008B1CB0"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упроваджених проектів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2.3. Упровадження типових рішень </w:t>
            </w:r>
            <w:r>
              <w:rPr>
                <w:rFonts w:ascii="Times New Roman" w:hAnsi="Times New Roman" w:cs="Times New Roman"/>
                <w:sz w:val="24"/>
                <w:szCs w:val="24"/>
                <w:lang w:val="uk-UA"/>
              </w:rPr>
              <w:t>у</w:t>
            </w:r>
            <w:r w:rsidRPr="000A2A12">
              <w:rPr>
                <w:rFonts w:ascii="Times New Roman" w:hAnsi="Times New Roman" w:cs="Times New Roman"/>
                <w:sz w:val="24"/>
                <w:szCs w:val="24"/>
                <w:lang w:val="uk-UA"/>
              </w:rPr>
              <w:t xml:space="preserve"> місцевих органах влади</w:t>
            </w:r>
          </w:p>
          <w:p w:rsidR="008B1CB0" w:rsidRPr="000A2A12" w:rsidRDefault="008B1CB0"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упроваджених проектів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7</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2.4. Запровадження проектів зі створення інструментів (сервісів) із застосуванням відкритих даних тощо</w:t>
            </w:r>
          </w:p>
          <w:p w:rsidR="008B1CB0" w:rsidRPr="000A2A12" w:rsidRDefault="008B1CB0"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упроваджених проектів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13</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2.5. Запровадження та розвиток проектів </w:t>
            </w:r>
          </w:p>
          <w:p w:rsidR="008B1CB0" w:rsidRDefault="008B1CB0" w:rsidP="008B1CB0">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е-демократії</w:t>
            </w:r>
          </w:p>
          <w:p w:rsidR="0022768E" w:rsidRPr="000A2A12" w:rsidRDefault="0022768E" w:rsidP="008B1CB0">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упроваджених проектів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9</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2.6. </w:t>
            </w:r>
            <w:proofErr w:type="spellStart"/>
            <w:r w:rsidRPr="000A2A12">
              <w:rPr>
                <w:rFonts w:ascii="Times New Roman" w:hAnsi="Times New Roman" w:cs="Times New Roman"/>
                <w:sz w:val="24"/>
                <w:szCs w:val="24"/>
                <w:lang w:val="uk-UA"/>
              </w:rPr>
              <w:t>Співфінансування</w:t>
            </w:r>
            <w:proofErr w:type="spellEnd"/>
            <w:r w:rsidRPr="000A2A12">
              <w:rPr>
                <w:rFonts w:ascii="Times New Roman" w:hAnsi="Times New Roman" w:cs="Times New Roman"/>
                <w:sz w:val="24"/>
                <w:szCs w:val="24"/>
                <w:lang w:val="uk-UA"/>
              </w:rPr>
              <w:t xml:space="preserve"> спільних проектів (програм), спрямованих  на розвиток </w:t>
            </w:r>
            <w:r w:rsidRPr="000A2A12">
              <w:rPr>
                <w:rFonts w:ascii="Times New Roman" w:hAnsi="Times New Roman" w:cs="Times New Roman"/>
                <w:sz w:val="24"/>
                <w:szCs w:val="24"/>
                <w:lang w:val="uk-UA"/>
              </w:rPr>
              <w:br/>
              <w:t xml:space="preserve">е-урядування, з державними, міжнародними, громадськими організаціями (фондами) </w:t>
            </w:r>
          </w:p>
          <w:p w:rsidR="008B1CB0" w:rsidRPr="000A2A12" w:rsidRDefault="008B1CB0"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спільно реалізованих проектів</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6</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0A2A12">
            <w:pPr>
              <w:spacing w:after="0" w:line="240" w:lineRule="auto"/>
              <w:ind w:left="29" w:hanging="29"/>
              <w:rPr>
                <w:rFonts w:ascii="Times New Roman" w:hAnsi="Times New Roman" w:cs="Times New Roman"/>
                <w:sz w:val="24"/>
                <w:szCs w:val="24"/>
                <w:lang w:val="uk-UA"/>
              </w:rPr>
            </w:pPr>
            <w:r w:rsidRPr="000A2A12">
              <w:rPr>
                <w:rFonts w:ascii="Times New Roman" w:hAnsi="Times New Roman" w:cs="Times New Roman"/>
                <w:sz w:val="24"/>
                <w:szCs w:val="24"/>
                <w:lang w:val="uk-UA"/>
              </w:rPr>
              <w:t>2.7. Розвиток інтегрованої платформи Інтернет-порталів органів виконавчої влади та місцевого самоврядування</w:t>
            </w:r>
          </w:p>
          <w:p w:rsidR="0022768E" w:rsidRPr="000A2A12" w:rsidRDefault="0022768E" w:rsidP="000A2A12">
            <w:pPr>
              <w:spacing w:after="0" w:line="240" w:lineRule="auto"/>
              <w:ind w:left="29" w:hanging="29"/>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інтегрованих платформ</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0A2A12" w:rsidRPr="000A2A12" w:rsidTr="0022768E">
        <w:trPr>
          <w:trHeight w:val="429"/>
          <w:jc w:val="center"/>
        </w:trPr>
        <w:tc>
          <w:tcPr>
            <w:tcW w:w="15330" w:type="dxa"/>
            <w:gridSpan w:val="6"/>
            <w:tcBorders>
              <w:top w:val="single" w:sz="4" w:space="0" w:color="auto"/>
              <w:left w:val="single" w:sz="4" w:space="0" w:color="auto"/>
              <w:bottom w:val="single" w:sz="4" w:space="0" w:color="auto"/>
              <w:right w:val="single" w:sz="4" w:space="0" w:color="auto"/>
            </w:tcBorders>
            <w:vAlign w:val="center"/>
            <w:hideMark/>
          </w:tcPr>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lastRenderedPageBreak/>
              <w:t>3. Розвиток телекомунікаційного середовища регіону та організація захисту інформації</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3.1. Розвиток та поширення широкосмугової мультисервісної (мережі) інфраструктури, у тому числі із застосуванням механізмів державно-приватного партнерства на всій території області. </w:t>
            </w:r>
          </w:p>
          <w:p w:rsidR="008B1CB0"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Поширення технології бездротової мережі </w:t>
            </w:r>
            <w:r>
              <w:rPr>
                <w:rFonts w:ascii="Times New Roman" w:hAnsi="Times New Roman" w:cs="Times New Roman"/>
                <w:sz w:val="24"/>
                <w:szCs w:val="24"/>
                <w:lang w:val="uk-UA"/>
              </w:rPr>
              <w:t>в</w:t>
            </w:r>
            <w:r w:rsidRPr="000A2A12">
              <w:rPr>
                <w:rFonts w:ascii="Times New Roman" w:hAnsi="Times New Roman" w:cs="Times New Roman"/>
                <w:sz w:val="24"/>
                <w:szCs w:val="24"/>
                <w:lang w:val="uk-UA"/>
              </w:rPr>
              <w:t xml:space="preserve"> роботі місцевих органів виконавчої влади та органів місцевого самоврядування </w:t>
            </w:r>
          </w:p>
          <w:p w:rsidR="008B1CB0" w:rsidRPr="000A2A12" w:rsidRDefault="008B1CB0" w:rsidP="000A2A12">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Чисельність абонентів мережі </w:t>
            </w:r>
          </w:p>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в системі інформаційно-аналітичного забезпечення</w:t>
            </w:r>
          </w:p>
        </w:tc>
        <w:tc>
          <w:tcPr>
            <w:tcW w:w="2747" w:type="dxa"/>
            <w:tcBorders>
              <w:top w:val="single" w:sz="4" w:space="0" w:color="auto"/>
              <w:left w:val="single" w:sz="4" w:space="0" w:color="auto"/>
              <w:bottom w:val="single" w:sz="4" w:space="0" w:color="auto"/>
              <w:right w:val="single" w:sz="4" w:space="0" w:color="auto"/>
            </w:tcBorders>
            <w:hideMark/>
          </w:tcPr>
          <w:p w:rsidR="008B1CB0"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1500</w:t>
            </w:r>
          </w:p>
          <w:p w:rsidR="008B1CB0" w:rsidRPr="000A2A12" w:rsidRDefault="008B1CB0" w:rsidP="000A2A1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осіб</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8B1CB0">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3.2. Розвиток регіонального </w:t>
            </w:r>
            <w:r>
              <w:rPr>
                <w:rFonts w:ascii="Times New Roman" w:hAnsi="Times New Roman" w:cs="Times New Roman"/>
                <w:sz w:val="24"/>
                <w:szCs w:val="24"/>
                <w:lang w:val="uk-UA"/>
              </w:rPr>
              <w:t>д</w:t>
            </w:r>
            <w:r w:rsidRPr="000A2A12">
              <w:rPr>
                <w:rFonts w:ascii="Times New Roman" w:hAnsi="Times New Roman" w:cs="Times New Roman"/>
                <w:sz w:val="24"/>
                <w:szCs w:val="24"/>
                <w:lang w:val="uk-UA"/>
              </w:rPr>
              <w:t>ата-центру Дніпропетровської області</w:t>
            </w:r>
          </w:p>
          <w:p w:rsidR="0022768E" w:rsidRPr="000A2A12" w:rsidRDefault="0022768E" w:rsidP="008B1CB0">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проектно-будівельних робіт</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3.3. Упровадження технологій швидкісної передачі даних з використанням регіональної мережі ІР-телефонії по всій території області на базі ТКЦ області </w:t>
            </w:r>
          </w:p>
          <w:p w:rsidR="008B1CB0" w:rsidRPr="000A2A12" w:rsidRDefault="008B1CB0" w:rsidP="000A2A12">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Чисельність абонентів </w:t>
            </w:r>
            <w:r w:rsidRPr="000A2A12">
              <w:rPr>
                <w:rFonts w:ascii="Times New Roman" w:hAnsi="Times New Roman" w:cs="Times New Roman"/>
                <w:sz w:val="24"/>
                <w:szCs w:val="24"/>
                <w:lang w:val="uk-UA"/>
              </w:rPr>
              <w:br/>
              <w:t>IP-телефонії</w:t>
            </w:r>
          </w:p>
        </w:tc>
        <w:tc>
          <w:tcPr>
            <w:tcW w:w="2747" w:type="dxa"/>
            <w:tcBorders>
              <w:top w:val="single" w:sz="4" w:space="0" w:color="auto"/>
              <w:left w:val="single" w:sz="4" w:space="0" w:color="auto"/>
              <w:bottom w:val="single" w:sz="4" w:space="0" w:color="auto"/>
              <w:right w:val="single" w:sz="4" w:space="0" w:color="auto"/>
            </w:tcBorders>
            <w:hideMark/>
          </w:tcPr>
          <w:p w:rsidR="008B1CB0"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1000</w:t>
            </w:r>
          </w:p>
          <w:p w:rsidR="008B1CB0" w:rsidRPr="000A2A12" w:rsidRDefault="008B1CB0" w:rsidP="000A2A1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осіб</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0A2A12">
            <w:pPr>
              <w:spacing w:after="0" w:line="240" w:lineRule="auto"/>
              <w:rPr>
                <w:rFonts w:ascii="Times New Roman" w:hAnsi="Times New Roman" w:cs="Times New Roman"/>
                <w:sz w:val="24"/>
                <w:szCs w:val="24"/>
                <w:lang w:val="uk-UA"/>
              </w:rPr>
            </w:pPr>
            <w:r w:rsidRPr="000A2A12">
              <w:rPr>
                <w:rFonts w:ascii="Times New Roman" w:hAnsi="Times New Roman" w:cs="Times New Roman"/>
                <w:sz w:val="24"/>
                <w:szCs w:val="24"/>
                <w:lang w:val="uk-UA"/>
              </w:rPr>
              <w:t>3.4. Створення та підтримка комплексних систем захисту інформації на регіональн</w:t>
            </w:r>
            <w:r>
              <w:rPr>
                <w:rFonts w:ascii="Times New Roman" w:hAnsi="Times New Roman" w:cs="Times New Roman"/>
                <w:sz w:val="24"/>
                <w:szCs w:val="24"/>
                <w:lang w:val="uk-UA"/>
              </w:rPr>
              <w:t>их</w:t>
            </w:r>
            <w:r w:rsidRPr="000A2A12">
              <w:rPr>
                <w:rFonts w:ascii="Times New Roman" w:hAnsi="Times New Roman" w:cs="Times New Roman"/>
                <w:sz w:val="24"/>
                <w:szCs w:val="24"/>
                <w:lang w:val="uk-UA"/>
              </w:rPr>
              <w:t xml:space="preserve"> програмно-технічн</w:t>
            </w:r>
            <w:r>
              <w:rPr>
                <w:rFonts w:ascii="Times New Roman" w:hAnsi="Times New Roman" w:cs="Times New Roman"/>
                <w:sz w:val="24"/>
                <w:szCs w:val="24"/>
                <w:lang w:val="uk-UA"/>
              </w:rPr>
              <w:t>их</w:t>
            </w:r>
            <w:r w:rsidRPr="000A2A12">
              <w:rPr>
                <w:rFonts w:ascii="Times New Roman" w:hAnsi="Times New Roman" w:cs="Times New Roman"/>
                <w:sz w:val="24"/>
                <w:szCs w:val="24"/>
                <w:lang w:val="uk-UA"/>
              </w:rPr>
              <w:t xml:space="preserve"> комплекс</w:t>
            </w:r>
            <w:r>
              <w:rPr>
                <w:rFonts w:ascii="Times New Roman" w:hAnsi="Times New Roman" w:cs="Times New Roman"/>
                <w:sz w:val="24"/>
                <w:szCs w:val="24"/>
                <w:lang w:val="uk-UA"/>
              </w:rPr>
              <w:t>ах</w:t>
            </w:r>
            <w:r w:rsidRPr="000A2A12">
              <w:rPr>
                <w:rFonts w:ascii="Times New Roman" w:hAnsi="Times New Roman" w:cs="Times New Roman"/>
                <w:sz w:val="24"/>
                <w:szCs w:val="24"/>
                <w:lang w:val="uk-UA"/>
              </w:rPr>
              <w:t>, інформаційн</w:t>
            </w:r>
            <w:r>
              <w:rPr>
                <w:rFonts w:ascii="Times New Roman" w:hAnsi="Times New Roman" w:cs="Times New Roman"/>
                <w:sz w:val="24"/>
                <w:szCs w:val="24"/>
                <w:lang w:val="uk-UA"/>
              </w:rPr>
              <w:t>их</w:t>
            </w:r>
            <w:r w:rsidRPr="000A2A12">
              <w:rPr>
                <w:rFonts w:ascii="Times New Roman" w:hAnsi="Times New Roman" w:cs="Times New Roman"/>
                <w:sz w:val="24"/>
                <w:szCs w:val="24"/>
                <w:lang w:val="uk-UA"/>
              </w:rPr>
              <w:t xml:space="preserve"> систем</w:t>
            </w:r>
            <w:r>
              <w:rPr>
                <w:rFonts w:ascii="Times New Roman" w:hAnsi="Times New Roman" w:cs="Times New Roman"/>
                <w:sz w:val="24"/>
                <w:szCs w:val="24"/>
                <w:lang w:val="uk-UA"/>
              </w:rPr>
              <w:t>ах</w:t>
            </w:r>
            <w:r w:rsidRPr="000A2A12">
              <w:rPr>
                <w:rFonts w:ascii="Times New Roman" w:hAnsi="Times New Roman" w:cs="Times New Roman"/>
                <w:sz w:val="24"/>
                <w:szCs w:val="24"/>
                <w:lang w:val="uk-UA"/>
              </w:rPr>
              <w:t xml:space="preserve"> тощо</w:t>
            </w:r>
          </w:p>
          <w:p w:rsidR="008B1CB0" w:rsidRPr="000A2A12" w:rsidRDefault="008B1CB0" w:rsidP="000A2A12">
            <w:pPr>
              <w:spacing w:after="0" w:line="240" w:lineRule="auto"/>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систем</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0A2A12" w:rsidRPr="000A2A12" w:rsidTr="0022768E">
        <w:trPr>
          <w:trHeight w:val="531"/>
          <w:jc w:val="center"/>
        </w:trPr>
        <w:tc>
          <w:tcPr>
            <w:tcW w:w="15330" w:type="dxa"/>
            <w:gridSpan w:val="6"/>
            <w:tcBorders>
              <w:top w:val="single" w:sz="4" w:space="0" w:color="auto"/>
              <w:left w:val="single" w:sz="4" w:space="0" w:color="auto"/>
              <w:bottom w:val="single" w:sz="4" w:space="0" w:color="auto"/>
              <w:right w:val="single" w:sz="4" w:space="0" w:color="auto"/>
            </w:tcBorders>
            <w:vAlign w:val="center"/>
            <w:hideMark/>
          </w:tcPr>
          <w:p w:rsidR="000A2A12" w:rsidRPr="000A2A12" w:rsidRDefault="000A2A12" w:rsidP="000A2A12">
            <w:pPr>
              <w:spacing w:after="0" w:line="240" w:lineRule="auto"/>
              <w:jc w:val="center"/>
              <w:rPr>
                <w:rFonts w:ascii="Times New Roman" w:hAnsi="Times New Roman" w:cs="Times New Roman"/>
                <w:b/>
                <w:sz w:val="24"/>
                <w:szCs w:val="24"/>
                <w:lang w:val="uk-UA"/>
              </w:rPr>
            </w:pPr>
            <w:r w:rsidRPr="000A2A12">
              <w:rPr>
                <w:rFonts w:ascii="Times New Roman" w:hAnsi="Times New Roman" w:cs="Times New Roman"/>
                <w:b/>
                <w:sz w:val="24"/>
                <w:szCs w:val="24"/>
                <w:lang w:val="uk-UA"/>
              </w:rPr>
              <w:t>4. Підтримка працездатності та забезпечення функціонування існуючих систем</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0A2A12">
            <w:pPr>
              <w:spacing w:after="0" w:line="240" w:lineRule="auto"/>
              <w:ind w:left="18" w:hanging="18"/>
              <w:rPr>
                <w:rFonts w:ascii="Times New Roman" w:hAnsi="Times New Roman" w:cs="Times New Roman"/>
                <w:sz w:val="24"/>
                <w:szCs w:val="24"/>
                <w:lang w:val="uk-UA"/>
              </w:rPr>
            </w:pPr>
            <w:r w:rsidRPr="000A2A12">
              <w:rPr>
                <w:rFonts w:ascii="Times New Roman" w:hAnsi="Times New Roman" w:cs="Times New Roman"/>
                <w:sz w:val="24"/>
                <w:szCs w:val="24"/>
                <w:lang w:val="uk-UA"/>
              </w:rPr>
              <w:t>4.1. Підтримка безперебійного функціонування СІАЗ, ТКЦ та існуючих інформаційних систем</w:t>
            </w:r>
            <w:r w:rsidR="0022768E">
              <w:rPr>
                <w:rFonts w:ascii="Times New Roman" w:hAnsi="Times New Roman" w:cs="Times New Roman"/>
                <w:sz w:val="24"/>
                <w:szCs w:val="24"/>
                <w:lang w:val="uk-UA"/>
              </w:rPr>
              <w:t>ах</w:t>
            </w:r>
            <w:r w:rsidRPr="000A2A12">
              <w:rPr>
                <w:rFonts w:ascii="Times New Roman" w:hAnsi="Times New Roman" w:cs="Times New Roman"/>
                <w:sz w:val="24"/>
                <w:szCs w:val="24"/>
                <w:lang w:val="uk-UA"/>
              </w:rPr>
              <w:t xml:space="preserve"> області</w:t>
            </w:r>
          </w:p>
          <w:p w:rsidR="008B1CB0" w:rsidRPr="000A2A12" w:rsidRDefault="008B1CB0" w:rsidP="000A2A12">
            <w:pPr>
              <w:spacing w:after="0" w:line="240" w:lineRule="auto"/>
              <w:ind w:left="18" w:hanging="18"/>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Mar>
              <w:left w:w="28" w:type="dxa"/>
              <w:right w:w="28" w:type="dxa"/>
            </w:tcMar>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Збої систем за рік тривалістю не більше 2 год</w:t>
            </w:r>
            <w:r>
              <w:rPr>
                <w:rFonts w:ascii="Times New Roman" w:hAnsi="Times New Roman" w:cs="Times New Roman"/>
                <w:sz w:val="24"/>
                <w:szCs w:val="24"/>
                <w:lang w:val="uk-UA"/>
              </w:rPr>
              <w:t>ин</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w:t>
            </w:r>
          </w:p>
        </w:tc>
      </w:tr>
      <w:tr w:rsidR="008B1CB0"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8B1CB0" w:rsidRDefault="008B1CB0" w:rsidP="000A2A12">
            <w:pPr>
              <w:spacing w:after="0" w:line="240" w:lineRule="auto"/>
              <w:ind w:left="18" w:hanging="18"/>
              <w:rPr>
                <w:rFonts w:ascii="Times New Roman" w:hAnsi="Times New Roman" w:cs="Times New Roman"/>
                <w:sz w:val="24"/>
                <w:szCs w:val="24"/>
                <w:lang w:val="uk-UA"/>
              </w:rPr>
            </w:pPr>
            <w:r w:rsidRPr="000A2A12">
              <w:rPr>
                <w:rFonts w:ascii="Times New Roman" w:hAnsi="Times New Roman" w:cs="Times New Roman"/>
                <w:sz w:val="24"/>
                <w:szCs w:val="24"/>
                <w:lang w:val="uk-UA"/>
              </w:rPr>
              <w:lastRenderedPageBreak/>
              <w:t>4.2. Підтримка існуючих телекомунікаційних сервісів та забезпечення функціонування широкосмугових захищених каналів зв’язку</w:t>
            </w:r>
          </w:p>
          <w:p w:rsidR="0022768E" w:rsidRPr="000A2A12" w:rsidRDefault="0022768E" w:rsidP="000A2A12">
            <w:pPr>
              <w:spacing w:after="0" w:line="240" w:lineRule="auto"/>
              <w:ind w:left="18" w:hanging="18"/>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захищених каналів, щорічно</w:t>
            </w:r>
          </w:p>
        </w:tc>
        <w:tc>
          <w:tcPr>
            <w:tcW w:w="2747"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600</w:t>
            </w:r>
          </w:p>
        </w:tc>
        <w:tc>
          <w:tcPr>
            <w:tcW w:w="1374"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c>
          <w:tcPr>
            <w:tcW w:w="1310"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c>
          <w:tcPr>
            <w:tcW w:w="1001" w:type="dxa"/>
            <w:tcBorders>
              <w:top w:val="single" w:sz="4" w:space="0" w:color="auto"/>
              <w:left w:val="single" w:sz="4" w:space="0" w:color="auto"/>
              <w:bottom w:val="single" w:sz="4" w:space="0" w:color="auto"/>
              <w:right w:val="single" w:sz="4" w:space="0" w:color="auto"/>
            </w:tcBorders>
            <w:hideMark/>
          </w:tcPr>
          <w:p w:rsidR="008B1CB0" w:rsidRPr="000A2A12" w:rsidRDefault="008B1CB0"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200</w:t>
            </w:r>
          </w:p>
        </w:tc>
      </w:tr>
      <w:tr w:rsidR="0022768E"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ind w:left="18" w:hanging="18"/>
              <w:rPr>
                <w:rFonts w:ascii="Times New Roman" w:hAnsi="Times New Roman" w:cs="Times New Roman"/>
                <w:sz w:val="24"/>
                <w:szCs w:val="24"/>
                <w:lang w:val="uk-UA"/>
              </w:rPr>
            </w:pPr>
            <w:r w:rsidRPr="000A2A12">
              <w:rPr>
                <w:rFonts w:ascii="Times New Roman" w:hAnsi="Times New Roman" w:cs="Times New Roman"/>
                <w:sz w:val="24"/>
                <w:szCs w:val="24"/>
                <w:lang w:val="uk-UA"/>
              </w:rPr>
              <w:t>4.3. Придбання засобів інформатизації для органів виконавчої влади та органів місцевого самоврядування</w:t>
            </w:r>
          </w:p>
          <w:p w:rsidR="0022768E" w:rsidRPr="000A2A12" w:rsidRDefault="0022768E" w:rsidP="000A2A12">
            <w:pPr>
              <w:spacing w:after="0" w:line="240" w:lineRule="auto"/>
              <w:ind w:left="18" w:hanging="18"/>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засобів інформатизації</w:t>
            </w:r>
          </w:p>
        </w:tc>
        <w:tc>
          <w:tcPr>
            <w:tcW w:w="2747"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450</w:t>
            </w:r>
          </w:p>
        </w:tc>
        <w:tc>
          <w:tcPr>
            <w:tcW w:w="1374"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150</w:t>
            </w:r>
          </w:p>
        </w:tc>
        <w:tc>
          <w:tcPr>
            <w:tcW w:w="1310"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150</w:t>
            </w:r>
          </w:p>
        </w:tc>
        <w:tc>
          <w:tcPr>
            <w:tcW w:w="1001"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150</w:t>
            </w:r>
          </w:p>
        </w:tc>
      </w:tr>
      <w:tr w:rsidR="0022768E"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ind w:left="18" w:hanging="18"/>
              <w:rPr>
                <w:rFonts w:ascii="Times New Roman" w:hAnsi="Times New Roman" w:cs="Times New Roman"/>
                <w:sz w:val="24"/>
                <w:szCs w:val="24"/>
                <w:lang w:val="uk-UA"/>
              </w:rPr>
            </w:pPr>
            <w:r w:rsidRPr="000A2A12">
              <w:rPr>
                <w:rFonts w:ascii="Times New Roman" w:hAnsi="Times New Roman" w:cs="Times New Roman"/>
                <w:sz w:val="24"/>
                <w:szCs w:val="24"/>
                <w:lang w:val="uk-UA"/>
              </w:rPr>
              <w:t xml:space="preserve">4.4. Придбання засобів обладнання, ліцензійного програмного забезпечення, комплектуючих частин та приладів для ТКЦ області </w:t>
            </w:r>
          </w:p>
          <w:p w:rsidR="0022768E" w:rsidRPr="000A2A12" w:rsidRDefault="0022768E" w:rsidP="000A2A12">
            <w:pPr>
              <w:spacing w:after="0" w:line="240" w:lineRule="auto"/>
              <w:ind w:left="18" w:hanging="18"/>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обладнання та ліцензій</w:t>
            </w:r>
          </w:p>
        </w:tc>
        <w:tc>
          <w:tcPr>
            <w:tcW w:w="2747"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3000</w:t>
            </w:r>
          </w:p>
        </w:tc>
        <w:tc>
          <w:tcPr>
            <w:tcW w:w="1374"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1000</w:t>
            </w:r>
          </w:p>
        </w:tc>
        <w:tc>
          <w:tcPr>
            <w:tcW w:w="1310"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1000</w:t>
            </w:r>
          </w:p>
        </w:tc>
        <w:tc>
          <w:tcPr>
            <w:tcW w:w="1001"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1000</w:t>
            </w:r>
          </w:p>
        </w:tc>
      </w:tr>
      <w:tr w:rsidR="0022768E" w:rsidRPr="000A2A12" w:rsidTr="0022768E">
        <w:trPr>
          <w:jc w:val="center"/>
        </w:trPr>
        <w:tc>
          <w:tcPr>
            <w:tcW w:w="5525"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ind w:left="18" w:hanging="18"/>
              <w:rPr>
                <w:rFonts w:ascii="Times New Roman" w:hAnsi="Times New Roman" w:cs="Times New Roman"/>
                <w:sz w:val="24"/>
                <w:szCs w:val="24"/>
                <w:lang w:val="uk-UA"/>
              </w:rPr>
            </w:pPr>
            <w:r w:rsidRPr="000A2A12">
              <w:rPr>
                <w:rFonts w:ascii="Times New Roman" w:hAnsi="Times New Roman" w:cs="Times New Roman"/>
                <w:sz w:val="24"/>
                <w:szCs w:val="24"/>
                <w:lang w:val="uk-UA"/>
              </w:rPr>
              <w:t>4.5. Поновлення ліцензій на використання раніше придбаного програмного забезпечення</w:t>
            </w:r>
          </w:p>
          <w:p w:rsidR="0022768E" w:rsidRPr="000A2A12" w:rsidRDefault="0022768E" w:rsidP="000A2A12">
            <w:pPr>
              <w:spacing w:after="0" w:line="240" w:lineRule="auto"/>
              <w:ind w:left="18" w:hanging="18"/>
              <w:rPr>
                <w:rFonts w:ascii="Times New Roman" w:hAnsi="Times New Roman" w:cs="Times New Roman"/>
                <w:sz w:val="24"/>
                <w:szCs w:val="24"/>
                <w:lang w:val="uk-UA"/>
              </w:rPr>
            </w:pPr>
          </w:p>
        </w:tc>
        <w:tc>
          <w:tcPr>
            <w:tcW w:w="3373" w:type="dxa"/>
            <w:tcBorders>
              <w:top w:val="single" w:sz="4" w:space="0" w:color="auto"/>
              <w:left w:val="single" w:sz="4" w:space="0" w:color="auto"/>
              <w:bottom w:val="single" w:sz="4" w:space="0" w:color="auto"/>
              <w:right w:val="single" w:sz="4" w:space="0" w:color="auto"/>
            </w:tcBorders>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Кількість ліцензій</w:t>
            </w:r>
          </w:p>
        </w:tc>
        <w:tc>
          <w:tcPr>
            <w:tcW w:w="2747"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15000</w:t>
            </w:r>
          </w:p>
        </w:tc>
        <w:tc>
          <w:tcPr>
            <w:tcW w:w="1374"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5000</w:t>
            </w:r>
          </w:p>
        </w:tc>
        <w:tc>
          <w:tcPr>
            <w:tcW w:w="1310"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5000</w:t>
            </w:r>
          </w:p>
        </w:tc>
        <w:tc>
          <w:tcPr>
            <w:tcW w:w="1001" w:type="dxa"/>
            <w:tcBorders>
              <w:top w:val="single" w:sz="4" w:space="0" w:color="auto"/>
              <w:left w:val="single" w:sz="4" w:space="0" w:color="auto"/>
              <w:bottom w:val="single" w:sz="4" w:space="0" w:color="auto"/>
              <w:right w:val="single" w:sz="4" w:space="0" w:color="auto"/>
            </w:tcBorders>
            <w:hideMark/>
          </w:tcPr>
          <w:p w:rsidR="0022768E" w:rsidRPr="000A2A12" w:rsidRDefault="0022768E" w:rsidP="000A2A12">
            <w:pPr>
              <w:spacing w:after="0" w:line="240" w:lineRule="auto"/>
              <w:jc w:val="center"/>
              <w:rPr>
                <w:rFonts w:ascii="Times New Roman" w:hAnsi="Times New Roman" w:cs="Times New Roman"/>
                <w:sz w:val="24"/>
                <w:szCs w:val="24"/>
                <w:lang w:val="uk-UA"/>
              </w:rPr>
            </w:pPr>
            <w:r w:rsidRPr="000A2A12">
              <w:rPr>
                <w:rFonts w:ascii="Times New Roman" w:hAnsi="Times New Roman" w:cs="Times New Roman"/>
                <w:sz w:val="24"/>
                <w:szCs w:val="24"/>
                <w:lang w:val="uk-UA"/>
              </w:rPr>
              <w:t>5000</w:t>
            </w:r>
          </w:p>
        </w:tc>
      </w:tr>
    </w:tbl>
    <w:p w:rsidR="000A2A12" w:rsidRPr="000A2A12" w:rsidRDefault="000A2A12" w:rsidP="000A2A12">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0"/>
          <w:szCs w:val="28"/>
          <w:lang w:val="uk-UA"/>
        </w:rPr>
      </w:pPr>
    </w:p>
    <w:p w:rsidR="000A2A12" w:rsidRPr="000A2A12" w:rsidRDefault="000A2A12" w:rsidP="000A2A12">
      <w:pPr>
        <w:widowControl w:val="0"/>
        <w:shd w:val="clear" w:color="auto" w:fill="FFFFFF"/>
        <w:tabs>
          <w:tab w:val="left" w:pos="1330"/>
        </w:tabs>
        <w:autoSpaceDE w:val="0"/>
        <w:autoSpaceDN w:val="0"/>
        <w:adjustRightInd w:val="0"/>
        <w:spacing w:after="0" w:line="240" w:lineRule="auto"/>
        <w:jc w:val="center"/>
        <w:rPr>
          <w:rFonts w:ascii="Times New Roman" w:hAnsi="Times New Roman" w:cs="Times New Roman"/>
          <w:b/>
          <w:color w:val="000000"/>
          <w:sz w:val="28"/>
          <w:szCs w:val="28"/>
          <w:lang w:val="uk-UA"/>
        </w:rPr>
      </w:pPr>
      <w:r w:rsidRPr="000A2A12">
        <w:rPr>
          <w:rFonts w:ascii="Times New Roman" w:hAnsi="Times New Roman" w:cs="Times New Roman"/>
          <w:b/>
          <w:color w:val="000000"/>
          <w:sz w:val="28"/>
          <w:szCs w:val="28"/>
          <w:lang w:val="uk-UA"/>
        </w:rPr>
        <w:t xml:space="preserve">ІІ. Якісні показники виконання </w:t>
      </w:r>
      <w:r w:rsidR="0022768E">
        <w:rPr>
          <w:rFonts w:ascii="Times New Roman" w:hAnsi="Times New Roman" w:cs="Times New Roman"/>
          <w:b/>
          <w:color w:val="000000"/>
          <w:sz w:val="28"/>
          <w:szCs w:val="28"/>
          <w:lang w:val="uk-UA"/>
        </w:rPr>
        <w:t>п</w:t>
      </w:r>
      <w:r w:rsidRPr="000A2A12">
        <w:rPr>
          <w:rFonts w:ascii="Times New Roman" w:hAnsi="Times New Roman" w:cs="Times New Roman"/>
          <w:b/>
          <w:color w:val="000000"/>
          <w:sz w:val="28"/>
          <w:szCs w:val="28"/>
          <w:lang w:val="uk-UA"/>
        </w:rPr>
        <w:t>рограми</w:t>
      </w:r>
    </w:p>
    <w:p w:rsidR="000A2A12" w:rsidRPr="000A2A12" w:rsidRDefault="000A2A12" w:rsidP="000A2A12">
      <w:pPr>
        <w:spacing w:after="0" w:line="240" w:lineRule="auto"/>
        <w:ind w:firstLine="76"/>
        <w:rPr>
          <w:rFonts w:ascii="Times New Roman" w:hAnsi="Times New Roman" w:cs="Times New Roman"/>
          <w:b/>
          <w:sz w:val="12"/>
          <w:szCs w:val="28"/>
          <w:lang w:val="uk-UA"/>
        </w:rPr>
      </w:pPr>
    </w:p>
    <w:p w:rsidR="000A2A12" w:rsidRP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 xml:space="preserve">Вивчення кращого досвіду, створення умов для міжрегіонального обміну досвідом та організаційно-технічної бази для вирішення спільних проблем; стимулювання використання інформаційних технологій у діяльності органів виконавчої влади та органів місцевого самоврядування; </w:t>
      </w:r>
    </w:p>
    <w:p w:rsidR="000A2A12" w:rsidRP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побудова сучасної регіональної системи публічного управління з питань розвитку області;</w:t>
      </w:r>
    </w:p>
    <w:p w:rsidR="000A2A12" w:rsidRP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підвищення ступеня інтегрованості області у світовий інформаційний простір;</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 xml:space="preserve">охоплення системами </w:t>
      </w:r>
      <w:proofErr w:type="spellStart"/>
      <w:r w:rsidRPr="000A2A12">
        <w:rPr>
          <w:rFonts w:ascii="Times New Roman" w:hAnsi="Times New Roman" w:cs="Times New Roman"/>
          <w:sz w:val="28"/>
          <w:szCs w:val="28"/>
          <w:lang w:val="uk-UA"/>
        </w:rPr>
        <w:t>безпаперового</w:t>
      </w:r>
      <w:proofErr w:type="spellEnd"/>
      <w:r w:rsidRPr="000A2A12">
        <w:rPr>
          <w:rFonts w:ascii="Times New Roman" w:hAnsi="Times New Roman" w:cs="Times New Roman"/>
          <w:sz w:val="28"/>
          <w:szCs w:val="28"/>
          <w:lang w:val="uk-UA"/>
        </w:rPr>
        <w:t xml:space="preserve"> документообігу </w:t>
      </w:r>
      <w:r w:rsidR="0022768E">
        <w:rPr>
          <w:rFonts w:ascii="Times New Roman" w:hAnsi="Times New Roman" w:cs="Times New Roman"/>
          <w:sz w:val="28"/>
          <w:szCs w:val="28"/>
          <w:lang w:val="uk-UA"/>
        </w:rPr>
        <w:t>в</w:t>
      </w:r>
      <w:r w:rsidRPr="000A2A12">
        <w:rPr>
          <w:rFonts w:ascii="Times New Roman" w:hAnsi="Times New Roman" w:cs="Times New Roman"/>
          <w:sz w:val="28"/>
          <w:szCs w:val="28"/>
          <w:lang w:val="uk-UA"/>
        </w:rPr>
        <w:t>сіх органів місцевої виконавчої влади та органів місцевого самоврядування з використанням електронного цифрового підпису та інших систем ідентифікації. Поширення системи в об’єднаних територіальних громадах, сільських, селищних радах та інших органах влади регіону й місцевого самоврядування;</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lastRenderedPageBreak/>
        <w:t xml:space="preserve">упровадження типових рішень, електронних сервісів та систем для міст, районів та ОТГ області у сфері розвитку </w:t>
      </w:r>
      <w:r w:rsidRPr="000A2A12">
        <w:rPr>
          <w:rFonts w:ascii="Times New Roman" w:hAnsi="Times New Roman" w:cs="Times New Roman"/>
          <w:sz w:val="28"/>
          <w:szCs w:val="28"/>
          <w:lang w:val="uk-UA"/>
        </w:rPr>
        <w:br/>
        <w:t>е-урядування та е-демократії, у тому числі щодо організації та створення цифрових робочих місць;</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 xml:space="preserve">залучення громадян до процесів прийняття та оцінювання управлінських рішень області шляхом широкого застосування інформаційно-комунікаційних технологій, </w:t>
      </w:r>
      <w:r w:rsidR="00DD5448">
        <w:rPr>
          <w:rFonts w:ascii="Times New Roman" w:hAnsi="Times New Roman" w:cs="Times New Roman"/>
          <w:sz w:val="28"/>
          <w:szCs w:val="28"/>
          <w:lang w:val="uk-UA"/>
        </w:rPr>
        <w:t>у</w:t>
      </w:r>
      <w:r w:rsidRPr="000A2A12">
        <w:rPr>
          <w:rFonts w:ascii="Times New Roman" w:hAnsi="Times New Roman" w:cs="Times New Roman"/>
          <w:sz w:val="28"/>
          <w:szCs w:val="28"/>
          <w:lang w:val="uk-UA"/>
        </w:rPr>
        <w:t>провадження та підтримки в актуальному стані на офіційних сайтах усіх органів місцевої виконавчої влади та органів місцевого самоврядування області електронних сервісів звернень громадян, обговорень проектів розпорядчих документів, бюджету участі, формування електронних платформ громадських рад тощо;</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забезпечення необхідного рівня надійності функціонування та резервування обладнання РДЦ, можливості нарощування потужності РДЦ з урахуванням подальшого розширення (масштабування) ІТ-обладнання;</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 xml:space="preserve">забезпечення доступу для громадян та бізнес-структур на всій території області до систем електронних сервісів через розвиток телекомунікаційного середовища та </w:t>
      </w:r>
      <w:r w:rsidR="00DD5448">
        <w:rPr>
          <w:rFonts w:ascii="Times New Roman" w:hAnsi="Times New Roman" w:cs="Times New Roman"/>
          <w:sz w:val="28"/>
          <w:szCs w:val="28"/>
          <w:lang w:val="uk-UA"/>
        </w:rPr>
        <w:t>в</w:t>
      </w:r>
      <w:r w:rsidRPr="000A2A12">
        <w:rPr>
          <w:rFonts w:ascii="Times New Roman" w:hAnsi="Times New Roman" w:cs="Times New Roman"/>
          <w:sz w:val="28"/>
          <w:szCs w:val="28"/>
          <w:lang w:val="uk-UA"/>
        </w:rPr>
        <w:t>провадження електронних сервісів у сфері освіти, охорони здоров’я та житлово-комунального господарства тощо;</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упровадження технологій швидкісної передачі даних до органів влади та органів місцевого самоврядування;</w:t>
      </w:r>
    </w:p>
    <w:p w:rsidR="000A2A12" w:rsidRPr="000A2A12" w:rsidRDefault="000A2A12" w:rsidP="0022768E">
      <w:pPr>
        <w:spacing w:after="0" w:line="240" w:lineRule="auto"/>
        <w:ind w:left="29"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забезпечення захисту інформації в СІАЗ області відповідно до вимог чинного законодавства;</w:t>
      </w:r>
    </w:p>
    <w:p w:rsidR="000A2A12" w:rsidRP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забезпечення безперебійного функціонування регіональних інформаційних систем;</w:t>
      </w:r>
    </w:p>
    <w:p w:rsidR="000A2A12" w:rsidRP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оснащення сучасною комп’ютерною технікою місцевих органів виконавчої влади й органів місцевого самоврядування (у тому числі структурних підрозділів облдержадміністрації та обласної ради);</w:t>
      </w:r>
    </w:p>
    <w:p w:rsidR="000A2A12" w:rsidRDefault="000A2A12" w:rsidP="0022768E">
      <w:pPr>
        <w:spacing w:after="0" w:line="240" w:lineRule="auto"/>
        <w:ind w:firstLine="709"/>
        <w:jc w:val="both"/>
        <w:rPr>
          <w:rFonts w:ascii="Times New Roman" w:hAnsi="Times New Roman" w:cs="Times New Roman"/>
          <w:sz w:val="28"/>
          <w:szCs w:val="28"/>
          <w:lang w:val="uk-UA"/>
        </w:rPr>
      </w:pPr>
      <w:r w:rsidRPr="000A2A12">
        <w:rPr>
          <w:rFonts w:ascii="Times New Roman" w:hAnsi="Times New Roman" w:cs="Times New Roman"/>
          <w:sz w:val="28"/>
          <w:szCs w:val="28"/>
          <w:lang w:val="uk-UA"/>
        </w:rPr>
        <w:t>надійне функціонування ТКЦ області та дотримання вимог законодавства у сфері ліцензування програмного забезпечення.</w:t>
      </w:r>
    </w:p>
    <w:p w:rsidR="000A2A12" w:rsidRDefault="000A2A12" w:rsidP="0022768E">
      <w:pPr>
        <w:spacing w:after="0" w:line="240" w:lineRule="auto"/>
        <w:ind w:firstLine="709"/>
        <w:jc w:val="both"/>
        <w:rPr>
          <w:rFonts w:ascii="Times New Roman" w:hAnsi="Times New Roman" w:cs="Times New Roman"/>
          <w:sz w:val="20"/>
          <w:szCs w:val="28"/>
          <w:lang w:val="uk-UA"/>
        </w:rPr>
      </w:pPr>
    </w:p>
    <w:p w:rsidR="000A2A12" w:rsidRDefault="000A2A12" w:rsidP="0022768E">
      <w:pPr>
        <w:spacing w:after="0" w:line="240" w:lineRule="auto"/>
        <w:ind w:firstLine="709"/>
        <w:jc w:val="both"/>
        <w:rPr>
          <w:rFonts w:ascii="Times New Roman" w:hAnsi="Times New Roman" w:cs="Times New Roman"/>
          <w:sz w:val="20"/>
          <w:szCs w:val="28"/>
          <w:lang w:val="uk-UA"/>
        </w:rPr>
      </w:pPr>
    </w:p>
    <w:p w:rsidR="000A2A12" w:rsidRPr="000A2A12" w:rsidRDefault="000A2A12" w:rsidP="0022768E">
      <w:pPr>
        <w:spacing w:after="0" w:line="240" w:lineRule="auto"/>
        <w:ind w:firstLine="709"/>
        <w:jc w:val="both"/>
        <w:rPr>
          <w:rFonts w:ascii="Times New Roman" w:hAnsi="Times New Roman" w:cs="Times New Roman"/>
          <w:sz w:val="20"/>
          <w:szCs w:val="28"/>
          <w:lang w:val="uk-UA"/>
        </w:rPr>
      </w:pPr>
    </w:p>
    <w:p w:rsidR="000A2A12" w:rsidRPr="00CA6E13" w:rsidRDefault="000A2A12" w:rsidP="00DD5448">
      <w:pPr>
        <w:spacing w:after="0" w:line="240" w:lineRule="auto"/>
        <w:jc w:val="both"/>
        <w:rPr>
          <w:rFonts w:ascii="Times New Roman" w:hAnsi="Times New Roman" w:cs="Times New Roman"/>
          <w:b/>
          <w:bCs/>
          <w:sz w:val="28"/>
          <w:szCs w:val="28"/>
          <w:lang w:val="uk-UA"/>
        </w:rPr>
      </w:pPr>
      <w:r w:rsidRPr="00CA6E13">
        <w:rPr>
          <w:rFonts w:ascii="Times New Roman" w:hAnsi="Times New Roman" w:cs="Times New Roman"/>
          <w:b/>
          <w:bCs/>
          <w:sz w:val="28"/>
          <w:szCs w:val="28"/>
          <w:lang w:val="uk-UA"/>
        </w:rPr>
        <w:t xml:space="preserve">Перший заступник голови </w:t>
      </w:r>
    </w:p>
    <w:p w:rsidR="000A2A12" w:rsidRDefault="000A2A12" w:rsidP="00DD5448">
      <w:pPr>
        <w:spacing w:after="0" w:line="240" w:lineRule="auto"/>
        <w:jc w:val="both"/>
        <w:rPr>
          <w:rFonts w:ascii="Times New Roman" w:hAnsi="Times New Roman" w:cs="Times New Roman"/>
          <w:b/>
          <w:bCs/>
          <w:sz w:val="28"/>
          <w:szCs w:val="28"/>
          <w:lang w:val="uk-UA"/>
        </w:rPr>
      </w:pPr>
      <w:r w:rsidRPr="00CA6E13">
        <w:rPr>
          <w:rFonts w:ascii="Times New Roman" w:hAnsi="Times New Roman" w:cs="Times New Roman"/>
          <w:b/>
          <w:bCs/>
          <w:sz w:val="28"/>
          <w:szCs w:val="28"/>
          <w:lang w:val="uk-UA"/>
        </w:rPr>
        <w:t xml:space="preserve">обласної ради                          </w:t>
      </w:r>
      <w:bookmarkStart w:id="0" w:name="_GoBack"/>
      <w:bookmarkEnd w:id="0"/>
      <w:r w:rsidRPr="00CA6E1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CA6E13">
        <w:rPr>
          <w:rFonts w:ascii="Times New Roman" w:hAnsi="Times New Roman" w:cs="Times New Roman"/>
          <w:b/>
          <w:bCs/>
          <w:sz w:val="28"/>
          <w:szCs w:val="28"/>
          <w:lang w:val="uk-UA"/>
        </w:rPr>
        <w:t xml:space="preserve">        </w:t>
      </w:r>
      <w:r w:rsidR="0022768E">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CA6E13">
        <w:rPr>
          <w:rFonts w:ascii="Times New Roman" w:hAnsi="Times New Roman" w:cs="Times New Roman"/>
          <w:b/>
          <w:bCs/>
          <w:sz w:val="28"/>
          <w:szCs w:val="28"/>
          <w:lang w:val="uk-UA"/>
        </w:rPr>
        <w:t xml:space="preserve">   С. ОЛІЙНИК</w:t>
      </w:r>
    </w:p>
    <w:sectPr w:rsidR="000A2A12" w:rsidSect="00A95095">
      <w:headerReference w:type="default" r:id="rId7"/>
      <w:pgSz w:w="16838" w:h="11906" w:orient="landscape"/>
      <w:pgMar w:top="1272" w:right="820" w:bottom="1702"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ED" w:rsidRDefault="006752ED" w:rsidP="0043295E">
      <w:pPr>
        <w:spacing w:after="0" w:line="240" w:lineRule="auto"/>
      </w:pPr>
      <w:r>
        <w:separator/>
      </w:r>
    </w:p>
  </w:endnote>
  <w:endnote w:type="continuationSeparator" w:id="0">
    <w:p w:rsidR="006752ED" w:rsidRDefault="006752ED" w:rsidP="0043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ED" w:rsidRDefault="006752ED" w:rsidP="0043295E">
      <w:pPr>
        <w:spacing w:after="0" w:line="240" w:lineRule="auto"/>
      </w:pPr>
      <w:r>
        <w:separator/>
      </w:r>
    </w:p>
  </w:footnote>
  <w:footnote w:type="continuationSeparator" w:id="0">
    <w:p w:rsidR="006752ED" w:rsidRDefault="006752ED" w:rsidP="0043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500560"/>
      <w:docPartObj>
        <w:docPartGallery w:val="Page Numbers (Top of Page)"/>
        <w:docPartUnique/>
      </w:docPartObj>
    </w:sdtPr>
    <w:sdtEndPr>
      <w:rPr>
        <w:rFonts w:ascii="Times New Roman" w:hAnsi="Times New Roman" w:cs="Times New Roman"/>
        <w:sz w:val="28"/>
        <w:szCs w:val="28"/>
      </w:rPr>
    </w:sdtEndPr>
    <w:sdtContent>
      <w:p w:rsidR="0043295E" w:rsidRPr="0043295E" w:rsidRDefault="0043295E" w:rsidP="0022768E">
        <w:pPr>
          <w:pStyle w:val="a3"/>
          <w:jc w:val="center"/>
          <w:rPr>
            <w:rFonts w:ascii="Times New Roman" w:hAnsi="Times New Roman" w:cs="Times New Roman"/>
            <w:sz w:val="28"/>
            <w:szCs w:val="28"/>
          </w:rPr>
        </w:pPr>
        <w:r w:rsidRPr="0043295E">
          <w:rPr>
            <w:rFonts w:ascii="Times New Roman" w:hAnsi="Times New Roman" w:cs="Times New Roman"/>
            <w:sz w:val="28"/>
            <w:szCs w:val="28"/>
          </w:rPr>
          <w:fldChar w:fldCharType="begin"/>
        </w:r>
        <w:r w:rsidRPr="0043295E">
          <w:rPr>
            <w:rFonts w:ascii="Times New Roman" w:hAnsi="Times New Roman" w:cs="Times New Roman"/>
            <w:sz w:val="28"/>
            <w:szCs w:val="28"/>
          </w:rPr>
          <w:instrText>PAGE   \* MERGEFORMAT</w:instrText>
        </w:r>
        <w:r w:rsidRPr="0043295E">
          <w:rPr>
            <w:rFonts w:ascii="Times New Roman" w:hAnsi="Times New Roman" w:cs="Times New Roman"/>
            <w:sz w:val="28"/>
            <w:szCs w:val="28"/>
          </w:rPr>
          <w:fldChar w:fldCharType="separate"/>
        </w:r>
        <w:r w:rsidR="00DD5448">
          <w:rPr>
            <w:rFonts w:ascii="Times New Roman" w:hAnsi="Times New Roman" w:cs="Times New Roman"/>
            <w:noProof/>
            <w:sz w:val="28"/>
            <w:szCs w:val="28"/>
          </w:rPr>
          <w:t>5</w:t>
        </w:r>
        <w:r w:rsidRPr="0043295E">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94"/>
    <w:rsid w:val="00024681"/>
    <w:rsid w:val="000A2A12"/>
    <w:rsid w:val="0022768E"/>
    <w:rsid w:val="0043295E"/>
    <w:rsid w:val="004848AE"/>
    <w:rsid w:val="0051315F"/>
    <w:rsid w:val="006752ED"/>
    <w:rsid w:val="007E41D2"/>
    <w:rsid w:val="008B1094"/>
    <w:rsid w:val="008B1CB0"/>
    <w:rsid w:val="0097276E"/>
    <w:rsid w:val="00A95095"/>
    <w:rsid w:val="00B34BDA"/>
    <w:rsid w:val="00BB347E"/>
    <w:rsid w:val="00BE02A0"/>
    <w:rsid w:val="00CE1D2C"/>
    <w:rsid w:val="00D14DB8"/>
    <w:rsid w:val="00DD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766CC8-AAF6-40D9-8752-9902907C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76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95E"/>
    <w:rPr>
      <w:rFonts w:ascii="Calibri" w:eastAsia="Calibri" w:hAnsi="Calibri" w:cs="Calibri"/>
    </w:rPr>
  </w:style>
  <w:style w:type="paragraph" w:styleId="a5">
    <w:name w:val="footer"/>
    <w:basedOn w:val="a"/>
    <w:link w:val="a6"/>
    <w:uiPriority w:val="99"/>
    <w:unhideWhenUsed/>
    <w:rsid w:val="00432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95E"/>
    <w:rPr>
      <w:rFonts w:ascii="Calibri" w:eastAsia="Calibri" w:hAnsi="Calibri" w:cs="Calibri"/>
    </w:rPr>
  </w:style>
  <w:style w:type="paragraph" w:styleId="a7">
    <w:name w:val="Body Text Indent"/>
    <w:basedOn w:val="a"/>
    <w:link w:val="a8"/>
    <w:rsid w:val="000A2A12"/>
    <w:pPr>
      <w:widowControl w:val="0"/>
      <w:shd w:val="clear" w:color="auto" w:fill="FFFFFF"/>
      <w:tabs>
        <w:tab w:val="left" w:pos="1330"/>
      </w:tabs>
      <w:autoSpaceDE w:val="0"/>
      <w:autoSpaceDN w:val="0"/>
      <w:adjustRightInd w:val="0"/>
      <w:spacing w:before="120" w:after="0" w:line="240" w:lineRule="auto"/>
      <w:ind w:firstLine="720"/>
      <w:jc w:val="both"/>
    </w:pPr>
    <w:rPr>
      <w:rFonts w:ascii="Bookman Old Style" w:eastAsia="Times New Roman" w:hAnsi="Bookman Old Style" w:cs="Times New Roman"/>
      <w:color w:val="000000"/>
      <w:sz w:val="26"/>
      <w:szCs w:val="28"/>
      <w:lang w:val="uk-UA" w:eastAsia="ru-RU"/>
    </w:rPr>
  </w:style>
  <w:style w:type="character" w:customStyle="1" w:styleId="a8">
    <w:name w:val="Основной текст с отступом Знак"/>
    <w:basedOn w:val="a0"/>
    <w:link w:val="a7"/>
    <w:rsid w:val="000A2A12"/>
    <w:rPr>
      <w:rFonts w:ascii="Bookman Old Style" w:eastAsia="Times New Roman" w:hAnsi="Bookman Old Style" w:cs="Times New Roman"/>
      <w:color w:val="000000"/>
      <w:sz w:val="26"/>
      <w:szCs w:val="28"/>
      <w:shd w:val="clear" w:color="auto" w:fill="FFFFFF"/>
      <w:lang w:val="uk-UA" w:eastAsia="ru-RU"/>
    </w:rPr>
  </w:style>
  <w:style w:type="paragraph" w:styleId="a9">
    <w:name w:val="Balloon Text"/>
    <w:basedOn w:val="a"/>
    <w:link w:val="aa"/>
    <w:uiPriority w:val="99"/>
    <w:semiHidden/>
    <w:unhideWhenUsed/>
    <w:rsid w:val="00BB34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34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A113-1FB1-45B3-99E8-D74C079C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2019-08-27T14:44:00Z</cp:lastPrinted>
  <dcterms:created xsi:type="dcterms:W3CDTF">2018-11-06T09:09:00Z</dcterms:created>
  <dcterms:modified xsi:type="dcterms:W3CDTF">2019-08-27T14:45:00Z</dcterms:modified>
</cp:coreProperties>
</file>