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3" w:rsidRDefault="00BE76D3" w:rsidP="00496D64">
      <w:pPr>
        <w:ind w:left="5529"/>
        <w:rPr>
          <w:sz w:val="28"/>
          <w:szCs w:val="28"/>
          <w:lang w:val="uk-UA"/>
        </w:rPr>
      </w:pPr>
    </w:p>
    <w:p w:rsidR="00723949" w:rsidRDefault="00723949" w:rsidP="00CC6E0C">
      <w:pPr>
        <w:rPr>
          <w:sz w:val="28"/>
          <w:szCs w:val="28"/>
          <w:lang w:val="uk-UA"/>
        </w:rPr>
      </w:pPr>
    </w:p>
    <w:p w:rsidR="00BE76D3" w:rsidRPr="00BE76D3" w:rsidRDefault="00BE76D3" w:rsidP="00496D64">
      <w:pPr>
        <w:ind w:left="5529"/>
        <w:rPr>
          <w:sz w:val="28"/>
          <w:szCs w:val="28"/>
          <w:lang w:val="uk-UA"/>
        </w:rPr>
      </w:pPr>
    </w:p>
    <w:p w:rsidR="004E1F6C" w:rsidRPr="0056394D" w:rsidRDefault="004E1F6C" w:rsidP="004E1F6C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6394D">
        <w:rPr>
          <w:b/>
          <w:sz w:val="28"/>
          <w:szCs w:val="28"/>
          <w:lang w:val="uk-UA"/>
        </w:rPr>
        <w:t>ПАСПОРТ</w:t>
      </w:r>
    </w:p>
    <w:p w:rsidR="004E1F6C" w:rsidRPr="0056394D" w:rsidRDefault="004E1F6C" w:rsidP="004E1F6C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6394D">
        <w:rPr>
          <w:b/>
          <w:sz w:val="28"/>
          <w:szCs w:val="28"/>
          <w:lang w:val="uk-UA"/>
        </w:rPr>
        <w:t>регіональної цільової програми</w:t>
      </w:r>
    </w:p>
    <w:p w:rsidR="004E1F6C" w:rsidRPr="0056394D" w:rsidRDefault="004E1F6C" w:rsidP="004E1F6C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4E1F6C" w:rsidRPr="0056394D" w:rsidRDefault="004E1F6C" w:rsidP="004E1F6C">
      <w:pPr>
        <w:spacing w:line="216" w:lineRule="auto"/>
        <w:ind w:firstLine="708"/>
        <w:jc w:val="both"/>
        <w:rPr>
          <w:bCs/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>1. Назва:</w:t>
      </w:r>
      <w:r w:rsidRPr="0056394D">
        <w:rPr>
          <w:b/>
          <w:bCs/>
          <w:lang w:val="uk-UA"/>
        </w:rPr>
        <w:t xml:space="preserve"> </w:t>
      </w:r>
      <w:r w:rsidRPr="0056394D">
        <w:rPr>
          <w:sz w:val="28"/>
          <w:szCs w:val="28"/>
          <w:lang w:val="uk-UA"/>
        </w:rPr>
        <w:t xml:space="preserve">Комплексна </w:t>
      </w:r>
      <w:r w:rsidRPr="0056394D">
        <w:rPr>
          <w:bCs/>
          <w:sz w:val="28"/>
          <w:szCs w:val="28"/>
          <w:lang w:val="uk-UA"/>
        </w:rPr>
        <w:t>програма з соціальної підтримки, реабілітації учасників АТО/ООС, членів їхніх сімей у Дніпропетровській області на</w:t>
      </w:r>
      <w:r w:rsidRPr="0056394D">
        <w:rPr>
          <w:sz w:val="28"/>
          <w:szCs w:val="28"/>
          <w:lang w:val="uk-UA"/>
        </w:rPr>
        <w:t xml:space="preserve"> </w:t>
      </w:r>
      <w:r w:rsidR="00916110">
        <w:rPr>
          <w:sz w:val="28"/>
          <w:szCs w:val="28"/>
          <w:lang w:val="uk-UA"/>
        </w:rPr>
        <w:t xml:space="preserve">             </w:t>
      </w:r>
      <w:r w:rsidRPr="0056394D">
        <w:rPr>
          <w:sz w:val="28"/>
          <w:szCs w:val="28"/>
          <w:lang w:val="uk-UA"/>
        </w:rPr>
        <w:t>2020 – 2022 роки.</w:t>
      </w:r>
    </w:p>
    <w:p w:rsidR="004E1F6C" w:rsidRPr="0056394D" w:rsidRDefault="004E1F6C" w:rsidP="004E1F6C">
      <w:pPr>
        <w:spacing w:line="216" w:lineRule="auto"/>
        <w:ind w:firstLine="709"/>
        <w:jc w:val="both"/>
        <w:rPr>
          <w:sz w:val="20"/>
          <w:szCs w:val="20"/>
          <w:lang w:val="uk-UA"/>
        </w:rPr>
      </w:pPr>
    </w:p>
    <w:p w:rsidR="004E1F6C" w:rsidRPr="0056394D" w:rsidRDefault="004E1F6C" w:rsidP="004E1F6C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4D">
        <w:rPr>
          <w:rFonts w:ascii="Times New Roman" w:hAnsi="Times New Roman"/>
          <w:sz w:val="28"/>
          <w:szCs w:val="28"/>
          <w:lang w:val="uk-UA"/>
        </w:rPr>
        <w:t xml:space="preserve">2. Підстава для розроблення: закони України: </w:t>
      </w:r>
      <w:r>
        <w:rPr>
          <w:rFonts w:ascii="Times New Roman" w:hAnsi="Times New Roman"/>
          <w:sz w:val="28"/>
          <w:szCs w:val="28"/>
          <w:lang w:val="uk-UA"/>
        </w:rPr>
        <w:t>,,</w:t>
      </w:r>
      <w:r w:rsidRPr="0056394D">
        <w:rPr>
          <w:rFonts w:ascii="Times New Roman" w:hAnsi="Times New Roman"/>
          <w:sz w:val="28"/>
          <w:szCs w:val="28"/>
          <w:lang w:val="uk-UA"/>
        </w:rPr>
        <w:t>Про мі</w:t>
      </w:r>
      <w:r>
        <w:rPr>
          <w:rFonts w:ascii="Times New Roman" w:hAnsi="Times New Roman"/>
          <w:sz w:val="28"/>
          <w:szCs w:val="28"/>
          <w:lang w:val="uk-UA"/>
        </w:rPr>
        <w:t>сцеві державні адміністрації”, ,,</w:t>
      </w:r>
      <w:r w:rsidRPr="0056394D">
        <w:rPr>
          <w:rFonts w:ascii="Times New Roman" w:hAnsi="Times New Roman"/>
          <w:sz w:val="28"/>
          <w:szCs w:val="28"/>
          <w:lang w:val="uk-UA"/>
        </w:rPr>
        <w:t>Про статус ветеранів війни, гар</w:t>
      </w:r>
      <w:r w:rsidR="00CC6E0C">
        <w:rPr>
          <w:rFonts w:ascii="Times New Roman" w:hAnsi="Times New Roman"/>
          <w:sz w:val="28"/>
          <w:szCs w:val="28"/>
          <w:lang w:val="uk-UA"/>
        </w:rPr>
        <w:t>антії їх соціального захисту”, ,,</w:t>
      </w:r>
      <w:r w:rsidRPr="0056394D">
        <w:rPr>
          <w:rFonts w:ascii="Times New Roman" w:hAnsi="Times New Roman"/>
          <w:sz w:val="28"/>
          <w:szCs w:val="28"/>
          <w:lang w:val="uk-UA"/>
        </w:rPr>
        <w:t>Про соціальний та правовий захист військовослужбовців та членів їх сімей”, Земельний кодекс України, рішення Дніпропетр</w:t>
      </w:r>
      <w:r w:rsidR="00CC6E0C">
        <w:rPr>
          <w:rFonts w:ascii="Times New Roman" w:hAnsi="Times New Roman"/>
          <w:sz w:val="28"/>
          <w:szCs w:val="28"/>
          <w:lang w:val="uk-UA"/>
        </w:rPr>
        <w:t xml:space="preserve">овської обласної ради від                15 червня </w:t>
      </w:r>
      <w:r w:rsidRPr="0056394D">
        <w:rPr>
          <w:rFonts w:ascii="Times New Roman" w:hAnsi="Times New Roman"/>
          <w:sz w:val="28"/>
          <w:szCs w:val="28"/>
          <w:lang w:val="uk-UA"/>
        </w:rPr>
        <w:t xml:space="preserve">2016 № 52-4/VІІ </w:t>
      </w:r>
      <w:r>
        <w:rPr>
          <w:rFonts w:ascii="Times New Roman" w:hAnsi="Times New Roman"/>
          <w:sz w:val="28"/>
          <w:szCs w:val="28"/>
          <w:lang w:val="uk-UA"/>
        </w:rPr>
        <w:t>,,</w:t>
      </w:r>
      <w:r w:rsidRPr="0056394D">
        <w:rPr>
          <w:rFonts w:ascii="Times New Roman" w:hAnsi="Times New Roman"/>
          <w:sz w:val="28"/>
          <w:szCs w:val="28"/>
          <w:lang w:val="uk-UA"/>
        </w:rPr>
        <w:t>Рішення про визнання бійців-добровольців, які брали участь у захисті територіальної цілісності та державного суверенітету на сході України”.</w:t>
      </w:r>
    </w:p>
    <w:p w:rsidR="004E1F6C" w:rsidRPr="0056394D" w:rsidRDefault="004E1F6C" w:rsidP="004E1F6C">
      <w:pPr>
        <w:spacing w:line="216" w:lineRule="auto"/>
        <w:ind w:firstLine="709"/>
        <w:jc w:val="both"/>
        <w:rPr>
          <w:sz w:val="20"/>
          <w:szCs w:val="20"/>
          <w:lang w:val="uk-UA"/>
        </w:rPr>
      </w:pPr>
    </w:p>
    <w:p w:rsidR="004E1F6C" w:rsidRPr="0056394D" w:rsidRDefault="004E1F6C" w:rsidP="004E1F6C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>3. Регіональний замовник програми або координатор:</w:t>
      </w:r>
      <w:r w:rsidRPr="0056394D">
        <w:rPr>
          <w:b/>
          <w:sz w:val="28"/>
          <w:szCs w:val="28"/>
          <w:lang w:val="uk-UA"/>
        </w:rPr>
        <w:t xml:space="preserve"> </w:t>
      </w:r>
      <w:r w:rsidRPr="0056394D">
        <w:rPr>
          <w:sz w:val="28"/>
          <w:szCs w:val="28"/>
          <w:lang w:val="uk-UA"/>
        </w:rPr>
        <w:t>управління з питань учасників АТО облдержадміністрації.</w:t>
      </w:r>
    </w:p>
    <w:p w:rsidR="004E1F6C" w:rsidRPr="0056394D" w:rsidRDefault="004E1F6C" w:rsidP="004E1F6C">
      <w:pPr>
        <w:spacing w:line="216" w:lineRule="auto"/>
        <w:ind w:firstLine="709"/>
        <w:jc w:val="both"/>
        <w:rPr>
          <w:sz w:val="20"/>
          <w:szCs w:val="20"/>
          <w:lang w:val="uk-UA"/>
        </w:rPr>
      </w:pPr>
    </w:p>
    <w:p w:rsidR="004E1F6C" w:rsidRPr="0056394D" w:rsidRDefault="004E1F6C" w:rsidP="004E1F6C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4. </w:t>
      </w:r>
      <w:proofErr w:type="spellStart"/>
      <w:r w:rsidRPr="0056394D">
        <w:rPr>
          <w:sz w:val="28"/>
          <w:szCs w:val="28"/>
          <w:lang w:val="uk-UA"/>
        </w:rPr>
        <w:t>Співзамовники</w:t>
      </w:r>
      <w:proofErr w:type="spellEnd"/>
      <w:r w:rsidRPr="0056394D">
        <w:rPr>
          <w:sz w:val="28"/>
          <w:szCs w:val="28"/>
          <w:lang w:val="uk-UA"/>
        </w:rPr>
        <w:t xml:space="preserve"> програми: відсутні.</w:t>
      </w:r>
    </w:p>
    <w:p w:rsidR="004E1F6C" w:rsidRPr="0056394D" w:rsidRDefault="004E1F6C" w:rsidP="004E1F6C">
      <w:pPr>
        <w:spacing w:line="216" w:lineRule="auto"/>
        <w:ind w:firstLine="709"/>
        <w:jc w:val="both"/>
        <w:rPr>
          <w:lang w:val="uk-UA"/>
        </w:rPr>
      </w:pPr>
    </w:p>
    <w:p w:rsidR="004E1F6C" w:rsidRPr="0056394D" w:rsidRDefault="004E1F6C" w:rsidP="004E1F6C">
      <w:pPr>
        <w:spacing w:line="21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5. Відповідальні за виконання: управління з питань учасників АТО облдержадміністрації, </w:t>
      </w:r>
      <w:r w:rsidRPr="0056394D">
        <w:rPr>
          <w:color w:val="000000"/>
          <w:sz w:val="28"/>
          <w:szCs w:val="28"/>
          <w:lang w:val="uk-UA"/>
        </w:rPr>
        <w:t>управління  культури, національностей і релігій облдержадміністрації,</w:t>
      </w:r>
      <w:r w:rsidRPr="0056394D">
        <w:rPr>
          <w:sz w:val="28"/>
          <w:szCs w:val="28"/>
          <w:lang w:val="uk-UA"/>
        </w:rPr>
        <w:t xml:space="preserve"> </w:t>
      </w:r>
      <w:r w:rsidRPr="0056394D">
        <w:rPr>
          <w:color w:val="000000"/>
          <w:sz w:val="28"/>
          <w:szCs w:val="28"/>
          <w:lang w:val="uk-UA"/>
        </w:rPr>
        <w:t>управління молоді і спорту облдержадмініс</w:t>
      </w:r>
      <w:r w:rsidR="00CC6E0C">
        <w:rPr>
          <w:color w:val="000000"/>
          <w:sz w:val="28"/>
          <w:szCs w:val="28"/>
          <w:lang w:val="uk-UA"/>
        </w:rPr>
        <w:t>трації, громадська організація ,,</w:t>
      </w:r>
      <w:r w:rsidRPr="0056394D">
        <w:rPr>
          <w:color w:val="000000"/>
          <w:sz w:val="28"/>
          <w:szCs w:val="28"/>
          <w:lang w:val="uk-UA"/>
        </w:rPr>
        <w:t xml:space="preserve">Дніпропетровська обласна організація фізкультурно-спортивного товариства </w:t>
      </w:r>
      <w:r>
        <w:rPr>
          <w:color w:val="000000"/>
          <w:sz w:val="28"/>
          <w:szCs w:val="28"/>
          <w:lang w:val="uk-UA"/>
        </w:rPr>
        <w:t>,,</w:t>
      </w:r>
      <w:r w:rsidRPr="0056394D">
        <w:rPr>
          <w:color w:val="000000"/>
          <w:sz w:val="28"/>
          <w:szCs w:val="28"/>
          <w:lang w:val="uk-UA"/>
        </w:rPr>
        <w:t xml:space="preserve">Спартак” (за згодою), райдержадміністрації, виконавчі комітети міських рад (за згодою), об’єднані територіальні громади (за згодою). </w:t>
      </w:r>
    </w:p>
    <w:p w:rsidR="004E1F6C" w:rsidRPr="0056394D" w:rsidRDefault="004E1F6C" w:rsidP="004E1F6C">
      <w:pPr>
        <w:spacing w:line="216" w:lineRule="auto"/>
        <w:ind w:firstLine="709"/>
        <w:jc w:val="both"/>
        <w:rPr>
          <w:color w:val="000000"/>
          <w:sz w:val="20"/>
          <w:szCs w:val="20"/>
          <w:lang w:val="uk-UA"/>
        </w:rPr>
      </w:pPr>
    </w:p>
    <w:p w:rsidR="004E1F6C" w:rsidRPr="0056394D" w:rsidRDefault="004E1F6C" w:rsidP="004E1F6C">
      <w:pPr>
        <w:suppressAutoHyphens/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>6. Мета: підвищення кількості та якості надання послуг з соціальної підтримки, реабілітації, ефективності проведення регіональної політики щодо поліпшення якості життя, впровадження нових механізмів посилення надання послуг з підтримки таких категорій осіб:</w:t>
      </w:r>
    </w:p>
    <w:p w:rsidR="004E1F6C" w:rsidRPr="0056394D" w:rsidRDefault="004E1F6C" w:rsidP="004E1F6C">
      <w:pPr>
        <w:suppressAutoHyphens/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учасники бойових дій, визначені пунктами 19, 20 частини першої статті </w:t>
      </w:r>
      <w:r>
        <w:rPr>
          <w:sz w:val="28"/>
          <w:szCs w:val="28"/>
          <w:lang w:val="uk-UA"/>
        </w:rPr>
        <w:t>6 Закону України ,,</w:t>
      </w:r>
      <w:r w:rsidRPr="0056394D">
        <w:rPr>
          <w:sz w:val="28"/>
          <w:szCs w:val="28"/>
          <w:lang w:val="uk-UA"/>
        </w:rPr>
        <w:t>Про статус ветеранів війни, гарантії їх соціальног</w:t>
      </w:r>
      <w:r w:rsidR="00CC6E0C">
        <w:rPr>
          <w:sz w:val="28"/>
          <w:szCs w:val="28"/>
          <w:lang w:val="uk-UA"/>
        </w:rPr>
        <w:t>о захисту” (далі – Закон,</w:t>
      </w:r>
      <w:r w:rsidRPr="0056394D">
        <w:rPr>
          <w:sz w:val="28"/>
          <w:szCs w:val="28"/>
          <w:lang w:val="uk-UA"/>
        </w:rPr>
        <w:t xml:space="preserve"> учасники АТО/ООС);</w:t>
      </w:r>
    </w:p>
    <w:p w:rsidR="004E1F6C" w:rsidRPr="0056394D" w:rsidRDefault="004E1F6C" w:rsidP="004E1F6C">
      <w:pPr>
        <w:suppressAutoHyphens/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>особи з інвалідністю, визначені пунктами 11, 12, 13, 14 частини другої статті 7 Закону (далі – особи, які отримали інвалідність внаслідок участі в АТО/ООС);</w:t>
      </w:r>
    </w:p>
    <w:p w:rsidR="004E1F6C" w:rsidRPr="0056394D" w:rsidRDefault="004E1F6C" w:rsidP="004E1F6C">
      <w:pPr>
        <w:suppressAutoHyphens/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особи, визначені абзацами </w:t>
      </w:r>
      <w:r w:rsidRPr="0056394D">
        <w:rPr>
          <w:bCs/>
          <w:sz w:val="28"/>
          <w:szCs w:val="28"/>
          <w:lang w:val="uk-UA" w:eastAsia="zh-CN"/>
        </w:rPr>
        <w:t xml:space="preserve">четвертим, п’ятим, шостим, сьомим та восьмим пункту 1 </w:t>
      </w:r>
      <w:r w:rsidRPr="0056394D">
        <w:rPr>
          <w:sz w:val="28"/>
          <w:szCs w:val="28"/>
          <w:lang w:val="uk-UA"/>
        </w:rPr>
        <w:t>статті 10 Закону (далі – члени сімей загиблих учасників АТО/ООС);</w:t>
      </w:r>
    </w:p>
    <w:p w:rsidR="004E1F6C" w:rsidRPr="0056394D" w:rsidRDefault="004E1F6C" w:rsidP="004E1F6C">
      <w:pPr>
        <w:suppressAutoHyphens/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бійці-добровольці, які брали участь у захисті територіальної цілісності та державного суверенітету на сході України (особи із числа мешканців Дніпропетровської області, які визнані добровольцями відповідно до рішення Дніпропетровської обласної ради від 15 червня 2016 року </w:t>
      </w:r>
      <w:r w:rsidR="00916110">
        <w:rPr>
          <w:sz w:val="28"/>
          <w:szCs w:val="28"/>
          <w:lang w:val="uk-UA"/>
        </w:rPr>
        <w:t xml:space="preserve">                                    </w:t>
      </w:r>
      <w:r w:rsidRPr="0056394D">
        <w:rPr>
          <w:sz w:val="28"/>
          <w:szCs w:val="28"/>
          <w:lang w:val="uk-UA"/>
        </w:rPr>
        <w:t xml:space="preserve">№ 52-4/VІІ </w:t>
      </w:r>
      <w:r>
        <w:rPr>
          <w:sz w:val="28"/>
          <w:szCs w:val="28"/>
          <w:lang w:val="uk-UA"/>
        </w:rPr>
        <w:t>,,</w:t>
      </w:r>
      <w:r w:rsidRPr="0056394D">
        <w:rPr>
          <w:sz w:val="28"/>
          <w:szCs w:val="28"/>
          <w:lang w:val="uk-UA"/>
        </w:rPr>
        <w:t xml:space="preserve">Рішення про визнання бійців-добровольців, які брали участь у </w:t>
      </w:r>
      <w:r w:rsidRPr="0056394D">
        <w:rPr>
          <w:sz w:val="28"/>
          <w:szCs w:val="28"/>
          <w:lang w:val="uk-UA"/>
        </w:rPr>
        <w:lastRenderedPageBreak/>
        <w:t>захисті територіальної цілісності та державного</w:t>
      </w:r>
      <w:r w:rsidR="00CC6E0C">
        <w:rPr>
          <w:sz w:val="28"/>
          <w:szCs w:val="28"/>
          <w:lang w:val="uk-UA"/>
        </w:rPr>
        <w:t xml:space="preserve"> суверенітету на сході України”</w:t>
      </w:r>
      <w:r w:rsidRPr="0056394D">
        <w:rPr>
          <w:sz w:val="28"/>
          <w:szCs w:val="28"/>
          <w:lang w:val="uk-UA"/>
        </w:rPr>
        <w:t xml:space="preserve"> (далі – бійці-добровольці). </w:t>
      </w:r>
    </w:p>
    <w:p w:rsidR="004E1F6C" w:rsidRPr="0056394D" w:rsidRDefault="004E1F6C" w:rsidP="004E1F6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F6C" w:rsidRPr="0056394D" w:rsidRDefault="004E1F6C" w:rsidP="004E1F6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4D">
        <w:rPr>
          <w:rFonts w:ascii="Times New Roman" w:hAnsi="Times New Roman"/>
          <w:sz w:val="28"/>
          <w:szCs w:val="28"/>
          <w:lang w:val="uk-UA"/>
        </w:rPr>
        <w:t>7. Початок:  2020 рік, закінчення: 2022 рік.</w:t>
      </w:r>
    </w:p>
    <w:p w:rsidR="004E1F6C" w:rsidRPr="0056394D" w:rsidRDefault="004E1F6C" w:rsidP="004E1F6C">
      <w:pPr>
        <w:ind w:firstLine="720"/>
        <w:jc w:val="both"/>
        <w:rPr>
          <w:sz w:val="20"/>
          <w:szCs w:val="20"/>
          <w:lang w:val="uk-UA"/>
        </w:rPr>
      </w:pPr>
    </w:p>
    <w:p w:rsidR="004E1F6C" w:rsidRPr="0056394D" w:rsidRDefault="004E1F6C" w:rsidP="004E1F6C">
      <w:pPr>
        <w:ind w:firstLine="720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>8. Етапи виконання: програма розрахована на три роки та передбачає виконання в один етап.</w:t>
      </w:r>
    </w:p>
    <w:p w:rsidR="004E1F6C" w:rsidRPr="0056394D" w:rsidRDefault="004E1F6C" w:rsidP="004E1F6C">
      <w:pPr>
        <w:ind w:firstLine="720"/>
        <w:jc w:val="both"/>
        <w:rPr>
          <w:sz w:val="16"/>
          <w:szCs w:val="16"/>
          <w:lang w:val="uk-UA"/>
        </w:rPr>
      </w:pPr>
    </w:p>
    <w:p w:rsidR="004E1F6C" w:rsidRPr="0056394D" w:rsidRDefault="004E1F6C" w:rsidP="004E1F6C">
      <w:pPr>
        <w:ind w:firstLine="720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>9. Загальні обсяги фінансування: 28 098,3 тис. грн.</w:t>
      </w:r>
    </w:p>
    <w:p w:rsidR="004E1F6C" w:rsidRPr="0056394D" w:rsidRDefault="004E1F6C" w:rsidP="004E1F6C">
      <w:pPr>
        <w:ind w:firstLine="720"/>
        <w:jc w:val="both"/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0"/>
        <w:gridCol w:w="1902"/>
        <w:gridCol w:w="1842"/>
        <w:gridCol w:w="2253"/>
      </w:tblGrid>
      <w:tr w:rsidR="004E1F6C" w:rsidRPr="0056394D" w:rsidTr="00CC6E0C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6C" w:rsidRPr="00CC6E0C" w:rsidRDefault="00CC6E0C" w:rsidP="00106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</w:t>
            </w:r>
            <w:r w:rsidR="004E1F6C" w:rsidRPr="00CC6E0C">
              <w:rPr>
                <w:b/>
                <w:lang w:val="uk-UA"/>
              </w:rPr>
              <w:t>вання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6C" w:rsidRPr="00CC6E0C" w:rsidRDefault="004E1F6C" w:rsidP="00106957">
            <w:pPr>
              <w:jc w:val="center"/>
              <w:rPr>
                <w:b/>
                <w:lang w:val="uk-UA"/>
              </w:rPr>
            </w:pPr>
            <w:r w:rsidRPr="00CC6E0C">
              <w:rPr>
                <w:b/>
                <w:lang w:val="uk-UA"/>
              </w:rPr>
              <w:t>Обсяги фінансування, усього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За роками виконання</w:t>
            </w:r>
          </w:p>
        </w:tc>
      </w:tr>
      <w:tr w:rsidR="004E1F6C" w:rsidRPr="0056394D" w:rsidTr="00CC6E0C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2021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2022 </w:t>
            </w:r>
          </w:p>
        </w:tc>
      </w:tr>
      <w:tr w:rsidR="004E1F6C" w:rsidRPr="0056394D" w:rsidTr="00CC6E0C">
        <w:trPr>
          <w:cantSplit/>
          <w:trHeight w:val="6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Державний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</w:tr>
      <w:tr w:rsidR="004E1F6C" w:rsidRPr="0056394D" w:rsidTr="00CC6E0C">
        <w:trPr>
          <w:cantSplit/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Обласний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28 098,3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8 656,2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9 429,0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10 013,1</w:t>
            </w:r>
          </w:p>
        </w:tc>
      </w:tr>
      <w:tr w:rsidR="004E1F6C" w:rsidRPr="0056394D" w:rsidTr="00CC6E0C">
        <w:trPr>
          <w:cantSplit/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Місцеві бюджети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</w:tr>
      <w:tr w:rsidR="004E1F6C" w:rsidRPr="0056394D" w:rsidTr="00CC6E0C">
        <w:trPr>
          <w:cantSplit/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Інші джерела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_</w:t>
            </w:r>
          </w:p>
        </w:tc>
      </w:tr>
      <w:tr w:rsidR="004E1F6C" w:rsidRPr="0056394D" w:rsidTr="00CC6E0C">
        <w:trPr>
          <w:cantSplit/>
          <w:trHeight w:val="5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28 098,3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8 656,2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9 429,0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C" w:rsidRPr="0056394D" w:rsidRDefault="004E1F6C" w:rsidP="00106957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10 013,1</w:t>
            </w:r>
          </w:p>
        </w:tc>
      </w:tr>
    </w:tbl>
    <w:p w:rsidR="004E1F6C" w:rsidRPr="0056394D" w:rsidRDefault="004E1F6C" w:rsidP="004E1F6C">
      <w:pPr>
        <w:jc w:val="both"/>
        <w:rPr>
          <w:b/>
          <w:sz w:val="16"/>
          <w:szCs w:val="16"/>
          <w:lang w:val="uk-UA"/>
        </w:rPr>
      </w:pPr>
    </w:p>
    <w:p w:rsidR="004E1F6C" w:rsidRPr="0056394D" w:rsidRDefault="004E1F6C" w:rsidP="004E1F6C">
      <w:pPr>
        <w:ind w:firstLine="708"/>
        <w:jc w:val="both"/>
        <w:rPr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10. Очікувані кінцеві результати виконання: </w:t>
      </w:r>
    </w:p>
    <w:p w:rsidR="004E1F6C" w:rsidRPr="0056394D" w:rsidRDefault="004E1F6C" w:rsidP="004E1F6C">
      <w:pPr>
        <w:ind w:firstLine="708"/>
        <w:jc w:val="both"/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27"/>
        <w:gridCol w:w="1850"/>
        <w:gridCol w:w="975"/>
        <w:gridCol w:w="776"/>
        <w:gridCol w:w="787"/>
        <w:gridCol w:w="823"/>
      </w:tblGrid>
      <w:tr w:rsidR="004E1F6C" w:rsidRPr="0056394D" w:rsidTr="00CC6A88">
        <w:trPr>
          <w:trHeight w:val="389"/>
          <w:tblHeader/>
        </w:trPr>
        <w:tc>
          <w:tcPr>
            <w:tcW w:w="1668" w:type="dxa"/>
            <w:vMerge w:val="restart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Напрями показників програми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Одиниця виміру</w:t>
            </w:r>
          </w:p>
          <w:p w:rsidR="004E1F6C" w:rsidRPr="00CC6E0C" w:rsidRDefault="004E1F6C" w:rsidP="00106957">
            <w:pPr>
              <w:jc w:val="center"/>
              <w:rPr>
                <w:b/>
                <w:lang w:val="uk-UA"/>
              </w:rPr>
            </w:pPr>
            <w:r w:rsidRPr="00CC6E0C">
              <w:rPr>
                <w:b/>
                <w:lang w:val="uk-UA"/>
              </w:rPr>
              <w:t>(середньорічна чисельність</w:t>
            </w:r>
          </w:p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CC6E0C">
              <w:rPr>
                <w:b/>
                <w:lang w:val="uk-UA"/>
              </w:rPr>
              <w:t>учасників АТО/ООС, осіб)</w:t>
            </w:r>
          </w:p>
        </w:tc>
        <w:tc>
          <w:tcPr>
            <w:tcW w:w="3361" w:type="dxa"/>
            <w:gridSpan w:val="4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Значення показників</w:t>
            </w:r>
          </w:p>
        </w:tc>
      </w:tr>
      <w:tr w:rsidR="004E1F6C" w:rsidRPr="0056394D" w:rsidTr="00CC6A88">
        <w:trPr>
          <w:trHeight w:val="623"/>
          <w:tblHeader/>
        </w:trPr>
        <w:tc>
          <w:tcPr>
            <w:tcW w:w="1668" w:type="dxa"/>
            <w:vMerge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Усього</w:t>
            </w:r>
          </w:p>
        </w:tc>
        <w:tc>
          <w:tcPr>
            <w:tcW w:w="2386" w:type="dxa"/>
            <w:gridSpan w:val="3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у тому числі за роками</w:t>
            </w:r>
          </w:p>
        </w:tc>
      </w:tr>
      <w:tr w:rsidR="004E1F6C" w:rsidRPr="0056394D" w:rsidTr="00CC6A88">
        <w:trPr>
          <w:tblHeader/>
        </w:trPr>
        <w:tc>
          <w:tcPr>
            <w:tcW w:w="1668" w:type="dxa"/>
            <w:vMerge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2020</w:t>
            </w:r>
          </w:p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2021</w:t>
            </w:r>
          </w:p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  <w:r w:rsidRPr="0056394D">
              <w:rPr>
                <w:b/>
                <w:lang w:val="uk-UA"/>
              </w:rPr>
              <w:t>2022</w:t>
            </w:r>
          </w:p>
          <w:p w:rsidR="004E1F6C" w:rsidRPr="0056394D" w:rsidRDefault="004E1F6C" w:rsidP="00106957">
            <w:pPr>
              <w:jc w:val="center"/>
              <w:rPr>
                <w:b/>
                <w:lang w:val="uk-UA"/>
              </w:rPr>
            </w:pPr>
          </w:p>
        </w:tc>
      </w:tr>
      <w:tr w:rsidR="004E1F6C" w:rsidRPr="0056394D" w:rsidTr="00CC6A88">
        <w:tc>
          <w:tcPr>
            <w:tcW w:w="1668" w:type="dxa"/>
            <w:vMerge w:val="restart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  <w:r w:rsidRPr="0056394D">
              <w:rPr>
                <w:lang w:val="uk-UA"/>
              </w:rPr>
              <w:t xml:space="preserve">Соціальні </w:t>
            </w:r>
          </w:p>
        </w:tc>
        <w:tc>
          <w:tcPr>
            <w:tcW w:w="2727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  <w:r w:rsidRPr="0056394D">
              <w:rPr>
                <w:lang w:val="uk-UA"/>
              </w:rPr>
              <w:t>Кільк</w:t>
            </w:r>
            <w:r w:rsidR="00CC6E0C">
              <w:rPr>
                <w:lang w:val="uk-UA"/>
              </w:rPr>
              <w:t>ість осіб, які пройшли навчання</w:t>
            </w:r>
          </w:p>
          <w:p w:rsidR="004E1F6C" w:rsidRPr="0056394D" w:rsidRDefault="004E1F6C" w:rsidP="00106957">
            <w:pPr>
              <w:jc w:val="both"/>
              <w:rPr>
                <w:b/>
                <w:sz w:val="4"/>
                <w:szCs w:val="4"/>
                <w:lang w:val="uk-UA"/>
              </w:rPr>
            </w:pPr>
          </w:p>
        </w:tc>
        <w:tc>
          <w:tcPr>
            <w:tcW w:w="1850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975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300</w:t>
            </w: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</w:tr>
      <w:tr w:rsidR="004E1F6C" w:rsidRPr="0056394D" w:rsidTr="00CC6A88">
        <w:tc>
          <w:tcPr>
            <w:tcW w:w="1668" w:type="dxa"/>
            <w:vMerge/>
            <w:shd w:val="clear" w:color="auto" w:fill="auto"/>
          </w:tcPr>
          <w:p w:rsidR="004E1F6C" w:rsidRPr="0056394D" w:rsidRDefault="004E1F6C" w:rsidP="00106957">
            <w:pPr>
              <w:rPr>
                <w:lang w:val="uk-UA"/>
              </w:rPr>
            </w:pPr>
          </w:p>
        </w:tc>
        <w:tc>
          <w:tcPr>
            <w:tcW w:w="2727" w:type="dxa"/>
            <w:shd w:val="clear" w:color="auto" w:fill="auto"/>
          </w:tcPr>
          <w:p w:rsidR="004E1F6C" w:rsidRPr="0056394D" w:rsidRDefault="004E1F6C" w:rsidP="00106957">
            <w:pPr>
              <w:rPr>
                <w:lang w:val="uk-UA"/>
              </w:rPr>
            </w:pPr>
            <w:r w:rsidRPr="0056394D">
              <w:rPr>
                <w:lang w:val="uk-UA"/>
              </w:rPr>
              <w:t>Кількість осіб, які взяли участь у прове</w:t>
            </w:r>
            <w:r w:rsidR="00CC6E0C">
              <w:rPr>
                <w:lang w:val="uk-UA"/>
              </w:rPr>
              <w:t>денні культурно-масових заходів</w:t>
            </w:r>
          </w:p>
          <w:p w:rsidR="004E1F6C" w:rsidRPr="0056394D" w:rsidRDefault="004E1F6C" w:rsidP="00106957">
            <w:pPr>
              <w:rPr>
                <w:sz w:val="4"/>
                <w:szCs w:val="4"/>
                <w:lang w:val="uk-UA"/>
              </w:rPr>
            </w:pPr>
          </w:p>
        </w:tc>
        <w:tc>
          <w:tcPr>
            <w:tcW w:w="1850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975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15 000</w:t>
            </w: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5 000</w:t>
            </w: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5 000</w:t>
            </w: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5 000</w:t>
            </w:r>
          </w:p>
        </w:tc>
      </w:tr>
      <w:tr w:rsidR="004E1F6C" w:rsidRPr="0056394D" w:rsidTr="00CC6A88">
        <w:tc>
          <w:tcPr>
            <w:tcW w:w="1668" w:type="dxa"/>
            <w:vMerge/>
            <w:shd w:val="clear" w:color="auto" w:fill="auto"/>
          </w:tcPr>
          <w:p w:rsidR="004E1F6C" w:rsidRPr="0056394D" w:rsidRDefault="004E1F6C" w:rsidP="00106957">
            <w:pPr>
              <w:rPr>
                <w:lang w:val="uk-UA"/>
              </w:rPr>
            </w:pPr>
          </w:p>
        </w:tc>
        <w:tc>
          <w:tcPr>
            <w:tcW w:w="2727" w:type="dxa"/>
            <w:shd w:val="clear" w:color="auto" w:fill="auto"/>
          </w:tcPr>
          <w:p w:rsidR="004E1F6C" w:rsidRPr="0056394D" w:rsidRDefault="004E1F6C" w:rsidP="00106957">
            <w:pPr>
              <w:rPr>
                <w:lang w:val="uk-UA"/>
              </w:rPr>
            </w:pPr>
            <w:r w:rsidRPr="0056394D">
              <w:rPr>
                <w:lang w:val="uk-UA"/>
              </w:rPr>
              <w:t>Кількість осіб, які відвідали ф</w:t>
            </w:r>
            <w:r w:rsidR="00CC6E0C">
              <w:rPr>
                <w:lang w:val="uk-UA"/>
              </w:rPr>
              <w:t>естивалі документальних фільмів</w:t>
            </w:r>
          </w:p>
          <w:p w:rsidR="004E1F6C" w:rsidRPr="0056394D" w:rsidRDefault="004E1F6C" w:rsidP="0010695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  <w:p w:rsidR="004E1F6C" w:rsidRPr="0056394D" w:rsidRDefault="004E1F6C" w:rsidP="001069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6 000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2 000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2 000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2 000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</w:tr>
      <w:tr w:rsidR="004E1F6C" w:rsidRPr="0056394D" w:rsidTr="00CC6A88">
        <w:trPr>
          <w:trHeight w:val="1210"/>
        </w:trPr>
        <w:tc>
          <w:tcPr>
            <w:tcW w:w="1668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  <w:r w:rsidRPr="0056394D">
              <w:rPr>
                <w:lang w:val="uk-UA"/>
              </w:rPr>
              <w:t>Реабілітаційні</w:t>
            </w:r>
          </w:p>
          <w:p w:rsidR="004E1F6C" w:rsidRPr="0056394D" w:rsidRDefault="004E1F6C" w:rsidP="00106957">
            <w:pPr>
              <w:jc w:val="both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2727" w:type="dxa"/>
            <w:shd w:val="clear" w:color="auto" w:fill="auto"/>
          </w:tcPr>
          <w:p w:rsidR="004E1F6C" w:rsidRDefault="004E1F6C" w:rsidP="00106957">
            <w:pPr>
              <w:rPr>
                <w:lang w:val="uk-UA"/>
              </w:rPr>
            </w:pPr>
            <w:r w:rsidRPr="0056394D">
              <w:rPr>
                <w:lang w:val="uk-UA"/>
              </w:rPr>
              <w:t>Кількість осіб, які взяли участь у спортивних заходах т</w:t>
            </w:r>
            <w:r w:rsidR="00CC6E0C">
              <w:rPr>
                <w:lang w:val="uk-UA"/>
              </w:rPr>
              <w:t>а заходах  активного відпочинку</w:t>
            </w:r>
          </w:p>
          <w:p w:rsidR="00CC6E0C" w:rsidRPr="0056394D" w:rsidRDefault="00CC6E0C" w:rsidP="001069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shd w:val="clear" w:color="auto" w:fill="auto"/>
          </w:tcPr>
          <w:p w:rsidR="004E1F6C" w:rsidRDefault="004E1F6C" w:rsidP="0010695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3949" w:rsidRPr="00723949" w:rsidRDefault="00723949" w:rsidP="00106957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975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1800</w:t>
            </w: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  <w:r w:rsidRPr="0056394D">
              <w:rPr>
                <w:lang w:val="uk-UA"/>
              </w:rPr>
              <w:t>600</w:t>
            </w: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  <w:r w:rsidRPr="0056394D">
              <w:rPr>
                <w:lang w:val="uk-UA"/>
              </w:rPr>
              <w:t>600</w:t>
            </w: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lang w:val="uk-UA"/>
              </w:rPr>
            </w:pPr>
            <w:r w:rsidRPr="0056394D">
              <w:rPr>
                <w:lang w:val="uk-UA"/>
              </w:rPr>
              <w:t>600</w:t>
            </w:r>
          </w:p>
        </w:tc>
      </w:tr>
      <w:tr w:rsidR="004E1F6C" w:rsidRPr="0056394D" w:rsidTr="00CC6A88">
        <w:trPr>
          <w:trHeight w:val="62"/>
        </w:trPr>
        <w:tc>
          <w:tcPr>
            <w:tcW w:w="1668" w:type="dxa"/>
            <w:shd w:val="clear" w:color="auto" w:fill="auto"/>
          </w:tcPr>
          <w:p w:rsidR="004E1F6C" w:rsidRPr="0056394D" w:rsidRDefault="004E1F6C" w:rsidP="00106957">
            <w:pPr>
              <w:rPr>
                <w:lang w:val="uk-UA"/>
              </w:rPr>
            </w:pPr>
          </w:p>
          <w:p w:rsidR="004E1F6C" w:rsidRPr="0056394D" w:rsidRDefault="004E1F6C" w:rsidP="00106957">
            <w:pPr>
              <w:rPr>
                <w:lang w:val="uk-UA"/>
              </w:rPr>
            </w:pPr>
          </w:p>
          <w:p w:rsidR="004E1F6C" w:rsidRPr="0056394D" w:rsidRDefault="004E1F6C" w:rsidP="00106957">
            <w:pPr>
              <w:rPr>
                <w:lang w:val="uk-UA"/>
              </w:rPr>
            </w:pPr>
            <w:r w:rsidRPr="0056394D">
              <w:rPr>
                <w:lang w:val="uk-UA"/>
              </w:rPr>
              <w:t xml:space="preserve">Соціальна підтримка </w:t>
            </w:r>
          </w:p>
        </w:tc>
        <w:tc>
          <w:tcPr>
            <w:tcW w:w="2727" w:type="dxa"/>
            <w:shd w:val="clear" w:color="auto" w:fill="auto"/>
          </w:tcPr>
          <w:p w:rsidR="004E1F6C" w:rsidRPr="0056394D" w:rsidRDefault="004E1F6C" w:rsidP="00106957">
            <w:pPr>
              <w:rPr>
                <w:color w:val="000000"/>
                <w:lang w:val="uk-UA"/>
              </w:rPr>
            </w:pPr>
            <w:r w:rsidRPr="0056394D">
              <w:rPr>
                <w:lang w:val="uk-UA"/>
              </w:rPr>
              <w:t xml:space="preserve">Кількість осіб,  яким надано  адресну грошову допомогу як учасникам АТО/ООС, особам, які отримали інвалідність внаслідок участі в АТО/ООС, та членам сімей загиблих учасників АТО/ООС для компенсації витрат, пов’язаних із розробленням </w:t>
            </w:r>
            <w:proofErr w:type="spellStart"/>
            <w:r w:rsidRPr="0056394D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56394D">
              <w:rPr>
                <w:lang w:val="uk-UA"/>
              </w:rPr>
              <w:t>кту</w:t>
            </w:r>
            <w:proofErr w:type="spellEnd"/>
            <w:r w:rsidRPr="0056394D">
              <w:rPr>
                <w:lang w:val="uk-UA"/>
              </w:rPr>
              <w:t xml:space="preserve"> землеустрою щодо відведення земельної ділянки у власність для ведення особистого селянського господарства, індивідуального садівництва. Після отриманн</w:t>
            </w:r>
            <w:r w:rsidR="00CC6E0C">
              <w:rPr>
                <w:lang w:val="uk-UA"/>
              </w:rPr>
              <w:t>я земельної ділянки у власність</w:t>
            </w:r>
          </w:p>
          <w:p w:rsidR="004E1F6C" w:rsidRPr="0056394D" w:rsidRDefault="004E1F6C" w:rsidP="00106957">
            <w:pPr>
              <w:rPr>
                <w:color w:val="000000"/>
                <w:lang w:val="uk-UA"/>
              </w:rPr>
            </w:pPr>
          </w:p>
          <w:p w:rsidR="004E1F6C" w:rsidRDefault="004E1F6C" w:rsidP="00106957">
            <w:pPr>
              <w:rPr>
                <w:lang w:val="uk-UA"/>
              </w:rPr>
            </w:pPr>
            <w:r w:rsidRPr="0056394D">
              <w:rPr>
                <w:lang w:val="uk-UA"/>
              </w:rPr>
              <w:t>Кількість осіб, яким надано одноразову адресну допомогу як членам сімей загиблих учасників АТО/ООС для компенсації витрат,</w:t>
            </w:r>
            <w:r w:rsidR="00CC6E0C">
              <w:rPr>
                <w:lang w:val="uk-UA"/>
              </w:rPr>
              <w:t xml:space="preserve"> пов’язаних із розробленням </w:t>
            </w:r>
            <w:proofErr w:type="spellStart"/>
            <w:r w:rsidR="00CC6E0C">
              <w:rPr>
                <w:lang w:val="uk-UA"/>
              </w:rPr>
              <w:t>проє</w:t>
            </w:r>
            <w:r w:rsidRPr="0056394D">
              <w:rPr>
                <w:lang w:val="uk-UA"/>
              </w:rPr>
              <w:t>ктів</w:t>
            </w:r>
            <w:proofErr w:type="spellEnd"/>
            <w:r w:rsidRPr="0056394D">
              <w:rPr>
                <w:lang w:val="uk-UA"/>
              </w:rPr>
              <w:t xml:space="preserve"> землеустрою з упорядкування сільськогосподарських угідь. Після отриманн</w:t>
            </w:r>
            <w:r w:rsidR="00CC6E0C">
              <w:rPr>
                <w:lang w:val="uk-UA"/>
              </w:rPr>
              <w:t>я земельної ділянки у власність</w:t>
            </w:r>
          </w:p>
          <w:p w:rsidR="003F6E22" w:rsidRPr="0056394D" w:rsidRDefault="003F6E22" w:rsidP="00106957">
            <w:pPr>
              <w:rPr>
                <w:b/>
                <w:lang w:val="uk-UA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4E1F6C" w:rsidRPr="0056394D" w:rsidRDefault="004E1F6C" w:rsidP="00723949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723949">
            <w:pPr>
              <w:rPr>
                <w:lang w:val="uk-UA"/>
              </w:rPr>
            </w:pPr>
          </w:p>
          <w:p w:rsidR="00723949" w:rsidRPr="0056394D" w:rsidRDefault="00723949" w:rsidP="00723949">
            <w:pPr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Default="00723949" w:rsidP="00106957">
            <w:pPr>
              <w:jc w:val="center"/>
              <w:rPr>
                <w:lang w:val="uk-UA"/>
              </w:rPr>
            </w:pPr>
          </w:p>
          <w:p w:rsidR="00723949" w:rsidRDefault="00723949" w:rsidP="00106957">
            <w:pPr>
              <w:jc w:val="center"/>
              <w:rPr>
                <w:lang w:val="uk-UA"/>
              </w:rPr>
            </w:pPr>
          </w:p>
          <w:p w:rsidR="00916110" w:rsidRPr="0056394D" w:rsidRDefault="00916110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3000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250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Default="004E1F6C" w:rsidP="00106957">
            <w:pPr>
              <w:jc w:val="center"/>
              <w:rPr>
                <w:lang w:val="uk-UA"/>
              </w:rPr>
            </w:pPr>
          </w:p>
          <w:p w:rsidR="00723949" w:rsidRPr="0056394D" w:rsidRDefault="00723949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</w:tr>
      <w:tr w:rsidR="004E1F6C" w:rsidRPr="0056394D" w:rsidTr="00CC6A88">
        <w:tc>
          <w:tcPr>
            <w:tcW w:w="1668" w:type="dxa"/>
            <w:shd w:val="clear" w:color="auto" w:fill="auto"/>
          </w:tcPr>
          <w:p w:rsidR="004E1F6C" w:rsidRPr="0056394D" w:rsidRDefault="004E1F6C" w:rsidP="00106957">
            <w:pPr>
              <w:rPr>
                <w:color w:val="000000"/>
                <w:lang w:val="uk-UA"/>
              </w:rPr>
            </w:pPr>
          </w:p>
          <w:p w:rsidR="004E1F6C" w:rsidRPr="0056394D" w:rsidRDefault="004E1F6C" w:rsidP="00106957">
            <w:pPr>
              <w:rPr>
                <w:color w:val="000000"/>
                <w:lang w:val="uk-UA"/>
              </w:rPr>
            </w:pPr>
            <w:r w:rsidRPr="0056394D">
              <w:rPr>
                <w:color w:val="000000"/>
                <w:lang w:val="uk-UA"/>
              </w:rPr>
              <w:t xml:space="preserve">Соціальні </w:t>
            </w:r>
          </w:p>
          <w:p w:rsidR="004E1F6C" w:rsidRPr="0056394D" w:rsidRDefault="004E1F6C" w:rsidP="00106957">
            <w:pPr>
              <w:jc w:val="both"/>
              <w:rPr>
                <w:b/>
                <w:lang w:val="uk-UA"/>
              </w:rPr>
            </w:pPr>
          </w:p>
          <w:p w:rsidR="004E1F6C" w:rsidRPr="0056394D" w:rsidRDefault="004E1F6C" w:rsidP="00106957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27" w:type="dxa"/>
            <w:shd w:val="clear" w:color="auto" w:fill="auto"/>
          </w:tcPr>
          <w:p w:rsidR="004E1F6C" w:rsidRDefault="00CC6E0C" w:rsidP="001069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осіб, яких </w:t>
            </w:r>
            <w:r w:rsidR="004E1F6C" w:rsidRPr="0056394D">
              <w:rPr>
                <w:color w:val="000000"/>
                <w:lang w:val="uk-UA"/>
              </w:rPr>
              <w:t>забезпече</w:t>
            </w:r>
            <w:r>
              <w:rPr>
                <w:color w:val="000000"/>
                <w:lang w:val="uk-UA"/>
              </w:rPr>
              <w:t>но транспортним обслуговуванням</w:t>
            </w:r>
          </w:p>
          <w:p w:rsidR="00CC6E0C" w:rsidRPr="0056394D" w:rsidRDefault="00CC6E0C" w:rsidP="00106957">
            <w:pPr>
              <w:rPr>
                <w:b/>
                <w:lang w:val="uk-UA"/>
              </w:rPr>
            </w:pPr>
          </w:p>
        </w:tc>
        <w:tc>
          <w:tcPr>
            <w:tcW w:w="1850" w:type="dxa"/>
            <w:shd w:val="clear" w:color="auto" w:fill="auto"/>
          </w:tcPr>
          <w:p w:rsidR="004E1F6C" w:rsidRPr="0056394D" w:rsidRDefault="004E1F6C" w:rsidP="00106957">
            <w:pPr>
              <w:jc w:val="both"/>
              <w:rPr>
                <w:lang w:val="uk-UA"/>
              </w:rPr>
            </w:pPr>
          </w:p>
          <w:p w:rsidR="004E1F6C" w:rsidRPr="0056394D" w:rsidRDefault="004E1F6C" w:rsidP="00723949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975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240</w:t>
            </w: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80</w:t>
            </w: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 xml:space="preserve">80        </w:t>
            </w:r>
          </w:p>
        </w:tc>
      </w:tr>
      <w:tr w:rsidR="004E1F6C" w:rsidRPr="0056394D" w:rsidTr="00CC6A88">
        <w:tc>
          <w:tcPr>
            <w:tcW w:w="1668" w:type="dxa"/>
            <w:shd w:val="clear" w:color="auto" w:fill="auto"/>
          </w:tcPr>
          <w:p w:rsidR="004E1F6C" w:rsidRPr="0056394D" w:rsidRDefault="004E1F6C" w:rsidP="00106957">
            <w:pPr>
              <w:rPr>
                <w:lang w:val="uk-UA"/>
              </w:rPr>
            </w:pPr>
          </w:p>
          <w:p w:rsidR="004E1F6C" w:rsidRPr="0056394D" w:rsidRDefault="004E1F6C" w:rsidP="00106957">
            <w:pPr>
              <w:rPr>
                <w:lang w:val="uk-UA"/>
              </w:rPr>
            </w:pPr>
            <w:r w:rsidRPr="0056394D">
              <w:rPr>
                <w:lang w:val="uk-UA"/>
              </w:rPr>
              <w:t>Реабілітаційні</w:t>
            </w:r>
          </w:p>
        </w:tc>
        <w:tc>
          <w:tcPr>
            <w:tcW w:w="2727" w:type="dxa"/>
            <w:shd w:val="clear" w:color="auto" w:fill="auto"/>
          </w:tcPr>
          <w:p w:rsidR="004E1F6C" w:rsidRPr="0056394D" w:rsidRDefault="004E1F6C" w:rsidP="00106957">
            <w:pPr>
              <w:rPr>
                <w:color w:val="000000"/>
                <w:lang w:val="uk-UA"/>
              </w:rPr>
            </w:pPr>
            <w:r w:rsidRPr="0056394D">
              <w:rPr>
                <w:color w:val="000000"/>
                <w:lang w:val="uk-UA"/>
              </w:rPr>
              <w:t>Кількість осіб, які пройшли оздоровлення та отримали санаторно-курортне лікування  (вдови загиблих учасників АТО/ООС разом з</w:t>
            </w:r>
            <w:r w:rsidR="00CC6E0C">
              <w:rPr>
                <w:color w:val="000000"/>
                <w:lang w:val="uk-UA"/>
              </w:rPr>
              <w:t xml:space="preserve"> дітьми віком від 3 до 7 років)</w:t>
            </w:r>
          </w:p>
          <w:p w:rsidR="004E1F6C" w:rsidRPr="0056394D" w:rsidRDefault="004E1F6C" w:rsidP="0010695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0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975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450</w:t>
            </w:r>
          </w:p>
        </w:tc>
        <w:tc>
          <w:tcPr>
            <w:tcW w:w="776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150</w:t>
            </w:r>
          </w:p>
        </w:tc>
        <w:tc>
          <w:tcPr>
            <w:tcW w:w="787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150</w:t>
            </w: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shd w:val="clear" w:color="auto" w:fill="auto"/>
          </w:tcPr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</w:p>
          <w:p w:rsidR="004E1F6C" w:rsidRPr="0056394D" w:rsidRDefault="004E1F6C" w:rsidP="00106957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150</w:t>
            </w:r>
          </w:p>
        </w:tc>
      </w:tr>
      <w:tr w:rsidR="00CC6A88" w:rsidRPr="0056394D" w:rsidTr="00CC6A88">
        <w:tc>
          <w:tcPr>
            <w:tcW w:w="1668" w:type="dxa"/>
            <w:shd w:val="clear" w:color="auto" w:fill="auto"/>
          </w:tcPr>
          <w:p w:rsidR="00CC6A88" w:rsidRPr="0056394D" w:rsidRDefault="00CC6A88" w:rsidP="00106957">
            <w:pPr>
              <w:rPr>
                <w:color w:val="000000"/>
                <w:lang w:val="uk-UA"/>
              </w:rPr>
            </w:pPr>
            <w:r w:rsidRPr="0056394D">
              <w:rPr>
                <w:color w:val="000000"/>
                <w:lang w:val="uk-UA"/>
              </w:rPr>
              <w:t>Економічні</w:t>
            </w:r>
          </w:p>
        </w:tc>
        <w:tc>
          <w:tcPr>
            <w:tcW w:w="2727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1850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975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776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</w:tr>
      <w:tr w:rsidR="00CC6A88" w:rsidRPr="0056394D" w:rsidTr="00CC6A88">
        <w:tc>
          <w:tcPr>
            <w:tcW w:w="1668" w:type="dxa"/>
            <w:shd w:val="clear" w:color="auto" w:fill="auto"/>
          </w:tcPr>
          <w:p w:rsidR="00CC6A88" w:rsidRPr="0056394D" w:rsidRDefault="00CC6A88" w:rsidP="00106957">
            <w:pPr>
              <w:rPr>
                <w:color w:val="000000"/>
                <w:lang w:val="uk-UA"/>
              </w:rPr>
            </w:pPr>
            <w:r w:rsidRPr="0056394D">
              <w:rPr>
                <w:color w:val="000000"/>
                <w:lang w:val="uk-UA"/>
              </w:rPr>
              <w:t>Екологічні</w:t>
            </w:r>
          </w:p>
        </w:tc>
        <w:tc>
          <w:tcPr>
            <w:tcW w:w="2727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1850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975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776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</w:tr>
      <w:tr w:rsidR="00CC6A88" w:rsidRPr="0056394D" w:rsidTr="00CC6A88">
        <w:tc>
          <w:tcPr>
            <w:tcW w:w="1668" w:type="dxa"/>
            <w:shd w:val="clear" w:color="auto" w:fill="auto"/>
          </w:tcPr>
          <w:p w:rsidR="00CC6A88" w:rsidRPr="0056394D" w:rsidRDefault="00CC6A88" w:rsidP="00106957">
            <w:pPr>
              <w:rPr>
                <w:color w:val="000000"/>
                <w:lang w:val="uk-UA"/>
              </w:rPr>
            </w:pPr>
            <w:r w:rsidRPr="0056394D">
              <w:rPr>
                <w:color w:val="000000"/>
                <w:lang w:val="uk-UA"/>
              </w:rPr>
              <w:t>Інші</w:t>
            </w:r>
          </w:p>
        </w:tc>
        <w:tc>
          <w:tcPr>
            <w:tcW w:w="2727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1850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975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776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CC6A88" w:rsidRDefault="00CC6A88" w:rsidP="00CC6A88">
            <w:pPr>
              <w:jc w:val="center"/>
            </w:pPr>
            <w:r w:rsidRPr="00F73CB6">
              <w:rPr>
                <w:lang w:val="uk-UA"/>
              </w:rPr>
              <w:t>–</w:t>
            </w:r>
          </w:p>
        </w:tc>
      </w:tr>
    </w:tbl>
    <w:p w:rsidR="004E1F6C" w:rsidRPr="0056394D" w:rsidRDefault="004E1F6C" w:rsidP="004E1F6C">
      <w:pPr>
        <w:pStyle w:val="ae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1F6C" w:rsidRPr="0056394D" w:rsidRDefault="004E1F6C" w:rsidP="004E1F6C">
      <w:pPr>
        <w:pStyle w:val="ae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6394D">
        <w:rPr>
          <w:rFonts w:ascii="Times New Roman" w:hAnsi="Times New Roman"/>
          <w:sz w:val="28"/>
          <w:szCs w:val="28"/>
          <w:lang w:val="uk-UA"/>
        </w:rPr>
        <w:t>11. Координація та контроль за виконанням:</w:t>
      </w:r>
    </w:p>
    <w:p w:rsidR="004E1F6C" w:rsidRPr="0056394D" w:rsidRDefault="004E1F6C" w:rsidP="004E1F6C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F6C" w:rsidRPr="0056394D" w:rsidRDefault="00CC6A88" w:rsidP="004E1F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Координацію щодо реалізації п</w:t>
      </w:r>
      <w:r w:rsidR="004E1F6C" w:rsidRPr="0056394D">
        <w:rPr>
          <w:rFonts w:ascii="Times New Roman" w:hAnsi="Times New Roman"/>
          <w:sz w:val="28"/>
          <w:szCs w:val="28"/>
          <w:lang w:val="uk-UA"/>
        </w:rPr>
        <w:t>рограми здійснює замовник – управління з питань учасників АТО облдержадміністрації, контроль – постійна комісія обласної ради з питань забезпечення правоохоронної діяльності.</w:t>
      </w:r>
    </w:p>
    <w:p w:rsidR="004E1F6C" w:rsidRPr="0056394D" w:rsidRDefault="004E1F6C" w:rsidP="004E1F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394D">
        <w:rPr>
          <w:rFonts w:ascii="Times New Roman" w:hAnsi="Times New Roman"/>
          <w:sz w:val="28"/>
          <w:szCs w:val="28"/>
          <w:lang w:val="uk-UA"/>
        </w:rPr>
        <w:t>Управління з питань учасників АТО облдержадміністрації</w:t>
      </w:r>
      <w:r w:rsidR="00723949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щокварталу</w:t>
      </w:r>
      <w:r w:rsidRPr="0056394D">
        <w:rPr>
          <w:rFonts w:ascii="Times New Roman" w:hAnsi="Times New Roman"/>
          <w:color w:val="000000"/>
          <w:sz w:val="28"/>
          <w:szCs w:val="28"/>
          <w:lang w:val="uk-UA"/>
        </w:rPr>
        <w:t xml:space="preserve">, до 15 числа місяця, </w:t>
      </w:r>
      <w:r w:rsidR="00CC6A88">
        <w:rPr>
          <w:rFonts w:ascii="Times New Roman" w:hAnsi="Times New Roman"/>
          <w:color w:val="000000"/>
          <w:sz w:val="28"/>
          <w:szCs w:val="28"/>
          <w:lang w:val="uk-UA"/>
        </w:rPr>
        <w:t>що настає</w:t>
      </w:r>
      <w:bookmarkStart w:id="0" w:name="_GoBack"/>
      <w:bookmarkEnd w:id="0"/>
      <w:r w:rsidRPr="0056394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звітним періодом, надає інформацію про хід виконання програми до обласної ради та облдержадміністрації.  </w:t>
      </w:r>
    </w:p>
    <w:p w:rsidR="00E76C00" w:rsidRDefault="00E76C00" w:rsidP="00E76C00">
      <w:pPr>
        <w:jc w:val="both"/>
        <w:rPr>
          <w:sz w:val="28"/>
          <w:szCs w:val="28"/>
          <w:lang w:val="uk-UA"/>
        </w:rPr>
      </w:pPr>
    </w:p>
    <w:p w:rsidR="00EB7891" w:rsidRDefault="00EB7891" w:rsidP="00E76C00">
      <w:pPr>
        <w:jc w:val="both"/>
        <w:rPr>
          <w:sz w:val="28"/>
          <w:szCs w:val="28"/>
          <w:lang w:val="uk-UA"/>
        </w:rPr>
      </w:pPr>
    </w:p>
    <w:p w:rsidR="00EB7891" w:rsidRDefault="00EB7891" w:rsidP="00EB7891">
      <w:pPr>
        <w:rPr>
          <w:b/>
          <w:sz w:val="28"/>
          <w:szCs w:val="28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EB7891" w:rsidRPr="004E1F6C" w:rsidRDefault="00EB7891" w:rsidP="00EB789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97F10">
        <w:rPr>
          <w:b/>
          <w:sz w:val="28"/>
          <w:szCs w:val="28"/>
        </w:rPr>
        <w:t>обласної</w:t>
      </w:r>
      <w:proofErr w:type="spellEnd"/>
      <w:r w:rsidRPr="00E97F10">
        <w:rPr>
          <w:b/>
          <w:sz w:val="28"/>
          <w:szCs w:val="28"/>
        </w:rPr>
        <w:t xml:space="preserve"> ради                                       </w:t>
      </w:r>
      <w:r w:rsidR="004E1F6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="004E1F6C">
        <w:rPr>
          <w:b/>
          <w:sz w:val="28"/>
          <w:szCs w:val="28"/>
          <w:lang w:val="uk-UA"/>
        </w:rPr>
        <w:t>А. АДАМСЬКИЙ</w:t>
      </w: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840FED" w:rsidRDefault="00EE5EB5" w:rsidP="00840FED">
      <w:pPr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DF541C" w:rsidRDefault="00DF541C" w:rsidP="0080346C">
      <w:pPr>
        <w:rPr>
          <w:b/>
          <w:sz w:val="28"/>
          <w:szCs w:val="28"/>
          <w:lang w:val="uk-UA"/>
        </w:rPr>
      </w:pPr>
    </w:p>
    <w:sectPr w:rsidR="00DF541C" w:rsidSect="00916110">
      <w:headerReference w:type="default" r:id="rId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54" w:rsidRDefault="00422F54" w:rsidP="007850C0">
      <w:r>
        <w:separator/>
      </w:r>
    </w:p>
  </w:endnote>
  <w:endnote w:type="continuationSeparator" w:id="0">
    <w:p w:rsidR="00422F54" w:rsidRDefault="00422F54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54" w:rsidRDefault="00422F54" w:rsidP="007850C0">
      <w:r>
        <w:separator/>
      </w:r>
    </w:p>
  </w:footnote>
  <w:footnote w:type="continuationSeparator" w:id="0">
    <w:p w:rsidR="00422F54" w:rsidRDefault="00422F54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88">
          <w:rPr>
            <w:noProof/>
          </w:rPr>
          <w:t>4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A2B47"/>
    <w:rsid w:val="000B48B1"/>
    <w:rsid w:val="00107CE1"/>
    <w:rsid w:val="00137C1A"/>
    <w:rsid w:val="00153575"/>
    <w:rsid w:val="001A3305"/>
    <w:rsid w:val="0023593E"/>
    <w:rsid w:val="00244FE8"/>
    <w:rsid w:val="00262F04"/>
    <w:rsid w:val="00276F70"/>
    <w:rsid w:val="00287941"/>
    <w:rsid w:val="00290654"/>
    <w:rsid w:val="002945CE"/>
    <w:rsid w:val="00382C66"/>
    <w:rsid w:val="00385FC7"/>
    <w:rsid w:val="003B7F78"/>
    <w:rsid w:val="003E5456"/>
    <w:rsid w:val="003F2393"/>
    <w:rsid w:val="003F4749"/>
    <w:rsid w:val="003F633B"/>
    <w:rsid w:val="003F6E22"/>
    <w:rsid w:val="00422F54"/>
    <w:rsid w:val="00496D64"/>
    <w:rsid w:val="004A3A3C"/>
    <w:rsid w:val="004E1F6C"/>
    <w:rsid w:val="004E3B20"/>
    <w:rsid w:val="004F1FA9"/>
    <w:rsid w:val="004F4F49"/>
    <w:rsid w:val="0051101F"/>
    <w:rsid w:val="005200CC"/>
    <w:rsid w:val="0055468D"/>
    <w:rsid w:val="00557065"/>
    <w:rsid w:val="005639D5"/>
    <w:rsid w:val="00567EB6"/>
    <w:rsid w:val="005C4333"/>
    <w:rsid w:val="005D0ABC"/>
    <w:rsid w:val="005D2974"/>
    <w:rsid w:val="005F2B2E"/>
    <w:rsid w:val="00610E1A"/>
    <w:rsid w:val="006122AA"/>
    <w:rsid w:val="006E0570"/>
    <w:rsid w:val="006F1C75"/>
    <w:rsid w:val="00714B05"/>
    <w:rsid w:val="00723949"/>
    <w:rsid w:val="00752B0B"/>
    <w:rsid w:val="00752DD4"/>
    <w:rsid w:val="00776837"/>
    <w:rsid w:val="00780D8F"/>
    <w:rsid w:val="0078287C"/>
    <w:rsid w:val="007850C0"/>
    <w:rsid w:val="007D1D48"/>
    <w:rsid w:val="007F16BC"/>
    <w:rsid w:val="0080346C"/>
    <w:rsid w:val="008171B4"/>
    <w:rsid w:val="008276D4"/>
    <w:rsid w:val="00840FED"/>
    <w:rsid w:val="008C2CA6"/>
    <w:rsid w:val="008D4165"/>
    <w:rsid w:val="00916110"/>
    <w:rsid w:val="0093692F"/>
    <w:rsid w:val="00942D5C"/>
    <w:rsid w:val="00951136"/>
    <w:rsid w:val="00992D9D"/>
    <w:rsid w:val="009A081F"/>
    <w:rsid w:val="009A19AD"/>
    <w:rsid w:val="009B1ED2"/>
    <w:rsid w:val="009D1AB8"/>
    <w:rsid w:val="00A37E3A"/>
    <w:rsid w:val="00A71655"/>
    <w:rsid w:val="00A93490"/>
    <w:rsid w:val="00AD5F47"/>
    <w:rsid w:val="00B45000"/>
    <w:rsid w:val="00B76C7B"/>
    <w:rsid w:val="00BE24F5"/>
    <w:rsid w:val="00BE76D3"/>
    <w:rsid w:val="00C5385B"/>
    <w:rsid w:val="00CC0A3E"/>
    <w:rsid w:val="00CC38C6"/>
    <w:rsid w:val="00CC39CD"/>
    <w:rsid w:val="00CC6A88"/>
    <w:rsid w:val="00CC6E0C"/>
    <w:rsid w:val="00CE2513"/>
    <w:rsid w:val="00DF541C"/>
    <w:rsid w:val="00E001A6"/>
    <w:rsid w:val="00E65A40"/>
    <w:rsid w:val="00E76C00"/>
    <w:rsid w:val="00E84E81"/>
    <w:rsid w:val="00E9104A"/>
    <w:rsid w:val="00EB7891"/>
    <w:rsid w:val="00EC5772"/>
    <w:rsid w:val="00EE516E"/>
    <w:rsid w:val="00EE5EB5"/>
    <w:rsid w:val="00F00952"/>
    <w:rsid w:val="00F01393"/>
    <w:rsid w:val="00F71015"/>
    <w:rsid w:val="00F720C9"/>
    <w:rsid w:val="00FA1E77"/>
    <w:rsid w:val="00FC27F6"/>
    <w:rsid w:val="00FC6768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аголовок №4_"/>
    <w:link w:val="40"/>
    <w:rsid w:val="00EB7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B7891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styleId="ae">
    <w:name w:val="No Spacing"/>
    <w:qFormat/>
    <w:rsid w:val="004E1F6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аголовок №4_"/>
    <w:link w:val="40"/>
    <w:rsid w:val="00EB7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B7891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styleId="ae">
    <w:name w:val="No Spacing"/>
    <w:qFormat/>
    <w:rsid w:val="004E1F6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7C78-A02A-4B7D-A532-DCABF72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2019-12-17T15:06:00Z</cp:lastPrinted>
  <dcterms:created xsi:type="dcterms:W3CDTF">2019-12-17T14:56:00Z</dcterms:created>
  <dcterms:modified xsi:type="dcterms:W3CDTF">2019-12-18T14:16:00Z</dcterms:modified>
</cp:coreProperties>
</file>