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00" w:rsidRDefault="00C45BB8" w:rsidP="00C51F00">
      <w:pPr>
        <w:ind w:left="10773"/>
        <w:rPr>
          <w:sz w:val="28"/>
          <w:szCs w:val="28"/>
        </w:rPr>
      </w:pPr>
      <w:r w:rsidRPr="004B4564">
        <w:rPr>
          <w:sz w:val="28"/>
          <w:szCs w:val="28"/>
        </w:rPr>
        <w:t xml:space="preserve">Додаток 2 </w:t>
      </w:r>
      <w:r w:rsidR="00C51F00">
        <w:rPr>
          <w:sz w:val="28"/>
          <w:szCs w:val="28"/>
        </w:rPr>
        <w:t xml:space="preserve">до додатка </w:t>
      </w:r>
    </w:p>
    <w:p w:rsidR="00DE76CB" w:rsidRDefault="00C51F00" w:rsidP="00C51F00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до рішення обласної ради </w:t>
      </w:r>
    </w:p>
    <w:p w:rsidR="00CF3B4F" w:rsidRPr="004B4564" w:rsidRDefault="00CF3B4F" w:rsidP="008A63EA">
      <w:pPr>
        <w:ind w:left="10773"/>
        <w:rPr>
          <w:sz w:val="28"/>
          <w:szCs w:val="28"/>
        </w:rPr>
      </w:pPr>
    </w:p>
    <w:p w:rsidR="00CF3B4F" w:rsidRPr="004B4564" w:rsidRDefault="00D71051" w:rsidP="008A63EA">
      <w:pPr>
        <w:pStyle w:val="ab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4564">
        <w:rPr>
          <w:rFonts w:ascii="Times New Roman" w:hAnsi="Times New Roman"/>
          <w:b/>
          <w:sz w:val="28"/>
          <w:szCs w:val="28"/>
        </w:rPr>
        <w:t xml:space="preserve">ПОКАЗНИКИ ОЦІНКИ ЕФЕКТИВНОСТІ </w:t>
      </w:r>
    </w:p>
    <w:p w:rsidR="00200877" w:rsidRDefault="00CF3B4F" w:rsidP="008A63EA">
      <w:pPr>
        <w:tabs>
          <w:tab w:val="left" w:pos="0"/>
        </w:tabs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 xml:space="preserve">виконання Програми розвитку міжнародного співробітництва, євроінтеграційних процесів та </w:t>
      </w:r>
    </w:p>
    <w:p w:rsidR="00CF3B4F" w:rsidRPr="004B4564" w:rsidRDefault="00CF3B4F" w:rsidP="008A63EA">
      <w:pPr>
        <w:tabs>
          <w:tab w:val="left" w:pos="0"/>
        </w:tabs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формування позитивного іміджу Дніпропетровської області на 2021 – 2025 роки</w:t>
      </w:r>
    </w:p>
    <w:p w:rsidR="00CF3B4F" w:rsidRPr="00C51F00" w:rsidRDefault="00CF3B4F" w:rsidP="008A63EA">
      <w:pPr>
        <w:pStyle w:val="ab"/>
        <w:ind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F3B4F" w:rsidRPr="004B4564" w:rsidRDefault="00CF3B4F" w:rsidP="008A63EA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4564">
        <w:rPr>
          <w:rFonts w:ascii="Times New Roman" w:hAnsi="Times New Roman"/>
          <w:b/>
          <w:sz w:val="28"/>
          <w:szCs w:val="28"/>
        </w:rPr>
        <w:t>І. Кількісні показники виконання Програми</w:t>
      </w:r>
    </w:p>
    <w:p w:rsidR="00CF3B4F" w:rsidRPr="004B4564" w:rsidRDefault="00CF3B4F" w:rsidP="008A63EA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40" w:type="dxa"/>
        <w:jc w:val="center"/>
        <w:tblInd w:w="-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4712"/>
        <w:gridCol w:w="1706"/>
        <w:gridCol w:w="1380"/>
        <w:gridCol w:w="881"/>
        <w:gridCol w:w="850"/>
        <w:gridCol w:w="762"/>
        <w:gridCol w:w="752"/>
        <w:gridCol w:w="754"/>
      </w:tblGrid>
      <w:tr w:rsidR="00C51F00" w:rsidRPr="004B4564" w:rsidTr="00C51F00">
        <w:trPr>
          <w:cantSplit/>
          <w:tblHeader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pStyle w:val="ab"/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4564">
              <w:rPr>
                <w:rFonts w:ascii="Times New Roman" w:hAnsi="Times New Roman"/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pStyle w:val="ab"/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4564">
              <w:rPr>
                <w:rFonts w:ascii="Times New Roman" w:hAnsi="Times New Roman"/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pStyle w:val="ab"/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4564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B4564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B4564">
              <w:rPr>
                <w:b/>
                <w:sz w:val="22"/>
                <w:szCs w:val="22"/>
              </w:rPr>
              <w:t>Значення показника за роками</w:t>
            </w:r>
          </w:p>
        </w:tc>
      </w:tr>
      <w:tr w:rsidR="00C51F00" w:rsidRPr="004B4564" w:rsidTr="00C51F00">
        <w:trPr>
          <w:cantSplit/>
          <w:trHeight w:val="476"/>
          <w:tblHeader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B4564">
              <w:rPr>
                <w:b/>
                <w:sz w:val="22"/>
                <w:szCs w:val="22"/>
              </w:rPr>
              <w:t>20</w:t>
            </w:r>
            <w:r w:rsidRPr="004B4564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4B4564">
              <w:rPr>
                <w:b/>
                <w:sz w:val="22"/>
                <w:szCs w:val="22"/>
              </w:rPr>
              <w:t>20</w:t>
            </w:r>
            <w:r w:rsidRPr="004B4564">
              <w:rPr>
                <w:b/>
                <w:sz w:val="22"/>
                <w:szCs w:val="22"/>
                <w:lang w:val="en-US"/>
              </w:rPr>
              <w:t>22</w:t>
            </w:r>
            <w:r w:rsidRPr="004B45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ind w:left="-108" w:right="-98"/>
              <w:jc w:val="center"/>
              <w:rPr>
                <w:b/>
                <w:sz w:val="22"/>
                <w:szCs w:val="22"/>
              </w:rPr>
            </w:pPr>
            <w:r w:rsidRPr="004B4564">
              <w:rPr>
                <w:b/>
                <w:sz w:val="22"/>
                <w:szCs w:val="22"/>
              </w:rPr>
              <w:t>20</w:t>
            </w:r>
            <w:r w:rsidRPr="004B4564">
              <w:rPr>
                <w:b/>
                <w:sz w:val="22"/>
                <w:szCs w:val="22"/>
                <w:lang w:val="en-US"/>
              </w:rPr>
              <w:t>23</w:t>
            </w:r>
            <w:r w:rsidRPr="004B45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ind w:left="-108" w:right="-128"/>
              <w:jc w:val="center"/>
              <w:rPr>
                <w:b/>
                <w:sz w:val="22"/>
                <w:szCs w:val="22"/>
                <w:lang w:val="en-US"/>
              </w:rPr>
            </w:pPr>
            <w:r w:rsidRPr="004B4564">
              <w:rPr>
                <w:b/>
                <w:sz w:val="22"/>
                <w:szCs w:val="22"/>
              </w:rPr>
              <w:t>20</w:t>
            </w:r>
            <w:r w:rsidRPr="004B4564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51" w:rsidRPr="004B4564" w:rsidRDefault="00D71051" w:rsidP="00291257">
            <w:pPr>
              <w:spacing w:line="216" w:lineRule="auto"/>
              <w:ind w:right="-53"/>
              <w:jc w:val="center"/>
              <w:rPr>
                <w:b/>
                <w:sz w:val="22"/>
                <w:szCs w:val="22"/>
                <w:lang w:val="en-US"/>
              </w:rPr>
            </w:pPr>
            <w:r w:rsidRPr="004B4564">
              <w:rPr>
                <w:b/>
                <w:sz w:val="22"/>
                <w:szCs w:val="22"/>
              </w:rPr>
              <w:t>202</w:t>
            </w:r>
            <w:r w:rsidRPr="004B4564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51F00" w:rsidRPr="004B4564" w:rsidTr="00C51F00">
        <w:trPr>
          <w:trHeight w:val="649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</w:pPr>
            <w:r w:rsidRPr="00C51F00">
              <w:t>1. Формування позитивного міжнародного іміджу Дніпропетровської області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</w:pPr>
            <w:r w:rsidRPr="00C51F00">
              <w:t>1.1. Виготовлення мобільного виставкового стенда Дніпропетровської області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Стенд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5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</w:tr>
      <w:tr w:rsidR="00C51F00" w:rsidRPr="004B4564" w:rsidTr="00C51F00">
        <w:trPr>
          <w:trHeight w:val="744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2B" w:rsidRPr="00C51F00" w:rsidRDefault="00EA6CE7" w:rsidP="00C51F00">
            <w:pPr>
              <w:spacing w:line="216" w:lineRule="auto"/>
            </w:pPr>
            <w:r w:rsidRPr="00C51F00">
              <w:t xml:space="preserve">1.2. Кількість розроблених ескізів та виготовленої </w:t>
            </w:r>
            <w:proofErr w:type="spellStart"/>
            <w:r w:rsidRPr="00C51F00">
              <w:t>брендової</w:t>
            </w:r>
            <w:proofErr w:type="spellEnd"/>
            <w:r w:rsidRPr="00C51F00">
              <w:t xml:space="preserve"> сувенірної продукції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Одиниць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100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10</w:t>
            </w:r>
            <w:r w:rsidRPr="00C51F00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  <w:r w:rsidRPr="00C51F00">
              <w:rPr>
                <w:lang w:val="en-US"/>
              </w:rPr>
              <w:t>0</w:t>
            </w:r>
            <w:r w:rsidRPr="00C51F00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  <w:r w:rsidRPr="00C51F00">
              <w:rPr>
                <w:lang w:val="en-US"/>
              </w:rPr>
              <w:t>0</w:t>
            </w:r>
            <w:r w:rsidRPr="00C51F00"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  <w:r w:rsidRPr="00C51F00">
              <w:rPr>
                <w:lang w:val="en-US"/>
              </w:rPr>
              <w:t>0</w:t>
            </w:r>
            <w:r w:rsidRPr="00C51F00">
              <w:t>0</w:t>
            </w:r>
          </w:p>
        </w:tc>
      </w:tr>
      <w:tr w:rsidR="00C51F00" w:rsidRPr="004B4564" w:rsidTr="00C51F00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C30991">
            <w:pPr>
              <w:spacing w:line="216" w:lineRule="auto"/>
              <w:ind w:firstLine="34"/>
            </w:pPr>
            <w:r w:rsidRPr="00C51F00">
              <w:t>2. Інформування та комунікаційні дії щодо формування</w:t>
            </w:r>
            <w:r w:rsidR="00C30991" w:rsidRPr="00C51F00">
              <w:t xml:space="preserve"> </w:t>
            </w:r>
            <w:r w:rsidRPr="00C51F00">
              <w:t xml:space="preserve">іміджу області </w:t>
            </w:r>
            <w:r w:rsidR="00C30991" w:rsidRPr="00C51F00">
              <w:br/>
            </w:r>
            <w:r w:rsidRPr="00C51F00">
              <w:t>за кордоном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</w:pPr>
            <w:r w:rsidRPr="00C51F00">
              <w:t>2.1. Організація інформаційно-комп’ютерного та матеріально-технічного забезпечення виконання Програми, а саме:</w:t>
            </w:r>
          </w:p>
          <w:p w:rsidR="00C51F00" w:rsidRPr="00C51F00" w:rsidRDefault="00EA6CE7" w:rsidP="00C51F00">
            <w:pPr>
              <w:spacing w:line="216" w:lineRule="auto"/>
            </w:pPr>
            <w:r w:rsidRPr="00C51F00">
              <w:t>кількість комп’ютерів, принтерів, факсів, сканерів, програмного забезпечення, витратних матеріалів, офісного приладдя, тощо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Одиниць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100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</w:tr>
      <w:tr w:rsidR="00C51F00" w:rsidRPr="004B4564" w:rsidTr="00C51F00">
        <w:trPr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2B" w:rsidRPr="00C51F00" w:rsidRDefault="00EA6CE7" w:rsidP="00C51F00">
            <w:pPr>
              <w:spacing w:line="228" w:lineRule="auto"/>
            </w:pPr>
            <w:r w:rsidRPr="00C51F00">
              <w:t>2.2. Кількість проведених на базі закордонних дипломатичних установ в Україні презентацій та інших заходів Дніпропетровської області як лідера регіонального розвитку з використанням сучасного підходу  до налагодження зв’язків органів влади з громадськістю та представниками бізнес-кіл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t>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</w:tr>
      <w:tr w:rsidR="00C51F00" w:rsidRPr="00C51F00" w:rsidTr="00C51F00">
        <w:trPr>
          <w:trHeight w:val="1261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</w:pPr>
            <w:r w:rsidRPr="00C51F00">
              <w:t>2.3. Кількість організованих та проведених презентацій та інших заходів Дніпропетровської області в країнах Європейського Союзу та світу</w:t>
            </w:r>
          </w:p>
          <w:p w:rsidR="00867B2B" w:rsidRPr="00C51F00" w:rsidRDefault="00867B2B" w:rsidP="00747F2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t>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</w:tr>
      <w:tr w:rsidR="00C51F00" w:rsidRPr="00C51F00" w:rsidTr="00C34CCD">
        <w:trPr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</w:pPr>
            <w:r w:rsidRPr="00C51F00">
              <w:t>2.4.</w:t>
            </w:r>
            <w:r w:rsidR="00467C42" w:rsidRPr="00C51F00">
              <w:t xml:space="preserve"> </w:t>
            </w:r>
            <w:r w:rsidRPr="00C51F00">
              <w:t>Кількість підготовлених  та надрукованих сучасних інформаційно-довідкових матеріалів, створення фільму про Дніпропетровську область та  регіональне співробітництво, євроінтеграційні процеси в Україні українською та іноземними мовами (флеш-носії, брошури, буклети тощо)</w:t>
            </w:r>
          </w:p>
          <w:p w:rsidR="00867B2B" w:rsidRPr="00C51F00" w:rsidRDefault="00867B2B" w:rsidP="00747F2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t>Флеш-носії, брошури,</w:t>
            </w:r>
          </w:p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t xml:space="preserve">буклети, фільм тощо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10</w:t>
            </w:r>
            <w:r w:rsidRPr="00C51F00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00</w:t>
            </w:r>
          </w:p>
        </w:tc>
      </w:tr>
      <w:tr w:rsidR="00C51F00" w:rsidRPr="00C51F00" w:rsidTr="00C34CCD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ind w:firstLine="34"/>
            </w:pPr>
            <w:r w:rsidRPr="00C51F00">
              <w:t>3. Активізація міжнародних зв’язків області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</w:pPr>
            <w:r w:rsidRPr="00C51F00">
              <w:t>3.1. Організаційно-технічне забезпечення візитів офіційних делегацій до Дніпропетровської</w:t>
            </w:r>
          </w:p>
          <w:p w:rsidR="00867B2B" w:rsidRPr="00C51F00" w:rsidRDefault="00EA6CE7" w:rsidP="00747F2A">
            <w:pPr>
              <w:spacing w:line="235" w:lineRule="auto"/>
            </w:pPr>
            <w:r w:rsidRPr="00C51F00">
              <w:t>області (кількість візитів)</w:t>
            </w:r>
          </w:p>
          <w:p w:rsidR="00200877" w:rsidRPr="00C51F00" w:rsidRDefault="00200877" w:rsidP="00747F2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t>Візит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24</w:t>
            </w:r>
            <w:r w:rsidRPr="00C51F00"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5</w:t>
            </w:r>
            <w:r w:rsidRPr="00C51F00"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747F2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6</w:t>
            </w:r>
            <w:r w:rsidRPr="00C51F00">
              <w:t>0</w:t>
            </w:r>
          </w:p>
        </w:tc>
      </w:tr>
      <w:tr w:rsidR="00C51F00" w:rsidRPr="00C51F00" w:rsidTr="00C34CCD">
        <w:trPr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28" w:lineRule="auto"/>
            </w:pPr>
            <w:r w:rsidRPr="00C51F00">
              <w:t xml:space="preserve">3.2. Організація стажування спеціалістів облдержадміністрації та представників органів місцевого самоврядування в державних установах провідних країн </w:t>
            </w:r>
            <w:r w:rsidR="00467C42" w:rsidRPr="00C51F00">
              <w:t>Європейського Союзу</w:t>
            </w:r>
            <w:r w:rsidRPr="00C51F00">
              <w:t xml:space="preserve"> та світу</w:t>
            </w:r>
          </w:p>
          <w:p w:rsidR="006A0BE6" w:rsidRPr="00C51F00" w:rsidRDefault="006A0BE6" w:rsidP="00291257">
            <w:pPr>
              <w:spacing w:line="228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291257" w:rsidP="00291257">
            <w:pPr>
              <w:spacing w:line="216" w:lineRule="auto"/>
              <w:jc w:val="center"/>
            </w:pPr>
            <w:r w:rsidRPr="00C51F00">
              <w:t>Стажування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5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  <w:p w:rsidR="00EA6CE7" w:rsidRPr="00C51F00" w:rsidRDefault="00EA6CE7" w:rsidP="00291257">
            <w:pPr>
              <w:spacing w:line="216" w:lineRule="auto"/>
              <w:jc w:val="center"/>
            </w:pPr>
          </w:p>
        </w:tc>
      </w:tr>
      <w:tr w:rsidR="00C51F00" w:rsidRPr="00C51F00" w:rsidTr="00C51F00">
        <w:trPr>
          <w:jc w:val="center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EA6CE7">
            <w:pPr>
              <w:spacing w:line="228" w:lineRule="auto"/>
            </w:pPr>
            <w:r w:rsidRPr="00C51F00">
              <w:t>3.3. Проведення організаційної роботи щодо відкриття на території області консульських установ країн Європи та світу (кількість відкритих консульств)</w:t>
            </w:r>
          </w:p>
          <w:p w:rsidR="006A0BE6" w:rsidRPr="00C51F00" w:rsidRDefault="006A0BE6" w:rsidP="00EA6CE7">
            <w:pPr>
              <w:spacing w:line="228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Консульська установа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1</w:t>
            </w:r>
          </w:p>
        </w:tc>
      </w:tr>
      <w:tr w:rsidR="00C51F00" w:rsidRPr="00C51F00" w:rsidTr="00C51F00">
        <w:trPr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ind w:firstLine="34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28" w:lineRule="auto"/>
            </w:pPr>
            <w:r w:rsidRPr="00C51F00">
              <w:t>3.4.</w:t>
            </w:r>
            <w:r w:rsidR="00467C42" w:rsidRPr="00C51F00">
              <w:t xml:space="preserve"> </w:t>
            </w:r>
            <w:r w:rsidRPr="00C51F00">
              <w:t>Забезпечення професійним перекладом українською та іноземними мовами заходів (кількість листів, презентацій тощо)</w:t>
            </w:r>
          </w:p>
          <w:p w:rsidR="00CC1F07" w:rsidRPr="00C51F00" w:rsidRDefault="00CC1F07" w:rsidP="00291257">
            <w:pPr>
              <w:spacing w:line="228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Лист, презентація, захід, тощо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24</w:t>
            </w:r>
            <w:r w:rsidRPr="00C51F00"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5</w:t>
            </w:r>
            <w:r w:rsidRPr="00C51F00"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6</w:t>
            </w:r>
            <w:r w:rsidRPr="00C51F00">
              <w:t>0</w:t>
            </w:r>
          </w:p>
        </w:tc>
      </w:tr>
      <w:tr w:rsidR="00C51F00" w:rsidRPr="00C51F00" w:rsidTr="00F60E0A">
        <w:trPr>
          <w:trHeight w:val="156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291257">
            <w:pPr>
              <w:ind w:firstLine="35"/>
            </w:pPr>
            <w:r w:rsidRPr="00C51F00">
              <w:t>4. Стимулювання взаємодії вітчизняних та закордонних суб’єктів підприємницької діяльності на регіональному рівні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r w:rsidRPr="00C51F00">
              <w:t>4.1.</w:t>
            </w:r>
            <w:r w:rsidR="00467C42" w:rsidRPr="00C51F00">
              <w:t xml:space="preserve"> </w:t>
            </w:r>
            <w:r w:rsidRPr="00C51F00">
              <w:t>Участь представників органів влади  та бізнес-кіл у впливових міжнародних та національних  виставково-ярмаркових</w:t>
            </w:r>
            <w:r w:rsidR="00404A4A">
              <w:t xml:space="preserve"> заходах,</w:t>
            </w:r>
            <w:r w:rsidRPr="00C51F00">
              <w:t xml:space="preserve"> конференціях, круглих столах та інших заходах (кількість заходів)</w:t>
            </w:r>
          </w:p>
          <w:p w:rsidR="00CC1F07" w:rsidRPr="00C51F00" w:rsidRDefault="00CC1F07" w:rsidP="0029125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2</w:t>
            </w:r>
            <w:r w:rsidRPr="00C51F00">
              <w:rPr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rPr>
                <w:lang w:val="en-US"/>
              </w:rPr>
              <w:t>5</w:t>
            </w:r>
          </w:p>
        </w:tc>
      </w:tr>
      <w:tr w:rsidR="00C51F00" w:rsidRPr="00C51F00" w:rsidTr="00F60E0A">
        <w:trPr>
          <w:trHeight w:val="1354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ind w:firstLine="35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r w:rsidRPr="00C51F00">
              <w:t>4.2. Кількість проведених у Дніпропетровській області міжнародних заходів, спрямованих на розширення двосторонньої співпраці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</w:pPr>
            <w:r w:rsidRPr="00C51F00">
              <w:t>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91257">
            <w:pPr>
              <w:spacing w:line="216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</w:tr>
      <w:tr w:rsidR="00C51F00" w:rsidRPr="00C51F00" w:rsidTr="00F60E0A">
        <w:trPr>
          <w:trHeight w:val="1435"/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ind w:firstLine="35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</w:pPr>
            <w:r w:rsidRPr="00C51F00">
              <w:t>4.3. Організація візитів делегацій області з метою розширення  сфер співробітництва та підписання нових міжрегіональних угод (кількість візитів)</w:t>
            </w:r>
          </w:p>
          <w:p w:rsidR="00CC1F07" w:rsidRPr="00C51F00" w:rsidRDefault="00CC1F07" w:rsidP="006A2D7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Візит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</w:t>
            </w:r>
          </w:p>
        </w:tc>
      </w:tr>
      <w:tr w:rsidR="00C51F00" w:rsidRPr="00C51F00" w:rsidTr="00F60E0A">
        <w:trPr>
          <w:trHeight w:val="143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ind w:firstLine="35"/>
            </w:pPr>
            <w:r w:rsidRPr="00C51F00">
              <w:t>5. Підвищення суспільного інформаційно-освітнього рівня населення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</w:pPr>
            <w:r w:rsidRPr="00C51F00">
              <w:t>5.1.</w:t>
            </w:r>
            <w:r w:rsidR="00467C42" w:rsidRPr="00C51F00">
              <w:t xml:space="preserve"> </w:t>
            </w:r>
            <w:r w:rsidRPr="00C51F00">
              <w:t>Кількість проведених міжнародних науково-практичних конференцій, тематичних семінарів</w:t>
            </w:r>
            <w:r w:rsidR="00291257" w:rsidRPr="00C51F00">
              <w:t>, форумів, громадських слухань,</w:t>
            </w:r>
            <w:r w:rsidRPr="00C51F00">
              <w:t xml:space="preserve"> круглих столів, дебатів та інших заходів, у тому числі за участю міжнародних організацій та іноземних дипломатичних представництв в Україні</w:t>
            </w:r>
          </w:p>
          <w:p w:rsidR="006A2D7A" w:rsidRPr="00C51F00" w:rsidRDefault="006A2D7A" w:rsidP="006A2D7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Тематичні лекції, уроки, круглі столи, конференції тощо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1</w:t>
            </w:r>
            <w:r w:rsidRPr="00C51F00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rPr>
                <w:lang w:val="en-US"/>
              </w:rPr>
              <w:t>2</w:t>
            </w:r>
            <w:r w:rsidRPr="00C51F00">
              <w:t>0</w:t>
            </w:r>
          </w:p>
        </w:tc>
      </w:tr>
      <w:tr w:rsidR="00C51F00" w:rsidRPr="00C51F00" w:rsidTr="00F60E0A">
        <w:trPr>
          <w:trHeight w:val="143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ind w:firstLine="35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A" w:rsidRPr="00C51F00" w:rsidRDefault="00EA6CE7" w:rsidP="006A2D7A">
            <w:pPr>
              <w:spacing w:line="235" w:lineRule="auto"/>
            </w:pPr>
            <w:r w:rsidRPr="00C51F00">
              <w:t>5.2.</w:t>
            </w:r>
            <w:r w:rsidR="00467C42" w:rsidRPr="00C51F00">
              <w:t xml:space="preserve"> </w:t>
            </w:r>
            <w:r w:rsidRPr="00C51F00">
              <w:t xml:space="preserve">Урочисте святкування </w:t>
            </w:r>
          </w:p>
          <w:p w:rsidR="00EA6CE7" w:rsidRPr="00C51F00" w:rsidRDefault="00EA6CE7" w:rsidP="006A2D7A">
            <w:pPr>
              <w:spacing w:line="235" w:lineRule="auto"/>
            </w:pPr>
            <w:r w:rsidRPr="00C51F00">
              <w:t xml:space="preserve">Дня Європи: зустрічі з представниками дипломатичних кіл та іноземних організацій, концерти за участю творчих колективів країн </w:t>
            </w:r>
            <w:r w:rsidR="00467C42" w:rsidRPr="00C51F00">
              <w:t>Європейського Союзу</w:t>
            </w:r>
            <w:r w:rsidRPr="00C51F00">
              <w:t>, театралізоване свято, спортивні змагання, народні гуляння тощо (кількість проведених заходів)</w:t>
            </w:r>
          </w:p>
          <w:p w:rsidR="006A2D7A" w:rsidRPr="00C51F00" w:rsidRDefault="006A2D7A" w:rsidP="006A2D7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1</w:t>
            </w:r>
          </w:p>
        </w:tc>
      </w:tr>
      <w:tr w:rsidR="00C51F00" w:rsidRPr="00C51F00" w:rsidTr="00C51F00">
        <w:trPr>
          <w:jc w:val="center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ind w:firstLine="35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Default="00EA6CE7" w:rsidP="00404A4A">
            <w:pPr>
              <w:spacing w:line="235" w:lineRule="auto"/>
            </w:pPr>
            <w:r w:rsidRPr="00C51F00">
              <w:t>5.3.</w:t>
            </w:r>
            <w:r w:rsidR="00867B2B" w:rsidRPr="00C51F00">
              <w:t xml:space="preserve"> </w:t>
            </w:r>
            <w:r w:rsidRPr="00C51F00">
              <w:t>Організація курсів із вивчення іноземних мов державними службовцями органів виконавчої влади та посадовими особами місцевого самоврядування (кількість курсів)</w:t>
            </w:r>
          </w:p>
          <w:p w:rsidR="00404A4A" w:rsidRPr="00C51F00" w:rsidRDefault="00404A4A" w:rsidP="00404A4A">
            <w:pPr>
              <w:spacing w:line="235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</w:pPr>
            <w:r w:rsidRPr="00C51F00">
              <w:t>Курс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6A2D7A">
            <w:pPr>
              <w:spacing w:line="235" w:lineRule="auto"/>
              <w:jc w:val="center"/>
              <w:rPr>
                <w:lang w:val="en-US"/>
              </w:rPr>
            </w:pPr>
            <w:r w:rsidRPr="00C51F00">
              <w:rPr>
                <w:lang w:val="en-US"/>
              </w:rPr>
              <w:t>1</w:t>
            </w:r>
          </w:p>
        </w:tc>
      </w:tr>
      <w:tr w:rsidR="00C51F00" w:rsidRPr="00C51F00" w:rsidTr="00C51F00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9" w:rsidRPr="00C51F00" w:rsidRDefault="00EA6CE7" w:rsidP="002E7E19">
            <w:pPr>
              <w:spacing w:line="252" w:lineRule="auto"/>
            </w:pPr>
            <w:r w:rsidRPr="00C51F00">
              <w:t>6. Формування норм, правил, традицій організації офіційних заходів за участю голови облдержадмі</w:t>
            </w:r>
            <w:r w:rsidR="00404A4A">
              <w:softHyphen/>
            </w:r>
            <w:r w:rsidRPr="00C51F00">
              <w:t>ністрації  та керівн</w:t>
            </w:r>
            <w:r w:rsidR="00404A4A">
              <w:softHyphen/>
            </w:r>
            <w:r w:rsidRPr="00C51F00">
              <w:t xml:space="preserve">ицтва області на рівні загальноприйнятих  міжнародних норм </w:t>
            </w:r>
          </w:p>
          <w:p w:rsidR="00EA6CE7" w:rsidRPr="00C51F00" w:rsidRDefault="00EA6CE7" w:rsidP="002E7E19">
            <w:pPr>
              <w:spacing w:line="252" w:lineRule="auto"/>
            </w:pPr>
            <w:r w:rsidRPr="00C51F00">
              <w:t>у частині забезпечення представницьких функцій державного управління в регіоні</w:t>
            </w:r>
          </w:p>
          <w:p w:rsidR="002E7E19" w:rsidRPr="00C51F00" w:rsidRDefault="002E7E19" w:rsidP="002E7E19">
            <w:pPr>
              <w:spacing w:line="252" w:lineRule="auto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</w:pPr>
            <w:r w:rsidRPr="00C51F00">
              <w:t>6.1.</w:t>
            </w:r>
            <w:r w:rsidR="00467C42" w:rsidRPr="00C51F00">
              <w:t xml:space="preserve"> </w:t>
            </w:r>
            <w:r w:rsidRPr="00C51F00">
              <w:t>Розробка та виконання протокольних вимог щодо здійснення представницьких функцій державного управління в регіоні, організаційно-технічне забезпечення проведення офіційних заходів на території області за участю керівництва області (кількість протокольних заходів)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Протокольний 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2390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500</w:t>
            </w:r>
          </w:p>
        </w:tc>
      </w:tr>
      <w:tr w:rsidR="00C51F00" w:rsidRPr="00C51F00" w:rsidTr="00404A4A">
        <w:trPr>
          <w:trHeight w:val="2381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</w:pPr>
            <w:r w:rsidRPr="00C51F00">
              <w:lastRenderedPageBreak/>
              <w:t>7. Проведення культурно-масових заходів за участю керівництва області, що мають представ</w:t>
            </w:r>
            <w:r w:rsidR="00404A4A">
              <w:softHyphen/>
            </w:r>
            <w:r w:rsidRPr="00C51F00">
              <w:t>ницький характер або присвячені знаменним датам, річницям</w:t>
            </w:r>
            <w:r w:rsidRPr="00C51F00">
              <w:rPr>
                <w:bCs/>
              </w:rPr>
              <w:t xml:space="preserve">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</w:pPr>
            <w:r w:rsidRPr="00C51F00">
              <w:t>7.1. Організаційно-технічне забезпечення проведення на належному рівні щорічних масових заходів за участю керівництва області, що мають представницький характер або присвячені знаменним датам, річницям (кількість заходів)</w:t>
            </w:r>
          </w:p>
          <w:p w:rsidR="002E7E19" w:rsidRPr="00C51F00" w:rsidRDefault="002E7E19" w:rsidP="002E7E19">
            <w:pPr>
              <w:spacing w:line="252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Масовий захід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4</w:t>
            </w:r>
          </w:p>
        </w:tc>
      </w:tr>
      <w:tr w:rsidR="00C51F00" w:rsidRPr="00C51F00" w:rsidTr="00063079">
        <w:trPr>
          <w:trHeight w:val="197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404A4A">
            <w:pPr>
              <w:spacing w:line="252" w:lineRule="auto"/>
            </w:pPr>
            <w:r w:rsidRPr="00C51F00">
              <w:t xml:space="preserve">8. </w:t>
            </w:r>
            <w:r w:rsidR="00467C42" w:rsidRPr="00C51F00">
              <w:t>Створення сприятливих умов для ефективної реалізації державної регіональної політики</w:t>
            </w:r>
            <w:r w:rsidR="00E111AD" w:rsidRPr="00C51F00">
              <w:t xml:space="preserve"> у сфері євроінтеграції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</w:pPr>
            <w:r w:rsidRPr="00C51F00">
              <w:t>8.1. Кількість проведених форумів, конференцій, семінарів, круглих столів та інших заходів</w:t>
            </w:r>
            <w:r w:rsidR="00404A4A">
              <w:t>,</w:t>
            </w:r>
            <w:r w:rsidRPr="00C51F00">
              <w:t xml:space="preserve"> пов’язаних з євроінтеграційними процесами на регіональному рівні </w:t>
            </w:r>
          </w:p>
          <w:p w:rsidR="002E7E19" w:rsidRPr="00C51F00" w:rsidRDefault="002E7E19" w:rsidP="002E7E19">
            <w:pPr>
              <w:spacing w:line="252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Форуми, круглі столи, конференції тощо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7" w:rsidRPr="00C51F00" w:rsidRDefault="00EA6CE7" w:rsidP="002E7E19">
            <w:pPr>
              <w:spacing w:line="252" w:lineRule="auto"/>
              <w:jc w:val="center"/>
            </w:pPr>
            <w:r w:rsidRPr="00C51F00">
              <w:t>10</w:t>
            </w:r>
          </w:p>
        </w:tc>
      </w:tr>
    </w:tbl>
    <w:p w:rsidR="00CF3B4F" w:rsidRPr="00C51F00" w:rsidRDefault="00CF3B4F" w:rsidP="00CF3B4F">
      <w:pPr>
        <w:pStyle w:val="ab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67B2B" w:rsidRPr="004B4564" w:rsidRDefault="00867B2B" w:rsidP="00CF3B4F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63DB" w:rsidRPr="004B4564" w:rsidRDefault="007F63DB" w:rsidP="007F63DB">
      <w:pPr>
        <w:pStyle w:val="ab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4564">
        <w:rPr>
          <w:rFonts w:ascii="Times New Roman" w:hAnsi="Times New Roman"/>
          <w:b/>
          <w:sz w:val="28"/>
          <w:szCs w:val="28"/>
        </w:rPr>
        <w:t>ІІ. Якісні показники виконання Програми</w:t>
      </w:r>
    </w:p>
    <w:p w:rsidR="00291257" w:rsidRDefault="00291257" w:rsidP="00CF3B4F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63DB" w:rsidRPr="007F63DB" w:rsidRDefault="007F63DB" w:rsidP="001534FF">
      <w:pPr>
        <w:ind w:firstLine="709"/>
        <w:jc w:val="both"/>
        <w:rPr>
          <w:sz w:val="28"/>
          <w:szCs w:val="28"/>
        </w:rPr>
      </w:pPr>
      <w:r w:rsidRPr="007F63DB">
        <w:rPr>
          <w:sz w:val="28"/>
          <w:szCs w:val="28"/>
        </w:rPr>
        <w:t>Постійне поширення актуальної інформації про розвиток та досягнення Дніпропетровської області серед країн світу, створення позитивного міжнародного іміджу регіону-лідера, залучення міжнародних спеціалістів, інвесторів, представників громадських організацій до реалізації соціально важливих інвестиційних проєктів області, створення сприятливих умов для залучення іноземних інвестицій та забезпечення їх необхідною інформацією,  розширення торговельно-економічних, науково-технічних та культурних зв’язків Дніпропетровської області з країнами світу, збільшення двостороннього торговельно-економічного обороту, збалансування показників експорту та імпорту, відкриття консульських установ країн Європи та світу у м. Дніпр</w:t>
      </w:r>
      <w:r w:rsidR="00063079">
        <w:rPr>
          <w:sz w:val="28"/>
          <w:szCs w:val="28"/>
        </w:rPr>
        <w:t>і</w:t>
      </w:r>
      <w:r w:rsidRPr="007F63DB">
        <w:rPr>
          <w:sz w:val="28"/>
          <w:szCs w:val="28"/>
        </w:rPr>
        <w:t xml:space="preserve">, представлення потенціалу </w:t>
      </w:r>
      <w:r w:rsidRPr="007F63DB">
        <w:rPr>
          <w:sz w:val="28"/>
          <w:szCs w:val="28"/>
        </w:rPr>
        <w:lastRenderedPageBreak/>
        <w:t>Дніпропетровської області на впливових міжнародних виставкових заходах, залучення представників іноземного дипломатичного корпусу в Україні до просування позитивного іміджу Дніпропетровської області за кордоном.</w:t>
      </w:r>
    </w:p>
    <w:p w:rsidR="007F63DB" w:rsidRPr="007F63DB" w:rsidRDefault="007F63DB" w:rsidP="001534FF">
      <w:pPr>
        <w:ind w:firstLine="709"/>
        <w:jc w:val="both"/>
        <w:rPr>
          <w:sz w:val="28"/>
          <w:szCs w:val="28"/>
        </w:rPr>
      </w:pPr>
      <w:r w:rsidRPr="007F63DB">
        <w:rPr>
          <w:sz w:val="28"/>
          <w:szCs w:val="28"/>
        </w:rPr>
        <w:t>Організація протокольних і церемоніальних заходів із забезпеченням загальноприйнятих норм, правил, традицій і умовностей, яких дотримуються Уряд України, державні установи, відомства закордонних справ, дипломатичні представництва, місії, офіційні особи та члени їх</w:t>
      </w:r>
      <w:r w:rsidR="00063079">
        <w:rPr>
          <w:sz w:val="28"/>
          <w:szCs w:val="28"/>
        </w:rPr>
        <w:t>ніх</w:t>
      </w:r>
      <w:bookmarkStart w:id="0" w:name="_GoBack"/>
      <w:bookmarkEnd w:id="0"/>
      <w:r w:rsidRPr="007F63DB">
        <w:rPr>
          <w:sz w:val="28"/>
          <w:szCs w:val="28"/>
        </w:rPr>
        <w:t xml:space="preserve"> родин.</w:t>
      </w:r>
    </w:p>
    <w:p w:rsidR="007F63DB" w:rsidRPr="007F63DB" w:rsidRDefault="007F63DB" w:rsidP="001534F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3DB">
        <w:rPr>
          <w:rFonts w:ascii="Times New Roman" w:hAnsi="Times New Roman"/>
          <w:sz w:val="28"/>
          <w:szCs w:val="28"/>
        </w:rPr>
        <w:t>Формування культури соціальної довіри шляхом проведення культурно-масових заходів за участю керівництва області.</w:t>
      </w:r>
    </w:p>
    <w:p w:rsidR="007F63DB" w:rsidRPr="004B4564" w:rsidRDefault="007F63DB" w:rsidP="001534FF">
      <w:pPr>
        <w:pStyle w:val="ab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B4F" w:rsidRPr="004B4564" w:rsidRDefault="00CF3B4F" w:rsidP="001534FF">
      <w:pPr>
        <w:ind w:firstLine="709"/>
        <w:jc w:val="both"/>
        <w:rPr>
          <w:sz w:val="28"/>
          <w:szCs w:val="28"/>
        </w:rPr>
      </w:pPr>
    </w:p>
    <w:p w:rsidR="00CF3B4F" w:rsidRDefault="00CF3B4F" w:rsidP="001534FF">
      <w:pPr>
        <w:jc w:val="center"/>
        <w:outlineLvl w:val="4"/>
        <w:rPr>
          <w:sz w:val="28"/>
          <w:szCs w:val="28"/>
        </w:rPr>
      </w:pPr>
    </w:p>
    <w:tbl>
      <w:tblPr>
        <w:tblW w:w="148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  <w:gridCol w:w="4901"/>
      </w:tblGrid>
      <w:tr w:rsidR="00DD2D4D" w:rsidRPr="002868C2" w:rsidTr="00DD2D4D">
        <w:trPr>
          <w:trHeight w:val="526"/>
        </w:trPr>
        <w:tc>
          <w:tcPr>
            <w:tcW w:w="4111" w:type="dxa"/>
            <w:vAlign w:val="bottom"/>
          </w:tcPr>
          <w:p w:rsidR="00C34CCD" w:rsidRDefault="00C34CCD" w:rsidP="00DD2D4D">
            <w:pPr>
              <w:spacing w:line="228" w:lineRule="auto"/>
              <w:rPr>
                <w:b/>
                <w:color w:val="000000"/>
                <w:sz w:val="28"/>
                <w:szCs w:val="28"/>
              </w:rPr>
            </w:pPr>
            <w:r w:rsidRPr="00C34CCD">
              <w:rPr>
                <w:b/>
                <w:color w:val="000000"/>
                <w:sz w:val="28"/>
                <w:szCs w:val="28"/>
              </w:rPr>
              <w:t xml:space="preserve">Перший заступник </w:t>
            </w:r>
          </w:p>
          <w:p w:rsidR="00DD2D4D" w:rsidRPr="00C34CCD" w:rsidRDefault="00C34CCD" w:rsidP="00DD2D4D">
            <w:pPr>
              <w:spacing w:line="228" w:lineRule="auto"/>
              <w:rPr>
                <w:b/>
                <w:color w:val="000000"/>
                <w:sz w:val="28"/>
                <w:szCs w:val="28"/>
              </w:rPr>
            </w:pPr>
            <w:r w:rsidRPr="00C34CCD">
              <w:rPr>
                <w:b/>
                <w:color w:val="000000"/>
                <w:sz w:val="28"/>
                <w:szCs w:val="28"/>
              </w:rPr>
              <w:t>голови обласної ради</w:t>
            </w:r>
          </w:p>
        </w:tc>
        <w:tc>
          <w:tcPr>
            <w:tcW w:w="5812" w:type="dxa"/>
            <w:vAlign w:val="bottom"/>
          </w:tcPr>
          <w:p w:rsidR="00DD2D4D" w:rsidRPr="00C34CCD" w:rsidRDefault="00DD2D4D" w:rsidP="00672CFF">
            <w:pPr>
              <w:spacing w:line="228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4901" w:type="dxa"/>
            <w:vAlign w:val="bottom"/>
          </w:tcPr>
          <w:p w:rsidR="00DD2D4D" w:rsidRPr="00C34CCD" w:rsidRDefault="00C34CCD" w:rsidP="00672CFF">
            <w:pPr>
              <w:spacing w:line="228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Г. ГУФМАН</w:t>
            </w:r>
          </w:p>
        </w:tc>
      </w:tr>
    </w:tbl>
    <w:p w:rsidR="001534FF" w:rsidRPr="004B4564" w:rsidRDefault="001534FF" w:rsidP="001534FF">
      <w:pPr>
        <w:jc w:val="center"/>
        <w:outlineLvl w:val="4"/>
        <w:rPr>
          <w:sz w:val="28"/>
          <w:szCs w:val="28"/>
        </w:rPr>
      </w:pPr>
    </w:p>
    <w:sectPr w:rsidR="001534FF" w:rsidRPr="004B4564" w:rsidSect="00C51F00">
      <w:headerReference w:type="default" r:id="rId8"/>
      <w:headerReference w:type="first" r:id="rId9"/>
      <w:pgSz w:w="16838" w:h="11906" w:orient="landscape" w:code="9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8B" w:rsidRDefault="00AA3E8B" w:rsidP="00CF3B4F">
      <w:r>
        <w:separator/>
      </w:r>
    </w:p>
  </w:endnote>
  <w:endnote w:type="continuationSeparator" w:id="0">
    <w:p w:rsidR="00AA3E8B" w:rsidRDefault="00AA3E8B" w:rsidP="00C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8B" w:rsidRDefault="00AA3E8B" w:rsidP="00CF3B4F">
      <w:r>
        <w:separator/>
      </w:r>
    </w:p>
  </w:footnote>
  <w:footnote w:type="continuationSeparator" w:id="0">
    <w:p w:rsidR="00AA3E8B" w:rsidRDefault="00AA3E8B" w:rsidP="00CF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86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16D8" w:rsidRPr="00467C42" w:rsidRDefault="009016D8" w:rsidP="00FC6429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467C42">
          <w:rPr>
            <w:rFonts w:ascii="Times New Roman" w:hAnsi="Times New Roman"/>
            <w:sz w:val="28"/>
            <w:szCs w:val="28"/>
          </w:rPr>
          <w:fldChar w:fldCharType="begin"/>
        </w:r>
        <w:r w:rsidRPr="00467C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C42">
          <w:rPr>
            <w:rFonts w:ascii="Times New Roman" w:hAnsi="Times New Roman"/>
            <w:sz w:val="28"/>
            <w:szCs w:val="28"/>
          </w:rPr>
          <w:fldChar w:fldCharType="separate"/>
        </w:r>
        <w:r w:rsidR="00063079" w:rsidRPr="00063079">
          <w:rPr>
            <w:rFonts w:ascii="Times New Roman" w:hAnsi="Times New Roman"/>
            <w:noProof/>
            <w:sz w:val="28"/>
            <w:szCs w:val="28"/>
            <w:lang w:val="ru-RU"/>
          </w:rPr>
          <w:t>6</w:t>
        </w:r>
        <w:r w:rsidRPr="00467C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D8" w:rsidRPr="00467C42" w:rsidRDefault="009016D8" w:rsidP="00467C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F"/>
    <w:rsid w:val="00001F0C"/>
    <w:rsid w:val="0001134B"/>
    <w:rsid w:val="000227BB"/>
    <w:rsid w:val="000361FC"/>
    <w:rsid w:val="0004556E"/>
    <w:rsid w:val="000474C0"/>
    <w:rsid w:val="00063079"/>
    <w:rsid w:val="00095406"/>
    <w:rsid w:val="000A299D"/>
    <w:rsid w:val="000C21BD"/>
    <w:rsid w:val="000E68EF"/>
    <w:rsid w:val="0011094A"/>
    <w:rsid w:val="00143C60"/>
    <w:rsid w:val="001534FF"/>
    <w:rsid w:val="00167D05"/>
    <w:rsid w:val="001B7C08"/>
    <w:rsid w:val="001C5458"/>
    <w:rsid w:val="001E3AFB"/>
    <w:rsid w:val="00200877"/>
    <w:rsid w:val="002310B0"/>
    <w:rsid w:val="00255F69"/>
    <w:rsid w:val="002851C3"/>
    <w:rsid w:val="00291257"/>
    <w:rsid w:val="002B682C"/>
    <w:rsid w:val="002C1230"/>
    <w:rsid w:val="002C6461"/>
    <w:rsid w:val="002D17B4"/>
    <w:rsid w:val="002D68E2"/>
    <w:rsid w:val="002E7E19"/>
    <w:rsid w:val="002F6860"/>
    <w:rsid w:val="0030411E"/>
    <w:rsid w:val="00325264"/>
    <w:rsid w:val="003468B6"/>
    <w:rsid w:val="00347BCD"/>
    <w:rsid w:val="00375527"/>
    <w:rsid w:val="00391E76"/>
    <w:rsid w:val="00400B93"/>
    <w:rsid w:val="00404A4A"/>
    <w:rsid w:val="00415C87"/>
    <w:rsid w:val="00416073"/>
    <w:rsid w:val="00417202"/>
    <w:rsid w:val="004265D8"/>
    <w:rsid w:val="00453F20"/>
    <w:rsid w:val="00467C42"/>
    <w:rsid w:val="00495AA0"/>
    <w:rsid w:val="004B4564"/>
    <w:rsid w:val="004C3238"/>
    <w:rsid w:val="004C4B12"/>
    <w:rsid w:val="004C5E26"/>
    <w:rsid w:val="004E2DD1"/>
    <w:rsid w:val="004E57C3"/>
    <w:rsid w:val="005233B9"/>
    <w:rsid w:val="00524692"/>
    <w:rsid w:val="0052731E"/>
    <w:rsid w:val="00562A7B"/>
    <w:rsid w:val="00572D22"/>
    <w:rsid w:val="005974C0"/>
    <w:rsid w:val="005A48CE"/>
    <w:rsid w:val="005F2E8F"/>
    <w:rsid w:val="00601D91"/>
    <w:rsid w:val="00641E05"/>
    <w:rsid w:val="00643362"/>
    <w:rsid w:val="006730B1"/>
    <w:rsid w:val="006A0BE6"/>
    <w:rsid w:val="006A2D7A"/>
    <w:rsid w:val="006C1BAE"/>
    <w:rsid w:val="006D3A74"/>
    <w:rsid w:val="0070272D"/>
    <w:rsid w:val="00747F2A"/>
    <w:rsid w:val="0075731A"/>
    <w:rsid w:val="00797290"/>
    <w:rsid w:val="007B1F41"/>
    <w:rsid w:val="007C642C"/>
    <w:rsid w:val="007E408A"/>
    <w:rsid w:val="007F63DB"/>
    <w:rsid w:val="007F7AE6"/>
    <w:rsid w:val="00815898"/>
    <w:rsid w:val="00850648"/>
    <w:rsid w:val="00860E6B"/>
    <w:rsid w:val="00861FD3"/>
    <w:rsid w:val="00867B2B"/>
    <w:rsid w:val="00876253"/>
    <w:rsid w:val="00883363"/>
    <w:rsid w:val="0088693A"/>
    <w:rsid w:val="008A63EA"/>
    <w:rsid w:val="008C0DDF"/>
    <w:rsid w:val="008C16EE"/>
    <w:rsid w:val="00900F85"/>
    <w:rsid w:val="009016D8"/>
    <w:rsid w:val="00925E8B"/>
    <w:rsid w:val="0093641B"/>
    <w:rsid w:val="0094104B"/>
    <w:rsid w:val="009416C3"/>
    <w:rsid w:val="00973DA4"/>
    <w:rsid w:val="0099616D"/>
    <w:rsid w:val="009B6391"/>
    <w:rsid w:val="009C528E"/>
    <w:rsid w:val="00A06D1F"/>
    <w:rsid w:val="00A17FDE"/>
    <w:rsid w:val="00A203BB"/>
    <w:rsid w:val="00A2479A"/>
    <w:rsid w:val="00A420D7"/>
    <w:rsid w:val="00A54722"/>
    <w:rsid w:val="00A668C6"/>
    <w:rsid w:val="00A73BCC"/>
    <w:rsid w:val="00AA0EE4"/>
    <w:rsid w:val="00AA3E8B"/>
    <w:rsid w:val="00AB1E76"/>
    <w:rsid w:val="00AB44BD"/>
    <w:rsid w:val="00AC3B11"/>
    <w:rsid w:val="00AD0D2D"/>
    <w:rsid w:val="00AE265B"/>
    <w:rsid w:val="00B009ED"/>
    <w:rsid w:val="00B211D1"/>
    <w:rsid w:val="00B5227C"/>
    <w:rsid w:val="00B547BD"/>
    <w:rsid w:val="00B7687A"/>
    <w:rsid w:val="00B77F51"/>
    <w:rsid w:val="00B8405B"/>
    <w:rsid w:val="00B941CD"/>
    <w:rsid w:val="00BD4C96"/>
    <w:rsid w:val="00C079F4"/>
    <w:rsid w:val="00C30991"/>
    <w:rsid w:val="00C30A4E"/>
    <w:rsid w:val="00C34CCD"/>
    <w:rsid w:val="00C44EC6"/>
    <w:rsid w:val="00C45BB8"/>
    <w:rsid w:val="00C51F00"/>
    <w:rsid w:val="00C607AC"/>
    <w:rsid w:val="00C62C4A"/>
    <w:rsid w:val="00C65ED9"/>
    <w:rsid w:val="00C72DB5"/>
    <w:rsid w:val="00C9174C"/>
    <w:rsid w:val="00CC1F07"/>
    <w:rsid w:val="00CC371F"/>
    <w:rsid w:val="00CF3B4F"/>
    <w:rsid w:val="00D4060B"/>
    <w:rsid w:val="00D43DC0"/>
    <w:rsid w:val="00D71051"/>
    <w:rsid w:val="00D90549"/>
    <w:rsid w:val="00DA418A"/>
    <w:rsid w:val="00DC7F59"/>
    <w:rsid w:val="00DD2D4D"/>
    <w:rsid w:val="00DD4C0F"/>
    <w:rsid w:val="00DD6CE5"/>
    <w:rsid w:val="00DE76CB"/>
    <w:rsid w:val="00DE7BB9"/>
    <w:rsid w:val="00DF1223"/>
    <w:rsid w:val="00DF252A"/>
    <w:rsid w:val="00E03871"/>
    <w:rsid w:val="00E111AD"/>
    <w:rsid w:val="00E2167A"/>
    <w:rsid w:val="00E62C80"/>
    <w:rsid w:val="00E73722"/>
    <w:rsid w:val="00E77727"/>
    <w:rsid w:val="00EA6CE7"/>
    <w:rsid w:val="00EB1786"/>
    <w:rsid w:val="00EC2C1A"/>
    <w:rsid w:val="00EC58F6"/>
    <w:rsid w:val="00EF0F13"/>
    <w:rsid w:val="00F173DF"/>
    <w:rsid w:val="00F26076"/>
    <w:rsid w:val="00F60E0A"/>
    <w:rsid w:val="00F9643A"/>
    <w:rsid w:val="00FA2DD9"/>
    <w:rsid w:val="00FA3986"/>
    <w:rsid w:val="00FC3A64"/>
    <w:rsid w:val="00FC6429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45BB8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3362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643362"/>
  </w:style>
  <w:style w:type="paragraph" w:styleId="a6">
    <w:name w:val="footer"/>
    <w:basedOn w:val="a"/>
    <w:link w:val="a7"/>
    <w:uiPriority w:val="99"/>
    <w:rsid w:val="006433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3362"/>
    <w:rPr>
      <w:rFonts w:ascii="Calibri" w:eastAsia="Times New Roman" w:hAnsi="Calibri" w:cs="Times New Roman"/>
      <w:lang w:val="uk-UA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64336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643362"/>
    <w:pPr>
      <w:spacing w:before="100" w:beforeAutospacing="1" w:after="100" w:afterAutospacing="1"/>
    </w:pPr>
    <w:rPr>
      <w:lang w:val="ru-RU"/>
    </w:rPr>
  </w:style>
  <w:style w:type="paragraph" w:styleId="a9">
    <w:name w:val="Balloon Text"/>
    <w:basedOn w:val="a"/>
    <w:link w:val="aa"/>
    <w:rsid w:val="0064336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643362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Body Text Indent"/>
    <w:basedOn w:val="a"/>
    <w:link w:val="ac"/>
    <w:rsid w:val="00CF3B4F"/>
    <w:pPr>
      <w:ind w:firstLine="780"/>
    </w:pPr>
    <w:rPr>
      <w:rFonts w:ascii="Bookman Old Style" w:eastAsia="Calibri" w:hAnsi="Bookman Old Style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CF3B4F"/>
    <w:rPr>
      <w:rFonts w:ascii="Bookman Old Style" w:eastAsia="Calibri" w:hAnsi="Bookman Old Style" w:cs="Times New Roman"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45BB8"/>
    <w:rPr>
      <w:rFonts w:ascii="Bookman Old Style" w:eastAsia="Times New Roman" w:hAnsi="Bookman Old Style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9C1-2865-4792-B3DA-7729431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Садовой Максим Володимирович</dc:creator>
  <cp:lastModifiedBy>User</cp:lastModifiedBy>
  <cp:revision>11</cp:revision>
  <cp:lastPrinted>2020-11-25T13:09:00Z</cp:lastPrinted>
  <dcterms:created xsi:type="dcterms:W3CDTF">2020-12-10T10:56:00Z</dcterms:created>
  <dcterms:modified xsi:type="dcterms:W3CDTF">2021-01-28T13:08:00Z</dcterms:modified>
</cp:coreProperties>
</file>