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76" w:rsidRPr="0030492B" w:rsidRDefault="00473D76" w:rsidP="00473D76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492B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 w:rsidR="00C17B64">
        <w:rPr>
          <w:rFonts w:ascii="Times New Roman" w:hAnsi="Times New Roman"/>
          <w:sz w:val="28"/>
          <w:szCs w:val="28"/>
          <w:lang w:val="uk-UA" w:eastAsia="ru-RU"/>
        </w:rPr>
        <w:t>3</w:t>
      </w:r>
    </w:p>
    <w:p w:rsidR="00473D76" w:rsidRPr="0030492B" w:rsidRDefault="00473D76" w:rsidP="00473D76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 w:eastAsia="ru-RU"/>
        </w:rPr>
      </w:pPr>
      <w:r w:rsidRPr="0030492B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473D76" w:rsidRDefault="00473D76" w:rsidP="00473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73D76" w:rsidRPr="00A35F57" w:rsidRDefault="00473D76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b/>
          <w:sz w:val="28"/>
          <w:szCs w:val="28"/>
          <w:lang w:val="uk-UA" w:eastAsia="ru-RU"/>
        </w:rPr>
        <w:t>ПАСПОРТ</w:t>
      </w:r>
    </w:p>
    <w:p w:rsidR="00473D76" w:rsidRDefault="00473D76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регіональної цільової </w:t>
      </w:r>
      <w:r w:rsidR="002852E1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рограми</w:t>
      </w:r>
    </w:p>
    <w:p w:rsidR="00473D76" w:rsidRDefault="00473D76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2EF7" w:rsidRDefault="009A2EF7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1. Назва: Програма створення та використання матеріальних резервів для запобігання і ліквідації наслідків надзвичайних ситуацій у Дніпропетровській області до 2022 року.</w:t>
      </w:r>
    </w:p>
    <w:p w:rsidR="009A2EF7" w:rsidRPr="00CA342D" w:rsidRDefault="009A2EF7" w:rsidP="009A2E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2. Підстава для розроблення: Кодекс цивільного захисту України</w:t>
      </w:r>
      <w:r w:rsidRPr="00CA34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, </w:t>
      </w:r>
      <w:r w:rsidR="002852E1">
        <w:rPr>
          <w:rFonts w:ascii="Times New Roman" w:eastAsia="Times New Roman" w:hAnsi="Times New Roman"/>
          <w:sz w:val="28"/>
          <w:szCs w:val="28"/>
          <w:lang w:val="uk-UA" w:eastAsia="ru-RU"/>
        </w:rPr>
        <w:t>закони України ,,</w:t>
      </w: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місцеве самоврядування в Україні”, </w:t>
      </w:r>
      <w:r w:rsidR="002852E1">
        <w:rPr>
          <w:rFonts w:ascii="Times New Roman" w:eastAsia="Times New Roman" w:hAnsi="Times New Roman"/>
          <w:sz w:val="28"/>
          <w:szCs w:val="28"/>
          <w:lang w:val="uk-UA"/>
        </w:rPr>
        <w:t>,,</w:t>
      </w:r>
      <w:r w:rsidRPr="00CA342D">
        <w:rPr>
          <w:rFonts w:ascii="Times New Roman" w:eastAsia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Pr="00CA342D">
        <w:rPr>
          <w:rFonts w:ascii="Times New Roman" w:eastAsia="Times New Roman" w:hAnsi="Times New Roman"/>
          <w:sz w:val="28"/>
          <w:szCs w:val="28"/>
          <w:lang w:val="uk-UA"/>
        </w:rPr>
        <w:t xml:space="preserve">, Бюджетний кодекс України, </w:t>
      </w: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постанова Кабінету Міністрів України </w:t>
      </w:r>
      <w:r w:rsidR="002852E1">
        <w:rPr>
          <w:rFonts w:ascii="Times New Roman" w:eastAsia="Times New Roman" w:hAnsi="Times New Roman"/>
          <w:sz w:val="28"/>
          <w:szCs w:val="28"/>
          <w:lang w:val="uk-UA" w:eastAsia="ru-RU"/>
        </w:rPr>
        <w:t>від 30 вересня 2015 року № 775 ,,</w:t>
      </w: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Порядку створення та використання матеріальних резервів для запобігання і ліквідації насл</w:t>
      </w:r>
      <w:r w:rsidR="002852E1">
        <w:rPr>
          <w:rFonts w:ascii="Times New Roman" w:eastAsia="Times New Roman" w:hAnsi="Times New Roman"/>
          <w:sz w:val="28"/>
          <w:szCs w:val="28"/>
          <w:lang w:val="uk-UA" w:eastAsia="ru-RU"/>
        </w:rPr>
        <w:t>ідків надзвичайних ситуацій” (зі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змінами).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3. Регіональний замовник Програми або координатор: управління цивільного захисту облдержадміністрації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Співзамовники</w:t>
      </w:r>
      <w:proofErr w:type="spellEnd"/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Програми: відсутні.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Відповідальні за виконання: управління цивільного захисту </w:t>
      </w:r>
      <w:proofErr w:type="spellStart"/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облдерж-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6. Мета: забезпечення можливості реального та ефективного функціонування Єдиної державної системи запобігання та реагування на надзвичайні ситуації з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йменшими фінансовими витратами.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Початок: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2003 рік, закінчення: 2022 рік.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8. Етапи виконання: Програма виконується в IV етапи: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І етап: 2003 – 2007 роки;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ІІ етап: 2008 – 2012 роки;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ІІІ етап: 2013 – 2017 роки;</w:t>
      </w:r>
    </w:p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IV етап: 2018 – 2022 роки.</w:t>
      </w:r>
    </w:p>
    <w:p w:rsidR="009A2EF7" w:rsidRDefault="009A2EF7" w:rsidP="009A2E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9. Загальні обсяги фінансування:</w:t>
      </w:r>
    </w:p>
    <w:p w:rsidR="009A2EF7" w:rsidRDefault="009A2EF7" w:rsidP="009A2E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2"/>
        <w:gridCol w:w="851"/>
        <w:gridCol w:w="850"/>
        <w:gridCol w:w="851"/>
        <w:gridCol w:w="850"/>
        <w:gridCol w:w="851"/>
        <w:gridCol w:w="958"/>
      </w:tblGrid>
      <w:tr w:rsidR="009A2EF7" w:rsidRPr="00CA342D" w:rsidTr="009A2EF7">
        <w:trPr>
          <w:tblHeader/>
        </w:trPr>
        <w:tc>
          <w:tcPr>
            <w:tcW w:w="1384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Джерела</w:t>
            </w:r>
          </w:p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uk-UA" w:eastAsia="ru-RU"/>
              </w:rPr>
              <w:t>ф</w:t>
            </w: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інансу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-</w:t>
            </w: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вання</w:t>
            </w:r>
            <w:proofErr w:type="spellEnd"/>
          </w:p>
        </w:tc>
        <w:tc>
          <w:tcPr>
            <w:tcW w:w="1276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Обсяг </w:t>
            </w:r>
            <w:proofErr w:type="spellStart"/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фінансу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-</w:t>
            </w: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вання</w:t>
            </w:r>
            <w:proofErr w:type="spellEnd"/>
            <w:r w:rsidR="002852E1">
              <w:rPr>
                <w:rFonts w:ascii="Times New Roman" w:eastAsia="Times New Roman" w:hAnsi="Times New Roman"/>
                <w:b/>
                <w:lang w:val="uk-UA" w:eastAsia="ru-RU"/>
              </w:rPr>
              <w:t>,</w:t>
            </w: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усього</w:t>
            </w:r>
          </w:p>
        </w:tc>
        <w:tc>
          <w:tcPr>
            <w:tcW w:w="7195" w:type="dxa"/>
            <w:gridSpan w:val="8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За роками виконання, тис. </w:t>
            </w:r>
            <w:proofErr w:type="spellStart"/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грн</w:t>
            </w:r>
            <w:proofErr w:type="spellEnd"/>
          </w:p>
        </w:tc>
      </w:tr>
      <w:tr w:rsidR="009A2EF7" w:rsidRPr="00CA342D" w:rsidTr="009A2EF7">
        <w:trPr>
          <w:tblHeader/>
        </w:trPr>
        <w:tc>
          <w:tcPr>
            <w:tcW w:w="1384" w:type="dxa"/>
            <w:vMerge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992" w:type="dxa"/>
            <w:vMerge w:val="restart"/>
          </w:tcPr>
          <w:p w:rsid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Усього за І </w:t>
            </w:r>
          </w:p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та ІІ етапи (2003 – 2012)</w:t>
            </w:r>
          </w:p>
        </w:tc>
        <w:tc>
          <w:tcPr>
            <w:tcW w:w="992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Усього за ІІІ етап (2013 – 2017)</w:t>
            </w:r>
          </w:p>
        </w:tc>
        <w:tc>
          <w:tcPr>
            <w:tcW w:w="4253" w:type="dxa"/>
            <w:gridSpan w:val="5"/>
          </w:tcPr>
          <w:p w:rsidR="009A2EF7" w:rsidRPr="009A2EF7" w:rsidRDefault="002852E1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З</w:t>
            </w:r>
            <w:r w:rsidR="009A2EF7" w:rsidRPr="009A2EF7">
              <w:rPr>
                <w:rFonts w:ascii="Times New Roman" w:eastAsia="Times New Roman" w:hAnsi="Times New Roman"/>
                <w:b/>
                <w:lang w:val="uk-UA" w:eastAsia="ru-RU"/>
              </w:rPr>
              <w:t>а IV етап</w:t>
            </w:r>
          </w:p>
        </w:tc>
        <w:tc>
          <w:tcPr>
            <w:tcW w:w="958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Усього за IV етап (2018 – 2022)</w:t>
            </w:r>
          </w:p>
        </w:tc>
      </w:tr>
      <w:tr w:rsidR="009A2EF7" w:rsidRPr="00CA342D" w:rsidTr="009A2EF7">
        <w:trPr>
          <w:tblHeader/>
        </w:trPr>
        <w:tc>
          <w:tcPr>
            <w:tcW w:w="1384" w:type="dxa"/>
            <w:vMerge/>
          </w:tcPr>
          <w:p w:rsidR="009A2EF7" w:rsidRPr="00CA342D" w:rsidRDefault="009A2EF7" w:rsidP="00C95DE6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A2EF7" w:rsidRPr="00CA342D" w:rsidRDefault="009A2EF7" w:rsidP="00C95DE6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9A2EF7" w:rsidRPr="00CA342D" w:rsidRDefault="009A2EF7" w:rsidP="00C95DE6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9A2EF7" w:rsidRPr="00CA342D" w:rsidRDefault="009A2EF7" w:rsidP="00C95DE6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2018</w:t>
            </w:r>
          </w:p>
        </w:tc>
        <w:tc>
          <w:tcPr>
            <w:tcW w:w="850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2019</w:t>
            </w:r>
          </w:p>
        </w:tc>
        <w:tc>
          <w:tcPr>
            <w:tcW w:w="851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2020</w:t>
            </w:r>
          </w:p>
        </w:tc>
        <w:tc>
          <w:tcPr>
            <w:tcW w:w="850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2021</w:t>
            </w:r>
          </w:p>
        </w:tc>
        <w:tc>
          <w:tcPr>
            <w:tcW w:w="851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2022</w:t>
            </w:r>
          </w:p>
        </w:tc>
        <w:tc>
          <w:tcPr>
            <w:tcW w:w="958" w:type="dxa"/>
            <w:vMerge/>
          </w:tcPr>
          <w:p w:rsidR="009A2EF7" w:rsidRPr="00CA342D" w:rsidRDefault="009A2EF7" w:rsidP="00C95DE6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852E1" w:rsidRPr="00CA342D" w:rsidTr="009A2EF7">
        <w:tc>
          <w:tcPr>
            <w:tcW w:w="1384" w:type="dxa"/>
          </w:tcPr>
          <w:p w:rsidR="002852E1" w:rsidRPr="009A2EF7" w:rsidRDefault="002852E1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Державний бюджет</w:t>
            </w:r>
          </w:p>
        </w:tc>
        <w:tc>
          <w:tcPr>
            <w:tcW w:w="1276" w:type="dxa"/>
          </w:tcPr>
          <w:p w:rsidR="002852E1" w:rsidRPr="00CA342D" w:rsidRDefault="002852E1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– </w:t>
            </w:r>
          </w:p>
        </w:tc>
        <w:tc>
          <w:tcPr>
            <w:tcW w:w="992" w:type="dxa"/>
          </w:tcPr>
          <w:p w:rsidR="002852E1" w:rsidRDefault="002852E1" w:rsidP="002852E1">
            <w:pPr>
              <w:jc w:val="center"/>
            </w:pPr>
            <w:r w:rsidRPr="002A1F7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</w:tcPr>
          <w:p w:rsidR="002852E1" w:rsidRDefault="002852E1" w:rsidP="002852E1">
            <w:pPr>
              <w:jc w:val="center"/>
            </w:pPr>
            <w:r w:rsidRPr="002A1F7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851" w:type="dxa"/>
          </w:tcPr>
          <w:p w:rsidR="002852E1" w:rsidRDefault="002852E1" w:rsidP="002852E1">
            <w:pPr>
              <w:jc w:val="center"/>
            </w:pPr>
            <w:r w:rsidRPr="002A1F7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850" w:type="dxa"/>
          </w:tcPr>
          <w:p w:rsidR="002852E1" w:rsidRDefault="002852E1" w:rsidP="002852E1">
            <w:pPr>
              <w:jc w:val="center"/>
            </w:pPr>
            <w:r w:rsidRPr="002A1F7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851" w:type="dxa"/>
          </w:tcPr>
          <w:p w:rsidR="002852E1" w:rsidRDefault="002852E1" w:rsidP="002852E1">
            <w:pPr>
              <w:jc w:val="center"/>
            </w:pPr>
            <w:r w:rsidRPr="002A1F7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850" w:type="dxa"/>
          </w:tcPr>
          <w:p w:rsidR="002852E1" w:rsidRDefault="002852E1" w:rsidP="002852E1">
            <w:pPr>
              <w:jc w:val="center"/>
            </w:pPr>
            <w:r w:rsidRPr="002A1F7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851" w:type="dxa"/>
          </w:tcPr>
          <w:p w:rsidR="002852E1" w:rsidRDefault="002852E1" w:rsidP="002852E1">
            <w:pPr>
              <w:jc w:val="center"/>
            </w:pPr>
            <w:r w:rsidRPr="002A1F7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58" w:type="dxa"/>
          </w:tcPr>
          <w:p w:rsidR="002852E1" w:rsidRDefault="002852E1" w:rsidP="002852E1">
            <w:pPr>
              <w:jc w:val="center"/>
            </w:pPr>
            <w:r w:rsidRPr="002A1F7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–</w:t>
            </w:r>
          </w:p>
        </w:tc>
      </w:tr>
      <w:tr w:rsidR="009A2EF7" w:rsidRPr="00CA342D" w:rsidTr="009A2EF7">
        <w:tc>
          <w:tcPr>
            <w:tcW w:w="1384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46071,5</w:t>
            </w:r>
          </w:p>
        </w:tc>
        <w:tc>
          <w:tcPr>
            <w:tcW w:w="992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7335,5</w:t>
            </w:r>
          </w:p>
        </w:tc>
        <w:tc>
          <w:tcPr>
            <w:tcW w:w="992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20311,0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3685,0</w:t>
            </w:r>
          </w:p>
        </w:tc>
        <w:tc>
          <w:tcPr>
            <w:tcW w:w="850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3685,0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sz w:val="18"/>
                <w:szCs w:val="18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3685,0</w:t>
            </w:r>
          </w:p>
        </w:tc>
        <w:tc>
          <w:tcPr>
            <w:tcW w:w="850" w:type="dxa"/>
            <w:vAlign w:val="center"/>
          </w:tcPr>
          <w:p w:rsidR="009A2EF7" w:rsidRPr="00CA342D" w:rsidRDefault="009A2EF7" w:rsidP="00C95DE6">
            <w:pPr>
              <w:jc w:val="center"/>
              <w:rPr>
                <w:sz w:val="18"/>
                <w:szCs w:val="18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3685,0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sz w:val="18"/>
                <w:szCs w:val="18"/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3685,0</w:t>
            </w:r>
          </w:p>
        </w:tc>
        <w:tc>
          <w:tcPr>
            <w:tcW w:w="958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18425,0</w:t>
            </w:r>
          </w:p>
        </w:tc>
      </w:tr>
      <w:tr w:rsidR="009A2EF7" w:rsidRPr="00CA342D" w:rsidTr="009A2EF7">
        <w:tc>
          <w:tcPr>
            <w:tcW w:w="1384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Місцеві бюджети</w:t>
            </w:r>
          </w:p>
        </w:tc>
        <w:tc>
          <w:tcPr>
            <w:tcW w:w="1276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128701,4</w:t>
            </w:r>
          </w:p>
        </w:tc>
        <w:tc>
          <w:tcPr>
            <w:tcW w:w="992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10630,4</w:t>
            </w:r>
          </w:p>
        </w:tc>
        <w:tc>
          <w:tcPr>
            <w:tcW w:w="992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84746,0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4145,0</w:t>
            </w:r>
          </w:p>
        </w:tc>
        <w:tc>
          <w:tcPr>
            <w:tcW w:w="850" w:type="dxa"/>
            <w:vAlign w:val="center"/>
          </w:tcPr>
          <w:p w:rsidR="009A2EF7" w:rsidRPr="00CA342D" w:rsidRDefault="009A2EF7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7295,0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7295,0</w:t>
            </w:r>
          </w:p>
        </w:tc>
        <w:tc>
          <w:tcPr>
            <w:tcW w:w="850" w:type="dxa"/>
            <w:vAlign w:val="center"/>
          </w:tcPr>
          <w:p w:rsidR="009A2EF7" w:rsidRPr="00CA342D" w:rsidRDefault="009A2EF7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7295,0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7295,0</w:t>
            </w:r>
          </w:p>
        </w:tc>
        <w:tc>
          <w:tcPr>
            <w:tcW w:w="958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33325,0</w:t>
            </w:r>
          </w:p>
        </w:tc>
      </w:tr>
      <w:tr w:rsidR="009A2EF7" w:rsidRPr="00CA342D" w:rsidTr="009A2EF7">
        <w:tc>
          <w:tcPr>
            <w:tcW w:w="1384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Інші джерела</w:t>
            </w:r>
          </w:p>
        </w:tc>
        <w:tc>
          <w:tcPr>
            <w:tcW w:w="1276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190319,4</w:t>
            </w:r>
          </w:p>
        </w:tc>
        <w:tc>
          <w:tcPr>
            <w:tcW w:w="992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74619,4</w:t>
            </w:r>
          </w:p>
        </w:tc>
        <w:tc>
          <w:tcPr>
            <w:tcW w:w="992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45700,0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14000,0</w:t>
            </w:r>
          </w:p>
        </w:tc>
        <w:tc>
          <w:tcPr>
            <w:tcW w:w="850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14000,0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14000,0</w:t>
            </w:r>
          </w:p>
        </w:tc>
        <w:tc>
          <w:tcPr>
            <w:tcW w:w="850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14000,0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14000,0</w:t>
            </w:r>
          </w:p>
        </w:tc>
        <w:tc>
          <w:tcPr>
            <w:tcW w:w="958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70000,0</w:t>
            </w:r>
          </w:p>
        </w:tc>
      </w:tr>
      <w:tr w:rsidR="009A2EF7" w:rsidRPr="00CA342D" w:rsidTr="009A2EF7">
        <w:tc>
          <w:tcPr>
            <w:tcW w:w="1384" w:type="dxa"/>
          </w:tcPr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lang w:val="uk-UA" w:eastAsia="ru-RU"/>
              </w:rPr>
              <w:t>Усього:</w:t>
            </w:r>
          </w:p>
          <w:p w:rsidR="009A2EF7" w:rsidRPr="009A2EF7" w:rsidRDefault="009A2EF7" w:rsidP="00C95DE6">
            <w:pPr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365092,4</w:t>
            </w:r>
          </w:p>
        </w:tc>
        <w:tc>
          <w:tcPr>
            <w:tcW w:w="992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92585,3</w:t>
            </w:r>
          </w:p>
        </w:tc>
        <w:tc>
          <w:tcPr>
            <w:tcW w:w="992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150757,0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21830,0</w:t>
            </w:r>
          </w:p>
        </w:tc>
        <w:tc>
          <w:tcPr>
            <w:tcW w:w="850" w:type="dxa"/>
            <w:vAlign w:val="center"/>
          </w:tcPr>
          <w:p w:rsidR="009A2EF7" w:rsidRPr="00CA342D" w:rsidRDefault="009A2EF7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24980,0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24980,0</w:t>
            </w:r>
          </w:p>
        </w:tc>
        <w:tc>
          <w:tcPr>
            <w:tcW w:w="850" w:type="dxa"/>
            <w:vAlign w:val="center"/>
          </w:tcPr>
          <w:p w:rsidR="009A2EF7" w:rsidRPr="00CA342D" w:rsidRDefault="009A2EF7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24980,0</w:t>
            </w:r>
          </w:p>
        </w:tc>
        <w:tc>
          <w:tcPr>
            <w:tcW w:w="851" w:type="dxa"/>
            <w:vAlign w:val="center"/>
          </w:tcPr>
          <w:p w:rsidR="009A2EF7" w:rsidRPr="00CA342D" w:rsidRDefault="009A2EF7" w:rsidP="00C95DE6">
            <w:pPr>
              <w:jc w:val="center"/>
              <w:rPr>
                <w:lang w:val="uk-UA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24980,0</w:t>
            </w:r>
          </w:p>
        </w:tc>
        <w:tc>
          <w:tcPr>
            <w:tcW w:w="958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121750,0</w:t>
            </w:r>
          </w:p>
        </w:tc>
      </w:tr>
    </w:tbl>
    <w:p w:rsidR="009A2EF7" w:rsidRPr="00CA342D" w:rsidRDefault="009A2EF7" w:rsidP="009A2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lastRenderedPageBreak/>
        <w:t>10. Очікувані кінцеві результати в</w:t>
      </w:r>
      <w:r w:rsidR="002852E1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иконання регіональної цільової П</w:t>
      </w:r>
      <w:r w:rsidRPr="00CA342D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рограми:</w:t>
      </w:r>
    </w:p>
    <w:p w:rsidR="009A2EF7" w:rsidRPr="00CA342D" w:rsidRDefault="009A2EF7" w:rsidP="009A2E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709"/>
        <w:gridCol w:w="851"/>
        <w:gridCol w:w="850"/>
        <w:gridCol w:w="851"/>
        <w:gridCol w:w="873"/>
        <w:gridCol w:w="669"/>
        <w:gridCol w:w="669"/>
        <w:gridCol w:w="669"/>
        <w:gridCol w:w="669"/>
        <w:gridCol w:w="669"/>
      </w:tblGrid>
      <w:tr w:rsidR="009A2EF7" w:rsidRPr="00CA342D" w:rsidTr="000716C3">
        <w:trPr>
          <w:tblHeader/>
        </w:trPr>
        <w:tc>
          <w:tcPr>
            <w:tcW w:w="1101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Назва </w:t>
            </w:r>
            <w:proofErr w:type="spellStart"/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показни</w:t>
            </w:r>
            <w:r w:rsidR="000716C3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-</w:t>
            </w: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ків</w:t>
            </w:r>
            <w:proofErr w:type="spellEnd"/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Програми</w:t>
            </w:r>
          </w:p>
        </w:tc>
        <w:tc>
          <w:tcPr>
            <w:tcW w:w="1275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Наймену</w:t>
            </w:r>
            <w:r w:rsidR="000716C3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-</w:t>
            </w: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вання</w:t>
            </w:r>
            <w:proofErr w:type="spellEnd"/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показників виконання Програми</w:t>
            </w:r>
          </w:p>
        </w:tc>
        <w:tc>
          <w:tcPr>
            <w:tcW w:w="709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Оди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-</w:t>
            </w: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ниця</w:t>
            </w:r>
            <w:proofErr w:type="spellEnd"/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вимі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-</w:t>
            </w: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ру</w:t>
            </w:r>
            <w:proofErr w:type="spellEnd"/>
          </w:p>
        </w:tc>
        <w:tc>
          <w:tcPr>
            <w:tcW w:w="6770" w:type="dxa"/>
            <w:gridSpan w:val="9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Зазначення показників</w:t>
            </w:r>
          </w:p>
        </w:tc>
      </w:tr>
      <w:tr w:rsidR="000716C3" w:rsidRPr="00CA342D" w:rsidTr="000716C3">
        <w:trPr>
          <w:tblHeader/>
        </w:trPr>
        <w:tc>
          <w:tcPr>
            <w:tcW w:w="1101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Усього за І та IV етапи (2003 – 2022)</w:t>
            </w:r>
          </w:p>
        </w:tc>
        <w:tc>
          <w:tcPr>
            <w:tcW w:w="850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Усього за І та ІІ етапи (2003 – 2012)</w:t>
            </w:r>
          </w:p>
        </w:tc>
        <w:tc>
          <w:tcPr>
            <w:tcW w:w="851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Усього за ІІІ етап (2013 – 2017)</w:t>
            </w:r>
          </w:p>
        </w:tc>
        <w:tc>
          <w:tcPr>
            <w:tcW w:w="873" w:type="dxa"/>
            <w:vMerge w:val="restart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Усього за IV етап (2018 – 2022)</w:t>
            </w:r>
          </w:p>
        </w:tc>
        <w:tc>
          <w:tcPr>
            <w:tcW w:w="3345" w:type="dxa"/>
            <w:gridSpan w:val="5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У тому числі за роками</w:t>
            </w:r>
          </w:p>
        </w:tc>
      </w:tr>
      <w:tr w:rsidR="000716C3" w:rsidRPr="00CA342D" w:rsidTr="000716C3">
        <w:trPr>
          <w:tblHeader/>
        </w:trPr>
        <w:tc>
          <w:tcPr>
            <w:tcW w:w="1101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73" w:type="dxa"/>
            <w:vMerge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669" w:type="dxa"/>
            <w:vAlign w:val="center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2018</w:t>
            </w:r>
          </w:p>
        </w:tc>
        <w:tc>
          <w:tcPr>
            <w:tcW w:w="669" w:type="dxa"/>
            <w:vAlign w:val="center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2019</w:t>
            </w:r>
          </w:p>
        </w:tc>
        <w:tc>
          <w:tcPr>
            <w:tcW w:w="669" w:type="dxa"/>
            <w:vAlign w:val="center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2020</w:t>
            </w:r>
          </w:p>
        </w:tc>
        <w:tc>
          <w:tcPr>
            <w:tcW w:w="669" w:type="dxa"/>
            <w:vAlign w:val="center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2021</w:t>
            </w:r>
          </w:p>
        </w:tc>
        <w:tc>
          <w:tcPr>
            <w:tcW w:w="669" w:type="dxa"/>
            <w:vAlign w:val="center"/>
          </w:tcPr>
          <w:p w:rsidR="009A2EF7" w:rsidRPr="009A2EF7" w:rsidRDefault="009A2EF7" w:rsidP="00C95DE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A2EF7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2022</w:t>
            </w:r>
          </w:p>
        </w:tc>
      </w:tr>
      <w:tr w:rsidR="000716C3" w:rsidRPr="00CA342D" w:rsidTr="000716C3">
        <w:tc>
          <w:tcPr>
            <w:tcW w:w="1101" w:type="dxa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Економічні</w:t>
            </w:r>
          </w:p>
        </w:tc>
        <w:tc>
          <w:tcPr>
            <w:tcW w:w="1275" w:type="dxa"/>
          </w:tcPr>
          <w:p w:rsidR="009A2EF7" w:rsidRPr="00CA342D" w:rsidRDefault="009A2EF7" w:rsidP="00C95DE6">
            <w:pP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Збереження </w:t>
            </w:r>
            <w:proofErr w:type="spellStart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регіонально</w:t>
            </w:r>
            <w:r w:rsidR="000716C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го</w:t>
            </w:r>
            <w:proofErr w:type="spellEnd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матеріаль</w:t>
            </w:r>
            <w:r w:rsidR="000716C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ного</w:t>
            </w:r>
            <w:proofErr w:type="spellEnd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резерву, підтримання матеріально-технічних засобів у постійній готовності до використання</w:t>
            </w:r>
          </w:p>
        </w:tc>
        <w:tc>
          <w:tcPr>
            <w:tcW w:w="709" w:type="dxa"/>
            <w:vAlign w:val="center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млн</w:t>
            </w:r>
            <w:proofErr w:type="spellEnd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12,54</w:t>
            </w:r>
          </w:p>
        </w:tc>
        <w:tc>
          <w:tcPr>
            <w:tcW w:w="850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0,8</w:t>
            </w:r>
          </w:p>
        </w:tc>
        <w:tc>
          <w:tcPr>
            <w:tcW w:w="851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6,7</w:t>
            </w:r>
          </w:p>
        </w:tc>
        <w:tc>
          <w:tcPr>
            <w:tcW w:w="873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5,04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0,88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0,88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0,88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1,20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1,20</w:t>
            </w:r>
          </w:p>
        </w:tc>
      </w:tr>
      <w:tr w:rsidR="000716C3" w:rsidRPr="00CA342D" w:rsidTr="000716C3">
        <w:tc>
          <w:tcPr>
            <w:tcW w:w="1101" w:type="dxa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Соціальні</w:t>
            </w:r>
          </w:p>
        </w:tc>
        <w:tc>
          <w:tcPr>
            <w:tcW w:w="1275" w:type="dxa"/>
          </w:tcPr>
          <w:p w:rsidR="009A2EF7" w:rsidRPr="00CA342D" w:rsidRDefault="009A2EF7" w:rsidP="00C95DE6">
            <w:pP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Запобігання та реагування на надзвичайні ситуації з найменшими фінансовими витратами</w:t>
            </w:r>
          </w:p>
        </w:tc>
        <w:tc>
          <w:tcPr>
            <w:tcW w:w="709" w:type="dxa"/>
            <w:vAlign w:val="center"/>
          </w:tcPr>
          <w:p w:rsidR="009A2EF7" w:rsidRPr="00CA342D" w:rsidRDefault="002852E1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млн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69,61</w:t>
            </w:r>
          </w:p>
        </w:tc>
        <w:tc>
          <w:tcPr>
            <w:tcW w:w="850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9,25</w:t>
            </w:r>
          </w:p>
        </w:tc>
        <w:tc>
          <w:tcPr>
            <w:tcW w:w="851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31,97</w:t>
            </w:r>
          </w:p>
        </w:tc>
        <w:tc>
          <w:tcPr>
            <w:tcW w:w="873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28,39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4,022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sz w:val="16"/>
                <w:szCs w:val="16"/>
                <w:lang w:val="uk-UA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6,172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sz w:val="16"/>
                <w:szCs w:val="16"/>
                <w:lang w:val="uk-UA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6,172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6,012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95DE6">
            <w:pPr>
              <w:jc w:val="center"/>
              <w:rPr>
                <w:sz w:val="16"/>
                <w:szCs w:val="16"/>
                <w:lang w:val="uk-UA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6,012</w:t>
            </w:r>
          </w:p>
        </w:tc>
      </w:tr>
      <w:tr w:rsidR="000716C3" w:rsidRPr="00CA342D" w:rsidTr="000716C3">
        <w:tc>
          <w:tcPr>
            <w:tcW w:w="1101" w:type="dxa"/>
          </w:tcPr>
          <w:p w:rsidR="009A2EF7" w:rsidRPr="00CA342D" w:rsidRDefault="009A2EF7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Екологічні</w:t>
            </w:r>
          </w:p>
        </w:tc>
        <w:tc>
          <w:tcPr>
            <w:tcW w:w="1275" w:type="dxa"/>
          </w:tcPr>
          <w:p w:rsidR="009A2EF7" w:rsidRPr="00CA342D" w:rsidRDefault="009A2EF7" w:rsidP="00C95DE6">
            <w:pP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Підвищення ефективності захисту населення і територій, запобігання та ліквідація наслідків </w:t>
            </w:r>
            <w:proofErr w:type="spellStart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надзвичай</w:t>
            </w:r>
            <w:r w:rsidR="000716C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них</w:t>
            </w:r>
            <w:proofErr w:type="spellEnd"/>
            <w:r w:rsidRPr="00CA342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ситуацій</w:t>
            </w:r>
            <w:r w:rsidRPr="00CA342D">
              <w:rPr>
                <w:rFonts w:ascii="Times New Roman" w:eastAsia="Times New Roman" w:hAnsi="Times New Roman"/>
                <w:strike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A2EF7" w:rsidRPr="00CA342D" w:rsidRDefault="002852E1" w:rsidP="00C95D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млн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282,94</w:t>
            </w:r>
          </w:p>
        </w:tc>
        <w:tc>
          <w:tcPr>
            <w:tcW w:w="850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82,53</w:t>
            </w:r>
          </w:p>
        </w:tc>
        <w:tc>
          <w:tcPr>
            <w:tcW w:w="851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112,09</w:t>
            </w:r>
          </w:p>
        </w:tc>
        <w:tc>
          <w:tcPr>
            <w:tcW w:w="873" w:type="dxa"/>
            <w:vAlign w:val="center"/>
          </w:tcPr>
          <w:p w:rsidR="009A2EF7" w:rsidRPr="00C825D6" w:rsidRDefault="009A2EF7" w:rsidP="00C95D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88,32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825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16,928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825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17,928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825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17,928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825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17,768</w:t>
            </w:r>
          </w:p>
        </w:tc>
        <w:tc>
          <w:tcPr>
            <w:tcW w:w="669" w:type="dxa"/>
            <w:vAlign w:val="center"/>
          </w:tcPr>
          <w:p w:rsidR="009A2EF7" w:rsidRPr="00C825D6" w:rsidRDefault="009A2EF7" w:rsidP="00C825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825D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17,768</w:t>
            </w:r>
          </w:p>
        </w:tc>
      </w:tr>
    </w:tbl>
    <w:p w:rsidR="009A2EF7" w:rsidRDefault="009A2EF7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2EF7" w:rsidRDefault="009A2EF7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16C3" w:rsidRPr="00CA342D" w:rsidRDefault="002852E1" w:rsidP="00071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11. Координація</w:t>
      </w:r>
      <w:r w:rsidR="000716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контроль за виконанням: координацію здійснює </w:t>
      </w:r>
      <w:r w:rsidR="000716C3"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цивільного захисту облдержадміністрації, яке надає інформацію про стан та резу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льтати її виконання щокварталу</w:t>
      </w:r>
      <w:r w:rsidR="000716C3" w:rsidRPr="00CA3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15 числа місяця, що настає за звітним періодом, до обласної ради та облдержадміністрації, контроль – постійна комісія обласної ради з питань забезпечення правоохоронної діяльності.</w:t>
      </w:r>
    </w:p>
    <w:p w:rsidR="000716C3" w:rsidRPr="00CA342D" w:rsidRDefault="000716C3" w:rsidP="00071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2EF7" w:rsidRDefault="009A2EF7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5511" w:rsidRDefault="00925511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5511" w:rsidRPr="00E91D07" w:rsidRDefault="00925511" w:rsidP="0092551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Перший заступник </w:t>
      </w:r>
    </w:p>
    <w:p w:rsidR="00925511" w:rsidRDefault="00925511" w:rsidP="0092551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голови обласної ради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>Г. ГУФМАН</w:t>
      </w:r>
    </w:p>
    <w:p w:rsidR="00925511" w:rsidRDefault="00925511" w:rsidP="0092551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925511" w:rsidRDefault="00925511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5511" w:rsidRDefault="00925511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5511" w:rsidRDefault="00925511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5511" w:rsidRDefault="00925511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25511" w:rsidRDefault="00925511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2EF7" w:rsidRPr="00A35F57" w:rsidRDefault="009A2EF7" w:rsidP="00EA74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9A2EF7" w:rsidRPr="00A35F57" w:rsidSect="00473D7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76" w:rsidRDefault="004B1576" w:rsidP="00473D76">
      <w:pPr>
        <w:spacing w:after="0" w:line="240" w:lineRule="auto"/>
      </w:pPr>
      <w:r>
        <w:separator/>
      </w:r>
    </w:p>
  </w:endnote>
  <w:endnote w:type="continuationSeparator" w:id="0">
    <w:p w:rsidR="004B1576" w:rsidRDefault="004B1576" w:rsidP="0047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76" w:rsidRDefault="004B1576" w:rsidP="00473D76">
      <w:pPr>
        <w:spacing w:after="0" w:line="240" w:lineRule="auto"/>
      </w:pPr>
      <w:r>
        <w:separator/>
      </w:r>
    </w:p>
  </w:footnote>
  <w:footnote w:type="continuationSeparator" w:id="0">
    <w:p w:rsidR="004B1576" w:rsidRDefault="004B1576" w:rsidP="0047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9044"/>
      <w:docPartObj>
        <w:docPartGallery w:val="Page Numbers (Top of Page)"/>
        <w:docPartUnique/>
      </w:docPartObj>
    </w:sdtPr>
    <w:sdtEndPr/>
    <w:sdtContent>
      <w:p w:rsidR="00473D76" w:rsidRDefault="00473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5D6">
          <w:rPr>
            <w:noProof/>
          </w:rPr>
          <w:t>2</w:t>
        </w:r>
        <w:r>
          <w:fldChar w:fldCharType="end"/>
        </w:r>
      </w:p>
    </w:sdtContent>
  </w:sdt>
  <w:p w:rsidR="00473D76" w:rsidRDefault="00473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9"/>
    <w:rsid w:val="000716C3"/>
    <w:rsid w:val="000B2C6E"/>
    <w:rsid w:val="002852E1"/>
    <w:rsid w:val="00473D76"/>
    <w:rsid w:val="004B1576"/>
    <w:rsid w:val="004C1459"/>
    <w:rsid w:val="008302A0"/>
    <w:rsid w:val="00925511"/>
    <w:rsid w:val="00952E34"/>
    <w:rsid w:val="009A2EF7"/>
    <w:rsid w:val="00AB7D4C"/>
    <w:rsid w:val="00B44F62"/>
    <w:rsid w:val="00B74BB7"/>
    <w:rsid w:val="00C17B64"/>
    <w:rsid w:val="00C825D6"/>
    <w:rsid w:val="00DA51E9"/>
    <w:rsid w:val="00EA7430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7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D7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73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D76"/>
    <w:rPr>
      <w:rFonts w:ascii="Calibri" w:eastAsia="Calibri" w:hAnsi="Calibri" w:cs="Times New Roman"/>
      <w:lang w:val="ru-RU"/>
    </w:rPr>
  </w:style>
  <w:style w:type="table" w:customStyle="1" w:styleId="5">
    <w:name w:val="Сетка таблицы5"/>
    <w:basedOn w:val="a1"/>
    <w:next w:val="a7"/>
    <w:uiPriority w:val="59"/>
    <w:rsid w:val="009A2E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D4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7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D7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73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D76"/>
    <w:rPr>
      <w:rFonts w:ascii="Calibri" w:eastAsia="Calibri" w:hAnsi="Calibri" w:cs="Times New Roman"/>
      <w:lang w:val="ru-RU"/>
    </w:rPr>
  </w:style>
  <w:style w:type="table" w:customStyle="1" w:styleId="5">
    <w:name w:val="Сетка таблицы5"/>
    <w:basedOn w:val="a1"/>
    <w:next w:val="a7"/>
    <w:uiPriority w:val="59"/>
    <w:rsid w:val="009A2E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D4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8A13-FE63-4D8D-8EDE-AAED2D7C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12</cp:revision>
  <cp:lastPrinted>2021-01-06T09:43:00Z</cp:lastPrinted>
  <dcterms:created xsi:type="dcterms:W3CDTF">2017-03-16T09:20:00Z</dcterms:created>
  <dcterms:modified xsi:type="dcterms:W3CDTF">2021-01-06T10:23:00Z</dcterms:modified>
</cp:coreProperties>
</file>