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D8" w:rsidRPr="00337403" w:rsidRDefault="005A0E1D" w:rsidP="00337403">
      <w:pPr>
        <w:ind w:left="12036"/>
        <w:rPr>
          <w:rFonts w:ascii="Times New Roman" w:hAnsi="Times New Roman"/>
          <w:caps/>
          <w:sz w:val="28"/>
          <w:szCs w:val="28"/>
          <w:lang w:val="uk-UA"/>
        </w:rPr>
      </w:pPr>
      <w:r w:rsidRPr="001B366E">
        <w:rPr>
          <w:rFonts w:ascii="Times New Roman" w:hAnsi="Times New Roman"/>
          <w:sz w:val="28"/>
          <w:szCs w:val="28"/>
          <w:lang w:val="uk-UA"/>
        </w:rPr>
        <w:t>Додаток  до додатка</w:t>
      </w:r>
      <w:r w:rsidRPr="001B366E">
        <w:rPr>
          <w:rFonts w:ascii="Times New Roman" w:hAnsi="Times New Roman"/>
          <w:caps/>
          <w:sz w:val="28"/>
          <w:szCs w:val="28"/>
          <w:lang w:val="uk-UA"/>
        </w:rPr>
        <w:t xml:space="preserve">                </w:t>
      </w:r>
      <w:r w:rsidRPr="001B366E">
        <w:rPr>
          <w:rFonts w:ascii="Times New Roman" w:hAnsi="Times New Roman"/>
          <w:sz w:val="28"/>
          <w:szCs w:val="28"/>
          <w:lang w:val="uk-UA"/>
        </w:rPr>
        <w:t>до рішення обласної ради</w:t>
      </w:r>
    </w:p>
    <w:p w:rsidR="00047ED8" w:rsidRPr="00047ED8" w:rsidRDefault="00047ED8" w:rsidP="001B366E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C43146" w:rsidRPr="00C43146" w:rsidRDefault="00C43146" w:rsidP="00C4314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3146">
        <w:rPr>
          <w:rFonts w:ascii="Times New Roman" w:hAnsi="Times New Roman"/>
          <w:b/>
          <w:sz w:val="28"/>
          <w:szCs w:val="28"/>
          <w:lang w:val="uk-UA"/>
        </w:rPr>
        <w:t>ЗАКЛЮЧНИЙ ЗВІТ</w:t>
      </w:r>
    </w:p>
    <w:p w:rsidR="00C43146" w:rsidRDefault="00B20238" w:rsidP="00C4314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C43146" w:rsidRPr="00C43146">
        <w:rPr>
          <w:rFonts w:ascii="Times New Roman" w:hAnsi="Times New Roman"/>
          <w:b/>
          <w:sz w:val="28"/>
          <w:szCs w:val="28"/>
          <w:lang w:val="uk-UA"/>
        </w:rPr>
        <w:t xml:space="preserve"> виконання регіональної комплексної Програми правової освіти населення на 2016 – 2020 роки</w:t>
      </w:r>
    </w:p>
    <w:p w:rsidR="00C43146" w:rsidRPr="00C43146" w:rsidRDefault="00C43146" w:rsidP="00C4314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43146" w:rsidRPr="006464D0" w:rsidRDefault="00C43146" w:rsidP="00C43146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1545"/>
        <w:rPr>
          <w:rFonts w:ascii="Times New Roman" w:hAnsi="Times New Roman"/>
          <w:b/>
          <w:sz w:val="28"/>
          <w:szCs w:val="28"/>
          <w:lang w:val="uk-UA"/>
        </w:rPr>
      </w:pPr>
      <w:r w:rsidRPr="006464D0">
        <w:rPr>
          <w:rFonts w:ascii="Times New Roman" w:hAnsi="Times New Roman"/>
          <w:b/>
          <w:sz w:val="28"/>
          <w:szCs w:val="28"/>
          <w:lang w:val="uk-UA"/>
        </w:rPr>
        <w:t>Виконання завдань і заходів Програми</w:t>
      </w:r>
    </w:p>
    <w:p w:rsidR="003D3131" w:rsidRDefault="003D3131" w:rsidP="00047ED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3969"/>
        <w:gridCol w:w="1276"/>
        <w:gridCol w:w="1276"/>
        <w:gridCol w:w="850"/>
        <w:gridCol w:w="993"/>
        <w:gridCol w:w="567"/>
        <w:gridCol w:w="556"/>
        <w:gridCol w:w="11"/>
        <w:gridCol w:w="561"/>
        <w:gridCol w:w="6"/>
        <w:gridCol w:w="567"/>
        <w:gridCol w:w="567"/>
        <w:gridCol w:w="6"/>
        <w:gridCol w:w="561"/>
      </w:tblGrid>
      <w:tr w:rsidR="00C43146" w:rsidRPr="00C43146" w:rsidTr="00C43146">
        <w:trPr>
          <w:tblHeader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43146" w:rsidRPr="00C43146" w:rsidRDefault="00C43146" w:rsidP="00C431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Завдання Програми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43146" w:rsidRPr="00C43146" w:rsidRDefault="00C43146" w:rsidP="006464D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Заходи </w:t>
            </w:r>
            <w:r w:rsidR="006464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рограми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C43146" w:rsidRPr="00C43146" w:rsidRDefault="00C43146" w:rsidP="00C431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43146" w:rsidRPr="00C43146" w:rsidRDefault="00C43146" w:rsidP="00C431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43146" w:rsidRPr="00C43146" w:rsidRDefault="00C43146" w:rsidP="00C431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Джерела </w:t>
            </w:r>
            <w:proofErr w:type="spellStart"/>
            <w:r w:rsidR="006464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фінансу-ван</w:t>
            </w: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ня</w:t>
            </w:r>
            <w:proofErr w:type="spellEnd"/>
          </w:p>
          <w:p w:rsidR="00C43146" w:rsidRPr="00C43146" w:rsidRDefault="00C43146" w:rsidP="00C431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gridSpan w:val="11"/>
            <w:shd w:val="clear" w:color="auto" w:fill="auto"/>
            <w:vAlign w:val="center"/>
          </w:tcPr>
          <w:p w:rsidR="00C43146" w:rsidRPr="00C43146" w:rsidRDefault="00C43146" w:rsidP="00C431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Обсяг фінансування заходів Програми, тис.</w:t>
            </w:r>
            <w:r w:rsidR="006464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57F7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  <w:tr w:rsidR="00C43146" w:rsidRPr="00C43146" w:rsidTr="00C43146">
        <w:trPr>
          <w:tblHeader/>
        </w:trPr>
        <w:tc>
          <w:tcPr>
            <w:tcW w:w="1560" w:type="dxa"/>
            <w:vMerge/>
            <w:shd w:val="clear" w:color="auto" w:fill="auto"/>
          </w:tcPr>
          <w:p w:rsidR="00C43146" w:rsidRPr="00C43146" w:rsidRDefault="00C43146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43146" w:rsidRPr="00C43146" w:rsidRDefault="00C43146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43146" w:rsidRPr="00C43146" w:rsidRDefault="00C43146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146" w:rsidRPr="00C43146" w:rsidRDefault="00C43146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146" w:rsidRPr="00C43146" w:rsidRDefault="00C43146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43146" w:rsidRPr="00C43146" w:rsidRDefault="00C43146" w:rsidP="006464D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</w:t>
            </w:r>
            <w:r w:rsidR="006464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-п</w:t>
            </w: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лано-вано</w:t>
            </w:r>
            <w:proofErr w:type="spellEnd"/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Прог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рамою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C43146" w:rsidRPr="00C43146" w:rsidRDefault="00C43146" w:rsidP="00C431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Затвер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джено</w:t>
            </w:r>
            <w:proofErr w:type="spellEnd"/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відпо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відними</w:t>
            </w:r>
            <w:proofErr w:type="spellEnd"/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464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бюдже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тами</w:t>
            </w:r>
            <w:proofErr w:type="spellEnd"/>
          </w:p>
        </w:tc>
        <w:tc>
          <w:tcPr>
            <w:tcW w:w="3402" w:type="dxa"/>
            <w:gridSpan w:val="9"/>
            <w:shd w:val="clear" w:color="auto" w:fill="auto"/>
          </w:tcPr>
          <w:p w:rsidR="00C43146" w:rsidRPr="00C43146" w:rsidRDefault="00C43146" w:rsidP="00C431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Фактично освоєно</w:t>
            </w:r>
          </w:p>
        </w:tc>
      </w:tr>
      <w:tr w:rsidR="00C43146" w:rsidRPr="00C43146" w:rsidTr="00C43146">
        <w:trPr>
          <w:cantSplit/>
          <w:trHeight w:val="1601"/>
          <w:tblHeader/>
        </w:trPr>
        <w:tc>
          <w:tcPr>
            <w:tcW w:w="1560" w:type="dxa"/>
            <w:vMerge/>
            <w:shd w:val="clear" w:color="auto" w:fill="auto"/>
          </w:tcPr>
          <w:p w:rsidR="00C43146" w:rsidRPr="00C43146" w:rsidRDefault="00C43146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43146" w:rsidRPr="00C43146" w:rsidRDefault="00C43146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43146" w:rsidRPr="00C43146" w:rsidRDefault="00C43146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146" w:rsidRPr="00C43146" w:rsidRDefault="00C43146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146" w:rsidRPr="00C43146" w:rsidRDefault="00C43146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3146" w:rsidRPr="00C43146" w:rsidRDefault="00C43146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43146" w:rsidRPr="00C43146" w:rsidRDefault="00C43146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C43146" w:rsidRPr="00C43146" w:rsidRDefault="006464D0" w:rsidP="00C43146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</w:t>
            </w:r>
            <w:r w:rsidR="00C43146"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сього, у т.ч.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C43146" w:rsidRPr="00C43146" w:rsidRDefault="00C43146" w:rsidP="00C43146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 2016 році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C43146" w:rsidRPr="00C43146" w:rsidRDefault="00C43146" w:rsidP="00C43146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 2017 році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43146" w:rsidRPr="00C43146" w:rsidRDefault="00C43146" w:rsidP="00C43146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 2018 році</w:t>
            </w:r>
          </w:p>
        </w:tc>
        <w:tc>
          <w:tcPr>
            <w:tcW w:w="573" w:type="dxa"/>
            <w:gridSpan w:val="2"/>
            <w:shd w:val="clear" w:color="auto" w:fill="auto"/>
            <w:textDirection w:val="btLr"/>
          </w:tcPr>
          <w:p w:rsidR="00C43146" w:rsidRPr="00C43146" w:rsidRDefault="00C43146" w:rsidP="00C43146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 2019 році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C43146" w:rsidRPr="00C43146" w:rsidRDefault="00C43146" w:rsidP="00C43146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 2020 році</w:t>
            </w:r>
          </w:p>
        </w:tc>
      </w:tr>
      <w:tr w:rsidR="00B20238" w:rsidRPr="00C43146" w:rsidTr="00C43146">
        <w:trPr>
          <w:trHeight w:val="109"/>
        </w:trPr>
        <w:tc>
          <w:tcPr>
            <w:tcW w:w="1560" w:type="dxa"/>
            <w:vMerge w:val="restart"/>
            <w:shd w:val="clear" w:color="auto" w:fill="auto"/>
          </w:tcPr>
          <w:p w:rsidR="00B20238" w:rsidRPr="00560F31" w:rsidRDefault="00B20238" w:rsidP="00560F3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1. Підвищення рівня правової підготовки, правової обізнаності та правової свідомості населення регіону </w:t>
            </w:r>
          </w:p>
          <w:p w:rsidR="00B20238" w:rsidRPr="00C43146" w:rsidRDefault="00B20238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1.1.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Визначення стану </w:t>
            </w:r>
            <w:r w:rsidR="006464D0">
              <w:rPr>
                <w:rFonts w:ascii="Times New Roman" w:hAnsi="Times New Roman"/>
                <w:sz w:val="20"/>
                <w:szCs w:val="20"/>
                <w:lang w:val="uk-UA"/>
              </w:rPr>
              <w:t>правової освіти у</w:t>
            </w:r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навчальних закладах та на підприємствах, в установах, організаціях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20238" w:rsidRPr="00560F31" w:rsidRDefault="00B20238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Управління взаємодії з правоохоронними органами та оборонної роботи облдержадміністрації, </w:t>
            </w:r>
            <w:hyperlink r:id="rId9" w:tgtFrame="_blank" w:history="1">
              <w:r w:rsidRPr="00C43146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департамент освіти і науки</w:t>
              </w:r>
            </w:hyperlink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облдержадміністрації,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Південно-Східне міжрегіональне управління Міністерства юстиції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br/>
              <w:t xml:space="preserve">(м. Дніпро)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згодою)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2016 – </w:t>
            </w:r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>роки</w:t>
            </w:r>
          </w:p>
          <w:p w:rsidR="00B20238" w:rsidRPr="00C43146" w:rsidRDefault="00B20238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20238" w:rsidRPr="00C43146" w:rsidRDefault="00B20238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20238" w:rsidRPr="00C43146" w:rsidRDefault="00B20238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20238" w:rsidRPr="00C43146" w:rsidRDefault="00B20238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20238" w:rsidRPr="00C43146" w:rsidRDefault="00B20238" w:rsidP="00560F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Загальний обсяг, у т.ч.</w:t>
            </w:r>
          </w:p>
        </w:tc>
        <w:tc>
          <w:tcPr>
            <w:tcW w:w="850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B20238" w:rsidRPr="00C43146" w:rsidTr="00C43146">
        <w:tc>
          <w:tcPr>
            <w:tcW w:w="1560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B20238" w:rsidRPr="00C43146" w:rsidTr="00C43146">
        <w:tc>
          <w:tcPr>
            <w:tcW w:w="1560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B20238" w:rsidRPr="00C43146" w:rsidTr="00C43146">
        <w:tc>
          <w:tcPr>
            <w:tcW w:w="1560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B20238" w:rsidRPr="00C43146" w:rsidTr="00C43146">
        <w:trPr>
          <w:trHeight w:val="751"/>
        </w:trPr>
        <w:tc>
          <w:tcPr>
            <w:tcW w:w="1560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50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B20238" w:rsidRPr="00C43146" w:rsidTr="00C43146">
        <w:trPr>
          <w:trHeight w:val="409"/>
        </w:trPr>
        <w:tc>
          <w:tcPr>
            <w:tcW w:w="1560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1.2. </w:t>
            </w:r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Удосконалення педагогічної діяльності викладачів правових дисциплін (шляхом підвищення кваліфікації, професійної підготовки та впровадження нових форм та методів роботи) </w:t>
            </w:r>
          </w:p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B20238" w:rsidRDefault="00B20238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Управління взаємодії з правоохоронними органами та оборонної роботи облдержадміністрації, </w:t>
            </w:r>
            <w:hyperlink r:id="rId10" w:tgtFrame="_blank" w:history="1">
              <w:r w:rsidRPr="00850A53">
                <w:rPr>
                  <w:rStyle w:val="ac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 xml:space="preserve">департамент освіти і науки </w:t>
              </w:r>
            </w:hyperlink>
            <w:r w:rsidRPr="00850A5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облдержадміністрації, </w:t>
            </w:r>
            <w:r w:rsidRPr="00850A5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Південно-Східне міжрегіональне упр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авління Міністерства юстиції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(м. Дніпро)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(за згодою), Дніпропетровський регіональний інститут державного управління Національної академії державного управління при Президентові України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згодою),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Дніпровський національний університет імені Олеся Гончара (за згодою), Національний технічний університет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,,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Дніпровська політехніка”</w:t>
            </w:r>
            <w:r w:rsidR="00324B3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(за згодою), Університет митної справи та фінансів (за згодою), Дніпропетровський державний університет внутрішніх справ (за згодою), 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К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омунал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ьний вищ</w:t>
            </w:r>
            <w:r w:rsidR="00324B3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й навчальний заклад  ,,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Дніпровська академія неперервної освіти” Дніпропетровської обласної ради (за згодою)</w:t>
            </w:r>
          </w:p>
          <w:p w:rsidR="00560F31" w:rsidRPr="00850A53" w:rsidRDefault="00560F31" w:rsidP="00C4314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20238" w:rsidRDefault="00B20238" w:rsidP="00850A53">
            <w:pPr>
              <w:jc w:val="center"/>
            </w:pPr>
            <w:r w:rsidRPr="00E51CDA">
              <w:rPr>
                <w:rFonts w:ascii="Times New Roman" w:hAnsi="Times New Roman"/>
                <w:sz w:val="20"/>
                <w:szCs w:val="20"/>
                <w:lang w:val="uk-UA"/>
              </w:rPr>
              <w:t>2016 – 2020 роки</w:t>
            </w:r>
          </w:p>
        </w:tc>
        <w:tc>
          <w:tcPr>
            <w:tcW w:w="1276" w:type="dxa"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850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B20238" w:rsidRPr="00C43146" w:rsidTr="00C43146">
        <w:trPr>
          <w:trHeight w:val="414"/>
        </w:trPr>
        <w:tc>
          <w:tcPr>
            <w:tcW w:w="1560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0238" w:rsidRPr="00C43146" w:rsidRDefault="00B20238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B20238" w:rsidRPr="00C43146" w:rsidTr="00C43146">
        <w:trPr>
          <w:trHeight w:val="405"/>
        </w:trPr>
        <w:tc>
          <w:tcPr>
            <w:tcW w:w="1560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0238" w:rsidRPr="00C43146" w:rsidRDefault="00B20238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B20238" w:rsidRPr="00C43146" w:rsidTr="00C43146">
        <w:trPr>
          <w:trHeight w:val="439"/>
        </w:trPr>
        <w:tc>
          <w:tcPr>
            <w:tcW w:w="1560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0238" w:rsidRPr="00C43146" w:rsidRDefault="00B20238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B20238" w:rsidRPr="00C43146" w:rsidTr="00C43146">
        <w:trPr>
          <w:trHeight w:val="77"/>
        </w:trPr>
        <w:tc>
          <w:tcPr>
            <w:tcW w:w="1560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0238" w:rsidRPr="00C43146" w:rsidRDefault="00B20238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50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B20238" w:rsidRPr="00C43146" w:rsidTr="00C43146">
        <w:trPr>
          <w:trHeight w:val="377"/>
        </w:trPr>
        <w:tc>
          <w:tcPr>
            <w:tcW w:w="1560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1.3. Упровадження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проє</w:t>
            </w:r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>ктів</w:t>
            </w:r>
            <w:proofErr w:type="spellEnd"/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>, курсів, тренінгів для населення з правових питань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20238" w:rsidRPr="00850A53" w:rsidRDefault="00B20238" w:rsidP="00C4314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Управління взаємодії з правоохоронними органами та оборонної роботи облдержадміністрації, </w:t>
            </w:r>
            <w:hyperlink r:id="rId11" w:tgtFrame="_blank" w:history="1">
              <w:r w:rsidRPr="00C43146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 xml:space="preserve">департамент освіти і науки </w:t>
              </w:r>
            </w:hyperlink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облдержадміністрації,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Південно-Східне міжрегіональне управлін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ня Міністерства юстиції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(м. Дніпро)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(за згодою),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324B3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оординаційна рада молодих юристів при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Південно-Східному міжрегіональному  управлінні Міністерства юстиції (м. Дніпро)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згодою)</w:t>
            </w:r>
          </w:p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20238" w:rsidRDefault="00B20238" w:rsidP="00850A53">
            <w:pPr>
              <w:jc w:val="center"/>
            </w:pPr>
            <w:r w:rsidRPr="00E51CDA">
              <w:rPr>
                <w:rFonts w:ascii="Times New Roman" w:hAnsi="Times New Roman"/>
                <w:sz w:val="20"/>
                <w:szCs w:val="20"/>
                <w:lang w:val="uk-UA"/>
              </w:rPr>
              <w:t>2016 – 2020 роки</w:t>
            </w:r>
          </w:p>
        </w:tc>
        <w:tc>
          <w:tcPr>
            <w:tcW w:w="1276" w:type="dxa"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850" w:type="dxa"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25,0</w:t>
            </w:r>
          </w:p>
        </w:tc>
        <w:tc>
          <w:tcPr>
            <w:tcW w:w="993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56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B20238" w:rsidRPr="00C43146" w:rsidTr="00C43146">
        <w:trPr>
          <w:trHeight w:val="443"/>
        </w:trPr>
        <w:tc>
          <w:tcPr>
            <w:tcW w:w="1560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0238" w:rsidRPr="00C43146" w:rsidRDefault="00B20238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56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B20238" w:rsidRPr="00C43146" w:rsidTr="00C43146">
        <w:trPr>
          <w:trHeight w:val="421"/>
        </w:trPr>
        <w:tc>
          <w:tcPr>
            <w:tcW w:w="1560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0238" w:rsidRPr="00C43146" w:rsidRDefault="00B20238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56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B20238" w:rsidRPr="00C43146" w:rsidTr="00C43146">
        <w:trPr>
          <w:trHeight w:val="481"/>
        </w:trPr>
        <w:tc>
          <w:tcPr>
            <w:tcW w:w="1560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0238" w:rsidRPr="00C43146" w:rsidRDefault="00B20238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56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B20238" w:rsidRPr="00C43146" w:rsidTr="00850A53">
        <w:trPr>
          <w:trHeight w:val="543"/>
        </w:trPr>
        <w:tc>
          <w:tcPr>
            <w:tcW w:w="1560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0238" w:rsidRPr="00C43146" w:rsidRDefault="00B20238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50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56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B20238" w:rsidRPr="00C43146" w:rsidTr="00C43146">
        <w:trPr>
          <w:trHeight w:val="415"/>
        </w:trPr>
        <w:tc>
          <w:tcPr>
            <w:tcW w:w="1560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1.4. Проведення розширених та виїзних засідань обласної міжвідомчої координаційно-методичної ради з правової освіти населення за участю голів районних, міських </w:t>
            </w:r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міжвідомчих координаційно-методичних рад з прав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ової освіти населення та началь</w:t>
            </w:r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ників міських, </w:t>
            </w:r>
            <w:proofErr w:type="spellStart"/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>міськ-районни</w:t>
            </w:r>
            <w:r w:rsidR="00560F31">
              <w:rPr>
                <w:rFonts w:ascii="Times New Roman" w:hAnsi="Times New Roman"/>
                <w:sz w:val="20"/>
                <w:szCs w:val="20"/>
                <w:lang w:val="uk-UA"/>
              </w:rPr>
              <w:t>х</w:t>
            </w:r>
            <w:proofErr w:type="spellEnd"/>
            <w:r w:rsidR="00560F3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районних управлінь юстиції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20238" w:rsidRPr="00850A53" w:rsidRDefault="00B20238" w:rsidP="00C4314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Управління взаємодії з правоохоронними органами та оборонної роботи облдержадміністрації,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Південно-Східне міжрегіональне у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правління Міністерства юстиції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(м. Дніпро)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(за згодою)</w:t>
            </w:r>
          </w:p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20238" w:rsidRDefault="00B20238" w:rsidP="00850A53">
            <w:pPr>
              <w:jc w:val="center"/>
            </w:pPr>
            <w:r w:rsidRPr="00E51CDA">
              <w:rPr>
                <w:rFonts w:ascii="Times New Roman" w:hAnsi="Times New Roman"/>
                <w:sz w:val="20"/>
                <w:szCs w:val="20"/>
                <w:lang w:val="uk-UA"/>
              </w:rPr>
              <w:t>2016 – 2020 роки</w:t>
            </w:r>
          </w:p>
        </w:tc>
        <w:tc>
          <w:tcPr>
            <w:tcW w:w="1276" w:type="dxa"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850" w:type="dxa"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31,25</w:t>
            </w:r>
          </w:p>
        </w:tc>
        <w:tc>
          <w:tcPr>
            <w:tcW w:w="993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B20238" w:rsidRPr="00C43146" w:rsidTr="00C43146">
        <w:trPr>
          <w:trHeight w:val="415"/>
        </w:trPr>
        <w:tc>
          <w:tcPr>
            <w:tcW w:w="1560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0238" w:rsidRPr="00C43146" w:rsidRDefault="00B20238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B20238" w:rsidRPr="00C43146" w:rsidTr="00C43146">
        <w:tc>
          <w:tcPr>
            <w:tcW w:w="1560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0238" w:rsidRPr="00C43146" w:rsidRDefault="00B20238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B20238" w:rsidRPr="00C43146" w:rsidTr="00C43146">
        <w:tc>
          <w:tcPr>
            <w:tcW w:w="1560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0238" w:rsidRPr="00C43146" w:rsidRDefault="00B20238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B20238" w:rsidRPr="00C43146" w:rsidTr="00C43146">
        <w:tc>
          <w:tcPr>
            <w:tcW w:w="1560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0238" w:rsidRPr="00C43146" w:rsidRDefault="00B20238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50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B20238" w:rsidRPr="00C43146" w:rsidTr="00C43146">
        <w:tc>
          <w:tcPr>
            <w:tcW w:w="1560" w:type="dxa"/>
            <w:vMerge w:val="restart"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2. </w:t>
            </w:r>
            <w:proofErr w:type="spellStart"/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>Широко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>масштабна</w:t>
            </w:r>
            <w:proofErr w:type="spellEnd"/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>правоінформа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>ційна</w:t>
            </w:r>
            <w:proofErr w:type="spellEnd"/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робота щодо інформування населення про правову політику держави та законодавство, створення атмосфери поваги до законів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2.1. Забезпечення систематичного інформування населення в засобах масової інформації </w:t>
            </w:r>
            <w:r w:rsidRPr="00C4314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про правову </w:t>
            </w:r>
            <w:proofErr w:type="spellStart"/>
            <w:r w:rsidRPr="00C431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полі-тику</w:t>
            </w:r>
            <w:proofErr w:type="spellEnd"/>
            <w:r w:rsidRPr="00C4314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держави, стан законності та правопорядку, забезпечення прав і свобод людини, зміни в</w:t>
            </w:r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законодавстві, діяльність органів законодавчої, виконавчої, судово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ї влади, а також про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стан право</w:t>
            </w:r>
            <w:r w:rsidR="00324B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порядку, боротьби </w:t>
            </w:r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>з правопорушеннями, особливо серед неповнолітніх, та провед</w:t>
            </w:r>
            <w:r w:rsidR="00560F31">
              <w:rPr>
                <w:rFonts w:ascii="Times New Roman" w:hAnsi="Times New Roman"/>
                <w:sz w:val="20"/>
                <w:szCs w:val="20"/>
                <w:lang w:val="uk-UA"/>
              </w:rPr>
              <w:t>ення профілактики правопорушень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Управління взаємодії з правоохоронними органами та оборонної роботи облдержадміністрації, </w:t>
            </w:r>
            <w:hyperlink r:id="rId12" w:tgtFrame="_blank" w:history="1">
              <w:r w:rsidRPr="00C43146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департамент інформаційної діяльності та комунікацій з громадськістю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облдержадміністрації, служба у справах </w:t>
            </w:r>
            <w:r w:rsidRPr="00C43146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uk-UA"/>
              </w:rPr>
              <w:t>дітей облдержадміністрації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Південно-Східне міжрегіональне управління Міністерства юстиції (м. Дніпро)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(за згодою),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Дніпропетровська обл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асна державна телерадіокомпанія (за згодою),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Головне управління Національної поліції в Дніпропетровській області (за згодою)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0238" w:rsidRDefault="00B20238" w:rsidP="00850A53">
            <w:pPr>
              <w:jc w:val="center"/>
            </w:pPr>
            <w:r w:rsidRPr="00E51CDA">
              <w:rPr>
                <w:rFonts w:ascii="Times New Roman" w:hAnsi="Times New Roman"/>
                <w:sz w:val="20"/>
                <w:szCs w:val="20"/>
                <w:lang w:val="uk-UA"/>
              </w:rPr>
              <w:t>2016 – 2020 роки</w:t>
            </w:r>
          </w:p>
        </w:tc>
        <w:tc>
          <w:tcPr>
            <w:tcW w:w="1276" w:type="dxa"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850" w:type="dxa"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B20238" w:rsidRPr="00C43146" w:rsidTr="00C43146">
        <w:tc>
          <w:tcPr>
            <w:tcW w:w="1560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0238" w:rsidRPr="00C43146" w:rsidRDefault="00B20238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B20238" w:rsidRPr="00C43146" w:rsidTr="00C43146">
        <w:tc>
          <w:tcPr>
            <w:tcW w:w="1560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0238" w:rsidRPr="00C43146" w:rsidRDefault="00B20238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</w:tcPr>
          <w:p w:rsidR="00B20238" w:rsidRPr="006D13FE" w:rsidRDefault="006D13FE" w:rsidP="00B202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13F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B20238" w:rsidRPr="00C43146" w:rsidTr="00C43146">
        <w:tc>
          <w:tcPr>
            <w:tcW w:w="1560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0238" w:rsidRPr="00C43146" w:rsidRDefault="00B20238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B20238" w:rsidRPr="00C43146" w:rsidTr="00C43146">
        <w:tc>
          <w:tcPr>
            <w:tcW w:w="1560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0238" w:rsidRPr="00C43146" w:rsidRDefault="00B20238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20238" w:rsidRPr="00C43146" w:rsidRDefault="00B20238" w:rsidP="00C431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50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B20238" w:rsidRPr="00AB2012" w:rsidRDefault="00B20238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560F31" w:rsidRPr="00C43146" w:rsidTr="00C43146">
        <w:tc>
          <w:tcPr>
            <w:tcW w:w="1560" w:type="dxa"/>
            <w:vMerge w:val="restart"/>
            <w:shd w:val="clear" w:color="auto" w:fill="auto"/>
          </w:tcPr>
          <w:p w:rsidR="00560F31" w:rsidRPr="00C43146" w:rsidRDefault="00560F31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60F31" w:rsidRPr="00C43146" w:rsidRDefault="00560F31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2.2. Надання методичної допомоги населенню шляхом розроблення методичних рекомендацій з актуальних правових питань </w:t>
            </w:r>
          </w:p>
          <w:p w:rsidR="00560F31" w:rsidRPr="00C43146" w:rsidRDefault="00560F31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560F31" w:rsidRPr="00560F31" w:rsidRDefault="00560F31" w:rsidP="00C4314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Управління взаємодії з правоохоронними органами та оборонної роботи облдержадміністрації, </w:t>
            </w:r>
            <w:hyperlink r:id="rId13" w:tgtFrame="_blank" w:history="1">
              <w:r w:rsidRPr="00C43146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 xml:space="preserve">департамент освіти і науки </w:t>
              </w:r>
            </w:hyperlink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облдержадміністрації, 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Південно-Східне міжрегіональне у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правління Міністерства юстиції 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(м. Дніпро)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(за згодою),  Дніпропетровський регіональний інститут державного управління Національної академії державного управління при Президентові України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згодою),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Університет митної справи та фінансів (за згодою), Дніпровський національний університет імені Олеся Гончара (за згодою), Національний технічний 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ніверситет ,,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Дніпровська політехніка”</w:t>
            </w:r>
            <w:r w:rsidR="00324B3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згодою),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Дніпропетровський державний університет внутрішніх справ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(за згодою),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К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омуна</w:t>
            </w:r>
            <w:r w:rsidR="00324B3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льний вищи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й навчальний заклад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,,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Дніпровська академія неперервної освіти” Дніпропетровської обласної ради (за згодою)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0F31" w:rsidRDefault="00560F31" w:rsidP="00850A53">
            <w:pPr>
              <w:jc w:val="center"/>
            </w:pPr>
            <w:r w:rsidRPr="00E51CD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2016 – 2020 роки</w:t>
            </w:r>
          </w:p>
          <w:p w:rsidR="00560F31" w:rsidRDefault="00560F31" w:rsidP="00850A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60F31" w:rsidRPr="00C43146" w:rsidRDefault="00560F31" w:rsidP="00C431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850" w:type="dxa"/>
            <w:shd w:val="clear" w:color="auto" w:fill="auto"/>
          </w:tcPr>
          <w:p w:rsidR="00560F31" w:rsidRPr="00C43146" w:rsidRDefault="00560F31" w:rsidP="00C431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375,0</w:t>
            </w:r>
          </w:p>
        </w:tc>
        <w:tc>
          <w:tcPr>
            <w:tcW w:w="993" w:type="dxa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560F31" w:rsidRPr="00C43146" w:rsidTr="00C43146">
        <w:tc>
          <w:tcPr>
            <w:tcW w:w="1560" w:type="dxa"/>
            <w:vMerge/>
            <w:shd w:val="clear" w:color="auto" w:fill="auto"/>
          </w:tcPr>
          <w:p w:rsidR="00560F31" w:rsidRPr="00C43146" w:rsidRDefault="00560F31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60F31" w:rsidRPr="00C43146" w:rsidRDefault="00560F31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60F31" w:rsidRPr="00C43146" w:rsidRDefault="00560F31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0F31" w:rsidRDefault="00560F31" w:rsidP="00850A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60F31" w:rsidRPr="00C43146" w:rsidRDefault="00560F31" w:rsidP="00C431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560F31" w:rsidRPr="00C43146" w:rsidTr="00C43146">
        <w:tc>
          <w:tcPr>
            <w:tcW w:w="1560" w:type="dxa"/>
            <w:vMerge/>
            <w:shd w:val="clear" w:color="auto" w:fill="auto"/>
          </w:tcPr>
          <w:p w:rsidR="00560F31" w:rsidRPr="00C43146" w:rsidRDefault="00560F31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60F31" w:rsidRPr="00C43146" w:rsidRDefault="00560F31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60F31" w:rsidRPr="00C43146" w:rsidRDefault="00560F31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0F31" w:rsidRDefault="00560F31" w:rsidP="00850A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60F31" w:rsidRPr="00C43146" w:rsidRDefault="00560F31" w:rsidP="00C431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560F31" w:rsidRPr="00C43146" w:rsidTr="00C43146">
        <w:tc>
          <w:tcPr>
            <w:tcW w:w="1560" w:type="dxa"/>
            <w:vMerge/>
            <w:shd w:val="clear" w:color="auto" w:fill="auto"/>
          </w:tcPr>
          <w:p w:rsidR="00560F31" w:rsidRPr="00C43146" w:rsidRDefault="00560F31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60F31" w:rsidRPr="00C43146" w:rsidRDefault="00560F31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60F31" w:rsidRPr="00C43146" w:rsidRDefault="00560F31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0F31" w:rsidRDefault="00560F31" w:rsidP="00850A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60F31" w:rsidRPr="00C43146" w:rsidRDefault="00560F31" w:rsidP="00C431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560F31" w:rsidRPr="00C43146" w:rsidTr="00C43146">
        <w:tc>
          <w:tcPr>
            <w:tcW w:w="1560" w:type="dxa"/>
            <w:vMerge/>
            <w:shd w:val="clear" w:color="auto" w:fill="auto"/>
          </w:tcPr>
          <w:p w:rsidR="00560F31" w:rsidRPr="00C43146" w:rsidRDefault="00560F31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60F31" w:rsidRPr="00C43146" w:rsidRDefault="00560F31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60F31" w:rsidRPr="00C43146" w:rsidRDefault="00560F31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0F31" w:rsidRDefault="00560F31" w:rsidP="00850A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60F31" w:rsidRPr="00C43146" w:rsidRDefault="00560F31" w:rsidP="00C431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50" w:type="dxa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560F31" w:rsidRPr="00AB2012" w:rsidRDefault="00560F31" w:rsidP="00B202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 w:val="restart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3. Формування в населення регіону схильності до </w:t>
            </w:r>
            <w:proofErr w:type="spellStart"/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>пра</w:t>
            </w:r>
            <w:r w:rsidR="00324B3B">
              <w:rPr>
                <w:rFonts w:ascii="Times New Roman" w:hAnsi="Times New Roman"/>
                <w:sz w:val="20"/>
                <w:szCs w:val="20"/>
                <w:lang w:val="uk-UA"/>
              </w:rPr>
              <w:t>восвідомого</w:t>
            </w:r>
            <w:proofErr w:type="spellEnd"/>
            <w:r w:rsidR="00324B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життя</w:t>
            </w:r>
            <w:r w:rsidR="00E57F7A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="00324B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насамперед</w:t>
            </w:r>
            <w:r w:rsidR="00560F3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>у студентської, учнівської молоді</w:t>
            </w:r>
          </w:p>
          <w:p w:rsidR="006D13FE" w:rsidRPr="00C43146" w:rsidRDefault="006D13FE" w:rsidP="00BA080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D13FE" w:rsidRPr="00C43146" w:rsidRDefault="00324B3B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3.1. Проведення  право-</w:t>
            </w:r>
            <w:r w:rsidR="00E57F7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просвітницьких та </w:t>
            </w:r>
            <w:proofErr w:type="spellStart"/>
            <w:r w:rsidR="00E57F7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право</w:t>
            </w:r>
            <w:r w:rsidR="006D13FE"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виховних</w:t>
            </w:r>
            <w:proofErr w:type="spellEnd"/>
            <w:r w:rsidR="006D13FE"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заходів, у тому числі стосовно поширення серед населення знань про державні свята, державу і право</w:t>
            </w:r>
          </w:p>
          <w:p w:rsidR="006D13FE" w:rsidRPr="00C43146" w:rsidRDefault="006D13FE" w:rsidP="00BA080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6D13FE" w:rsidRPr="00BA080E" w:rsidRDefault="006D13FE" w:rsidP="00BA080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Управління взаємодії з правоохоронними органами та оборонної роботи облдержадміністрації, департамент освіти і науки облдержадміністрації, управління молоді і спорту облдержадміністрації,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Південно-Східне міжрегіональне у</w:t>
            </w:r>
            <w:r w:rsidR="00560F3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правління Міністерства юстиції                       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(м. Дніпро)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(за згодою), </w:t>
            </w:r>
            <w:r w:rsidR="00324B3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оординаційна рада молодих юристів при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Півд</w:t>
            </w:r>
            <w:r w:rsidR="00560F3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енно-Східному міжрегіональному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управлінні Міністерства юстиції (м. Дніпро)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(за згодою),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Кому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нальний заклад ,,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Дніпропетровська обласна бібліотека для молоді імені М. Свєтлова”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(за згодою), Південно-Східне міжрегіональне управління з виконання кримінальних покарань та </w:t>
            </w:r>
            <w:proofErr w:type="spellStart"/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пробації</w:t>
            </w:r>
            <w:proofErr w:type="spellEnd"/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ністерства юстиції (за згодою),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Служби безпеки України у Дніпроп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етровській області (за згодою),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Головне управління Національної поліції в Дніпропетровській області (за згодою), Дніпропетровський державн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ий університет внутрішніх справ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згодою), Дніпровський національний 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ніверситет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імені Олеся Гончара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згодою), Дніпропетровський регіональний інститут державного управління Національної академії державного упра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вління при Президентові України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згодою), Університет митної справи та фінансів (за згодою), Наці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ональний технічний університет ,,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Дніпровська політехнік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а”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(за згодою),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К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омуна</w:t>
            </w:r>
            <w:r w:rsidR="009C49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льний вищи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й навчальний заклад  ,,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Дніпровська академія неперервної освіти” Дніпропетровської обласної ради (за згодою)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D13FE" w:rsidRDefault="006D13FE" w:rsidP="00850A53">
            <w:pPr>
              <w:jc w:val="center"/>
            </w:pPr>
            <w:r w:rsidRPr="00E51CD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2016 – 2020 роки</w:t>
            </w: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3.2. Забезпечення надання державним службовцям під час їх пі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дготовки, перепідготовки та під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вищення ква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ліфікації комплексу знань з питань правового забезпе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чення державного </w:t>
            </w:r>
            <w:proofErr w:type="spellStart"/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управ-ління</w:t>
            </w:r>
            <w:proofErr w:type="spellEnd"/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та державної служби, що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включатиме вивчення основ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право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знавства, 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ідповідних актів законодавства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D13FE" w:rsidRPr="00D52C83" w:rsidRDefault="006D13FE" w:rsidP="00C4314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Управління взаємодії з правоохоронними органами та оборонної роботи облдержадміністрації,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Південно-Східне міжрегіональне у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правління Міністерства юстиції 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(м. Дніпро)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(за згодою),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Дніпропетровський регіональний інститут державного управління Національної академії державного управління при Президентові України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згодою),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9C49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Дніпровськи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й національний університет імені Олеся Гончара (за згодою)</w:t>
            </w:r>
          </w:p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D13FE" w:rsidRDefault="006D13FE" w:rsidP="00850A53">
            <w:pPr>
              <w:jc w:val="center"/>
            </w:pPr>
            <w:r w:rsidRPr="00E51CDA">
              <w:rPr>
                <w:rFonts w:ascii="Times New Roman" w:hAnsi="Times New Roman"/>
                <w:sz w:val="20"/>
                <w:szCs w:val="20"/>
                <w:lang w:val="uk-UA"/>
              </w:rPr>
              <w:t>2016 – 2020 роки</w:t>
            </w: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D13FE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3.3. Забезпечення роботи лекторіїв з питань поширення моральних і правових знань, профілактики правопорушень серед неповнолітніх у навчальних закладах, дитячих 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удинках, інтернатах та професійно-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технічних навчальних закладах, а також створе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ння молодіжних правових клубів </w:t>
            </w:r>
          </w:p>
          <w:p w:rsidR="00851E25" w:rsidRDefault="00851E25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851E25" w:rsidRPr="00D52C83" w:rsidRDefault="00851E25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взаємодії з правоохоронними органами та оборонної роботи облдержадміністрації, служба у справах дітей облдержадміністрації, департамент освіт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и і науки облдержадміністрації,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Південно-Східне міжрегіональне управління Міністерства юстиції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                    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(м. Дніпро)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(за згодою),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Південно-Східне міжрегіональне управління з виконання кримінальних покарань 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пробації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Міністерства юстиції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згодою), Головне управління Національної поліції в Дніпропетровській області (за згодою)</w:t>
            </w:r>
          </w:p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D13FE" w:rsidRDefault="006D13FE" w:rsidP="00850A53">
            <w:pPr>
              <w:jc w:val="center"/>
            </w:pPr>
            <w:r w:rsidRPr="00E51CDA">
              <w:rPr>
                <w:rFonts w:ascii="Times New Roman" w:hAnsi="Times New Roman"/>
                <w:sz w:val="20"/>
                <w:szCs w:val="20"/>
                <w:lang w:val="uk-UA"/>
              </w:rPr>
              <w:t>2016 – 2020 роки</w:t>
            </w: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850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12,5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3.4. Проведення </w:t>
            </w:r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>міжнародних семінарів, круглих столів,  симпозіумів з питань правової освіти та формування моральності в суспільстві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D13FE" w:rsidRPr="00D52C83" w:rsidRDefault="006D13FE" w:rsidP="00C4314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Управління взаємодії з правоохоронними органами та оборонної роботи облдержадміністрації, департамент освіти і науки облдержадміністрації, управління молоді і спорту облдержадміністрації,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Південно-Східне міжрегіональне у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правління Міністерства юстиції                        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(м. Дніпро)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(за згодою),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Комунальний заклад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,,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Дніпропетровська обласна бібліоте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 для молоді  імені М.</w:t>
            </w:r>
            <w:r w:rsidR="009C49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Свєтлова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згодою), Дніпропетровський регіональний інститут державного управління Національної академії державного управління при Президентові України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згодою), Університет митної справи та фінансів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згодою),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Дніпровський національний університет імені Олеся Гончара (за згодою),  Дніпропетровський державний університет внутрішніх справ (за згодою),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Наці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ональний технічний університет ,,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Дніпровська політехніка”</w:t>
            </w:r>
            <w:r w:rsidR="009C49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згодою),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К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омуна</w:t>
            </w:r>
            <w:r w:rsidR="009C49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льний вищи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й навчальний заклад  ,,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Дніпровська академія неперервної освіти” Дніпропетровської обласної ради (за згодою)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D13FE" w:rsidRDefault="006D13FE" w:rsidP="00850A53">
            <w:pPr>
              <w:jc w:val="center"/>
            </w:pPr>
            <w:r w:rsidRPr="00E51CDA">
              <w:rPr>
                <w:rFonts w:ascii="Times New Roman" w:hAnsi="Times New Roman"/>
                <w:sz w:val="20"/>
                <w:szCs w:val="20"/>
                <w:lang w:val="uk-UA"/>
              </w:rPr>
              <w:t>2016 – 2020 роки</w:t>
            </w: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850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 w:val="restart"/>
            <w:shd w:val="clear" w:color="auto" w:fill="auto"/>
          </w:tcPr>
          <w:p w:rsidR="006D13FE" w:rsidRPr="00D52C83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4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>. Надання безоплатної правової допомоги населенню регіону</w:t>
            </w:r>
          </w:p>
          <w:p w:rsidR="006D13FE" w:rsidRPr="00C43146" w:rsidRDefault="006D13FE" w:rsidP="00D52C8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4.1. Забезпечення надання безоплатної первинної правової допомоги через мережі громадських приймалень та офісів шляхом надання кваліфікованої безоплатної правової допомоги та забезпечення офіційними виданнями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D13FE" w:rsidRPr="00D52C83" w:rsidRDefault="006D13FE" w:rsidP="00C4314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Управління взаємодії з правоохоронними органами та оборонної роботи облдержадміністрації,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Південно-Східне міжрегіональне у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правління Міністерства юстиції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(м. Дніпро)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(за згодою) </w:t>
            </w:r>
          </w:p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D13FE" w:rsidRDefault="006D13FE" w:rsidP="00850A53">
            <w:pPr>
              <w:jc w:val="center"/>
            </w:pPr>
            <w:r w:rsidRPr="00E51CDA">
              <w:rPr>
                <w:rFonts w:ascii="Times New Roman" w:hAnsi="Times New Roman"/>
                <w:sz w:val="20"/>
                <w:szCs w:val="20"/>
                <w:lang w:val="uk-UA"/>
              </w:rPr>
              <w:t>2016 – 2020 роки</w:t>
            </w: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rPr>
          <w:trHeight w:val="760"/>
        </w:trPr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4.2. Мобільна правова допомога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населенню (вуличне консультуван</w:t>
            </w:r>
            <w:r w:rsidR="009C49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ня, правова допомога </w:t>
            </w:r>
            <w:proofErr w:type="spellStart"/>
            <w:r w:rsidR="009C4924">
              <w:rPr>
                <w:rFonts w:ascii="Times New Roman" w:hAnsi="Times New Roman"/>
                <w:sz w:val="20"/>
                <w:szCs w:val="20"/>
                <w:lang w:val="uk-UA"/>
              </w:rPr>
              <w:t>он</w:t>
            </w:r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>лайн</w:t>
            </w:r>
            <w:proofErr w:type="spellEnd"/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тощо) з метою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охоплення всіх верств населення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Управління взаємодії з правоохоронними органами та оборонної роботи облдержадміністрації,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Південно-Східне міжрегіональне у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правління Міністерства юстиції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(м. Дніпро)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(за згодою),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Регіональний центр з надання безоплатної вторинної правової допомоги (за згодою), місцеві центри з надання безоплатної вторинної правової допомоги (за згодою)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D13FE" w:rsidRDefault="006D13FE" w:rsidP="00850A53">
            <w:pPr>
              <w:jc w:val="center"/>
            </w:pPr>
            <w:r w:rsidRPr="00E51CDA">
              <w:rPr>
                <w:rFonts w:ascii="Times New Roman" w:hAnsi="Times New Roman"/>
                <w:sz w:val="20"/>
                <w:szCs w:val="20"/>
                <w:lang w:val="uk-UA"/>
              </w:rPr>
              <w:t>2016 – 2020 роки</w:t>
            </w:r>
          </w:p>
        </w:tc>
        <w:tc>
          <w:tcPr>
            <w:tcW w:w="1276" w:type="dxa"/>
            <w:shd w:val="clear" w:color="auto" w:fill="auto"/>
          </w:tcPr>
          <w:p w:rsidR="006D13FE" w:rsidRPr="00D52C83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850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31,25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D13FE" w:rsidRPr="00D52C83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4.3. Проведення семінарів, тренінгів, лекцій, круглих столів для осіб, які надають безоплатну правову допомогу,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>з метою вдосконалення їх професійних навичок</w:t>
            </w:r>
          </w:p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6D13FE" w:rsidRPr="00851E25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Управління взаємодії з правоохоронними органами та оборонної роботи облдержадміністрації, департамент освіти і науки облдержадміністрації,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Південно-Східне міжрегіональне у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правління Міністерства юстиції 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(м. Дніпро)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(за згодою),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9C49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оординаційна рада молодих юристів при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Південно-Східному міжрегіональному управлінні Міністерства юстиції (м. Дніпро)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(за згодою),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Регіональний центр з надання безоплатної вторинної правової допомоги (за згодою),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місцеві центри з надання безоплатної вторинної правової допомоги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згодою), Дніпропетровський регіональний інститут державного управління Національної академії державного управління при Президентові України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згодою), Університет митної справи та фінансів (за згодою), Дніпровський національний університет імені Олеся Гончара (за згодою), Дніпропетровський державний університет внутрішніх справ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(за згодою),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К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омуна</w:t>
            </w:r>
            <w:r w:rsidR="009C49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льний вищи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й навчальний заклад  ,,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Дніпровська академія неперервної освіти”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Дніпропетровської обласної ради (за згодою)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D13FE" w:rsidRDefault="006D13FE" w:rsidP="00850A53">
            <w:pPr>
              <w:jc w:val="center"/>
            </w:pPr>
            <w:r w:rsidRPr="00E51CD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2016 – 2020 роки</w:t>
            </w: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 w:val="restart"/>
            <w:shd w:val="clear" w:color="auto" w:fill="auto"/>
          </w:tcPr>
          <w:p w:rsidR="006D13FE" w:rsidRPr="00B20238" w:rsidRDefault="006D13FE" w:rsidP="00C4314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43146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lastRenderedPageBreak/>
              <w:t>5.</w:t>
            </w:r>
            <w:r w:rsidRPr="00C4314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C43146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Організація виконання завдань щодо реалізації </w:t>
            </w:r>
            <w:proofErr w:type="spellStart"/>
            <w:r w:rsidRPr="00C43146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загально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-</w:t>
            </w:r>
            <w:r w:rsidRPr="00C43146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національного</w:t>
            </w:r>
            <w:proofErr w:type="spellEnd"/>
            <w:r w:rsidRPr="00C43146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право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-</w:t>
            </w:r>
            <w:r w:rsidRPr="00C43146">
              <w:rPr>
                <w:rFonts w:ascii="Times New Roman" w:hAnsi="Times New Roman"/>
                <w:bCs/>
                <w:iCs/>
                <w:spacing w:val="-6"/>
                <w:sz w:val="20"/>
                <w:szCs w:val="20"/>
                <w:lang w:val="uk-UA"/>
              </w:rPr>
              <w:t xml:space="preserve">просвітницького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проє</w:t>
            </w:r>
            <w:r w:rsidRPr="00C43146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кту</w:t>
            </w:r>
            <w:proofErr w:type="spellEnd"/>
            <w:r w:rsidRPr="00C43146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                ,,</w:t>
            </w:r>
            <w:r w:rsidRPr="00C43146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Я МАЮ ПРАВО!</w:t>
            </w:r>
            <w:r w:rsidRPr="00B20238">
              <w:rPr>
                <w:rFonts w:ascii="Times New Roman" w:hAnsi="Times New Roman"/>
                <w:bCs/>
                <w:iCs/>
                <w:sz w:val="20"/>
                <w:szCs w:val="20"/>
              </w:rPr>
              <w:t>”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D13FE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>5.1. Розміщення зовнішньої реклами у місцях масового перебування громадян; висвітлення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заходів з реалізації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,,</w:t>
            </w:r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Я МАЮ ПРАВО!” у засобах масової інформації, соціальних </w:t>
            </w:r>
            <w:r w:rsidR="009C49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мережах та на офіційних </w:t>
            </w:r>
            <w:r w:rsidR="00E57F7A">
              <w:rPr>
                <w:rFonts w:ascii="Times New Roman" w:hAnsi="Times New Roman"/>
                <w:sz w:val="20"/>
                <w:szCs w:val="20"/>
                <w:lang w:val="uk-UA"/>
              </w:rPr>
              <w:t>сайтах,</w:t>
            </w:r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створення</w:t>
            </w:r>
            <w:r w:rsidR="009C49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трансляція соціальних </w:t>
            </w:r>
            <w:proofErr w:type="spellStart"/>
            <w:r w:rsidR="009C4924">
              <w:rPr>
                <w:rFonts w:ascii="Times New Roman" w:hAnsi="Times New Roman"/>
                <w:sz w:val="20"/>
                <w:szCs w:val="20"/>
                <w:lang w:val="uk-UA"/>
              </w:rPr>
              <w:t>аудіо-</w:t>
            </w:r>
            <w:proofErr w:type="spellEnd"/>
            <w:r w:rsidR="00E57F7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>та відеороликів у засобах масової інформації, громадському транспорті, громадських місцях тощо</w:t>
            </w:r>
          </w:p>
          <w:p w:rsidR="00851E25" w:rsidRPr="00C43146" w:rsidRDefault="00851E25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Південно-Східне міжрегіональне управління Міністерства ю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стиції                         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(м. Дніпро)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(за згодою),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департамент інформаційної діяльності та комунікацій з громадськістю облдержадміністрації,  управління взаємодії з правоохоронни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ми органами та оборонної роботи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облдержадміністрації, райдержадміністрації, міські, сільські, селищні ради (за згодою), об’єднані територіальні громади (за згодою)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2018 – 2019 роки</w:t>
            </w:r>
          </w:p>
          <w:p w:rsidR="006D13FE" w:rsidRPr="00C43146" w:rsidRDefault="006D13FE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850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rPr>
          <w:trHeight w:val="562"/>
        </w:trPr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sz w:val="20"/>
                <w:szCs w:val="20"/>
              </w:rPr>
              <w:t>5.2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431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>Моніторинг громадської думки шляхом проведення соціальних опитувань та анкетувань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а також визначення актуальних </w:t>
            </w:r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соціально значимих блоків, спрямованих на захист прав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громадян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D13FE" w:rsidRPr="00B20238" w:rsidRDefault="006D13FE" w:rsidP="00C431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Південно-Східне міжрегіональне управління М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іністерства юстиції                      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(м. Дніпро)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(за згодою),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9C49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оординаційна рада молодих юристів при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Південно-Східному міжрегіональному управлінні Міністерства юстиції (м. Дніпро)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          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згодою)</w:t>
            </w:r>
          </w:p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D13FE" w:rsidRDefault="006D13FE" w:rsidP="00850A53">
            <w:pPr>
              <w:jc w:val="center"/>
            </w:pPr>
            <w:r w:rsidRPr="00ED4F64">
              <w:rPr>
                <w:rFonts w:ascii="Times New Roman" w:hAnsi="Times New Roman"/>
                <w:sz w:val="20"/>
                <w:szCs w:val="20"/>
                <w:lang w:val="uk-UA"/>
              </w:rPr>
              <w:t>2018 – 2019 роки</w:t>
            </w: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>5.3. Проведення навчань для працівників юридичних служб органів державної влади та органів місцевого самоврядування з питань захисту прав людини</w:t>
            </w:r>
          </w:p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6D13FE" w:rsidRPr="00C43146" w:rsidRDefault="006D13FE" w:rsidP="009C4924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lastRenderedPageBreak/>
              <w:t>Південно-Східне міжрегіональне у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правління Міністерства юстиції               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(м. Дніпро)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(за згодою),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9C49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оординаційна рада молодих юристів при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Південно-Східному міжрегіональному управлінні Міністерства юстиції (м. Дніпро)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             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згодою),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Дніпропетровський регіональний інститут державного управління Національної академії державного управління при Президентові України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(за згодою), Дніпропетровський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державний  універси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тет внутрішніх справ (за згодою), Дніпровський національний університет імені Олеся Гончара (за згодою), Університет митної справи та фінансів (за згодою), Наці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ональний технічний університет ,,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Дніпровська політехніка” (за згодою), Комуна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льний вищий навчальний заклад ,,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Дніпровська академія неперервної освіти” Дніпропетровської обласної ради (за згодою), Регіональний центр з надання безоплатної вторинної правової допомоги у Дніпропетровській області (за згодою)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D13FE" w:rsidRDefault="006D13FE" w:rsidP="00850A53">
            <w:pPr>
              <w:jc w:val="center"/>
            </w:pPr>
            <w:r w:rsidRPr="00ED4F6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2018 – 2019 роки</w:t>
            </w: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rPr>
          <w:trHeight w:val="562"/>
        </w:trPr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51E25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>5.4. Організація роботи мобільних точок доступу, надання адресної безоплатної правової допомоги незахищеним верствам населення, проведення консультацій мешканцям сільської місцевості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Південно-Східне міжрегіональне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управління Міністерства юстиції              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(м. Дніпро)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(за згодою),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Регіональний центр з надання безоплатної вторинної правової допомоги у Дніпропетровській області (за згодою)</w:t>
            </w:r>
          </w:p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D13FE" w:rsidRDefault="006D13FE" w:rsidP="00850A53">
            <w:pPr>
              <w:jc w:val="center"/>
            </w:pPr>
            <w:r w:rsidRPr="00ED4F64">
              <w:rPr>
                <w:rFonts w:ascii="Times New Roman" w:hAnsi="Times New Roman"/>
                <w:sz w:val="20"/>
                <w:szCs w:val="20"/>
                <w:lang w:val="uk-UA"/>
              </w:rPr>
              <w:t>2018 – 2019 роки</w:t>
            </w: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Місцевий бюджет</w:t>
            </w:r>
          </w:p>
          <w:p w:rsidR="00851E25" w:rsidRPr="00C43146" w:rsidRDefault="00851E25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rPr>
          <w:trHeight w:val="396"/>
        </w:trPr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850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D13FE" w:rsidRDefault="006D13FE" w:rsidP="00B2023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sz w:val="20"/>
                <w:szCs w:val="20"/>
              </w:rPr>
              <w:t>5.5</w:t>
            </w:r>
            <w:r w:rsidRPr="00C43146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431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3146">
              <w:rPr>
                <w:rFonts w:ascii="Times New Roman" w:hAnsi="Times New Roman"/>
                <w:sz w:val="20"/>
                <w:szCs w:val="20"/>
              </w:rPr>
              <w:t>Надання</w:t>
            </w:r>
            <w:proofErr w:type="spellEnd"/>
            <w:r w:rsidRPr="00C431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3146">
              <w:rPr>
                <w:rFonts w:ascii="Times New Roman" w:hAnsi="Times New Roman"/>
                <w:sz w:val="20"/>
                <w:szCs w:val="20"/>
              </w:rPr>
              <w:t>правової</w:t>
            </w:r>
            <w:proofErr w:type="spellEnd"/>
            <w:r w:rsidRPr="00C431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3146">
              <w:rPr>
                <w:rFonts w:ascii="Times New Roman" w:hAnsi="Times New Roman"/>
                <w:sz w:val="20"/>
                <w:szCs w:val="20"/>
              </w:rPr>
              <w:t>інформації</w:t>
            </w:r>
            <w:proofErr w:type="spellEnd"/>
            <w:r w:rsidRPr="00C431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3146">
              <w:rPr>
                <w:rFonts w:ascii="Times New Roman" w:hAnsi="Times New Roman"/>
                <w:sz w:val="20"/>
                <w:szCs w:val="20"/>
              </w:rPr>
              <w:t>всім</w:t>
            </w:r>
            <w:proofErr w:type="spellEnd"/>
            <w:r w:rsidRPr="00C431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3146">
              <w:rPr>
                <w:rFonts w:ascii="Times New Roman" w:hAnsi="Times New Roman"/>
                <w:sz w:val="20"/>
                <w:szCs w:val="20"/>
              </w:rPr>
              <w:t>верствам</w:t>
            </w:r>
            <w:proofErr w:type="spellEnd"/>
            <w:r w:rsidRPr="00C431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3146">
              <w:rPr>
                <w:rFonts w:ascii="Times New Roman" w:hAnsi="Times New Roman"/>
                <w:sz w:val="20"/>
                <w:szCs w:val="20"/>
              </w:rPr>
              <w:t>населення</w:t>
            </w:r>
            <w:proofErr w:type="spellEnd"/>
            <w:r w:rsidRPr="00C43146">
              <w:rPr>
                <w:rFonts w:ascii="Times New Roman" w:hAnsi="Times New Roman"/>
                <w:sz w:val="20"/>
                <w:szCs w:val="20"/>
              </w:rPr>
              <w:t xml:space="preserve"> шляхом </w:t>
            </w:r>
            <w:proofErr w:type="spellStart"/>
            <w:r w:rsidRPr="00C43146">
              <w:rPr>
                <w:rFonts w:ascii="Times New Roman" w:hAnsi="Times New Roman"/>
                <w:sz w:val="20"/>
                <w:szCs w:val="20"/>
              </w:rPr>
              <w:t>розроблення</w:t>
            </w:r>
            <w:proofErr w:type="spellEnd"/>
            <w:r w:rsidRPr="00C43146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C43146">
              <w:rPr>
                <w:rFonts w:ascii="Times New Roman" w:hAnsi="Times New Roman"/>
                <w:sz w:val="20"/>
                <w:szCs w:val="20"/>
              </w:rPr>
              <w:t>виготовлення</w:t>
            </w:r>
            <w:proofErr w:type="spellEnd"/>
            <w:r w:rsidRPr="00C431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3146">
              <w:rPr>
                <w:rFonts w:ascii="Times New Roman" w:hAnsi="Times New Roman"/>
                <w:sz w:val="20"/>
                <w:szCs w:val="20"/>
              </w:rPr>
              <w:t>інформаційних</w:t>
            </w:r>
            <w:proofErr w:type="spellEnd"/>
            <w:r w:rsidRPr="00C431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3146">
              <w:rPr>
                <w:rFonts w:ascii="Times New Roman" w:hAnsi="Times New Roman"/>
                <w:sz w:val="20"/>
                <w:szCs w:val="20"/>
              </w:rPr>
              <w:t>ліфлетів</w:t>
            </w:r>
            <w:proofErr w:type="spellEnd"/>
            <w:r w:rsidRPr="00C431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43146">
              <w:rPr>
                <w:rFonts w:ascii="Times New Roman" w:hAnsi="Times New Roman"/>
                <w:sz w:val="20"/>
                <w:szCs w:val="20"/>
              </w:rPr>
              <w:t>буклетів</w:t>
            </w:r>
            <w:proofErr w:type="spellEnd"/>
            <w:r w:rsidRPr="00C431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43146">
              <w:rPr>
                <w:rFonts w:ascii="Times New Roman" w:hAnsi="Times New Roman"/>
                <w:sz w:val="20"/>
                <w:szCs w:val="20"/>
              </w:rPr>
              <w:t>методичних</w:t>
            </w:r>
            <w:proofErr w:type="spellEnd"/>
            <w:r w:rsidRPr="00C431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3146">
              <w:rPr>
                <w:rFonts w:ascii="Times New Roman" w:hAnsi="Times New Roman"/>
                <w:sz w:val="20"/>
                <w:szCs w:val="20"/>
              </w:rPr>
              <w:t>рекомендацій</w:t>
            </w:r>
            <w:proofErr w:type="spellEnd"/>
            <w:r w:rsidRPr="00C431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43146">
              <w:rPr>
                <w:rFonts w:ascii="Times New Roman" w:hAnsi="Times New Roman"/>
                <w:sz w:val="20"/>
                <w:szCs w:val="20"/>
              </w:rPr>
              <w:t>пам’яток</w:t>
            </w:r>
            <w:proofErr w:type="spellEnd"/>
            <w:r w:rsidRPr="00C43146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нагальних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правових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3146">
              <w:rPr>
                <w:rFonts w:ascii="Times New Roman" w:hAnsi="Times New Roman"/>
                <w:sz w:val="20"/>
                <w:szCs w:val="20"/>
              </w:rPr>
              <w:t>попереднім</w:t>
            </w:r>
            <w:proofErr w:type="spellEnd"/>
            <w:r w:rsidRPr="00C431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3146">
              <w:rPr>
                <w:rFonts w:ascii="Times New Roman" w:hAnsi="Times New Roman"/>
                <w:sz w:val="20"/>
                <w:szCs w:val="20"/>
              </w:rPr>
              <w:t>визначенням</w:t>
            </w:r>
            <w:proofErr w:type="spellEnd"/>
            <w:r w:rsidRPr="00C431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3146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 w:rsidRPr="00C43146">
              <w:rPr>
                <w:rFonts w:ascii="Times New Roman" w:hAnsi="Times New Roman"/>
                <w:sz w:val="20"/>
                <w:szCs w:val="20"/>
              </w:rPr>
              <w:t>іально</w:t>
            </w:r>
            <w:proofErr w:type="spellEnd"/>
            <w:r w:rsidRPr="00C431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3146">
              <w:rPr>
                <w:rFonts w:ascii="Times New Roman" w:hAnsi="Times New Roman"/>
                <w:sz w:val="20"/>
                <w:szCs w:val="20"/>
              </w:rPr>
              <w:t>значимих</w:t>
            </w:r>
            <w:proofErr w:type="spellEnd"/>
            <w:r w:rsidRPr="00C431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3146">
              <w:rPr>
                <w:rFonts w:ascii="Times New Roman" w:hAnsi="Times New Roman"/>
                <w:sz w:val="20"/>
                <w:szCs w:val="20"/>
              </w:rPr>
              <w:t>блоків</w:t>
            </w:r>
            <w:proofErr w:type="spellEnd"/>
            <w:r w:rsidRPr="00C431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43146">
              <w:rPr>
                <w:rFonts w:ascii="Times New Roman" w:hAnsi="Times New Roman"/>
                <w:sz w:val="20"/>
                <w:szCs w:val="20"/>
              </w:rPr>
              <w:t>спрямованих</w:t>
            </w:r>
            <w:proofErr w:type="spellEnd"/>
            <w:r w:rsidRPr="00C43146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C43146">
              <w:rPr>
                <w:rFonts w:ascii="Times New Roman" w:hAnsi="Times New Roman"/>
                <w:sz w:val="20"/>
                <w:szCs w:val="20"/>
              </w:rPr>
              <w:t>захист</w:t>
            </w:r>
            <w:proofErr w:type="spellEnd"/>
            <w:r w:rsidRPr="00C43146">
              <w:rPr>
                <w:rFonts w:ascii="Times New Roman" w:hAnsi="Times New Roman"/>
                <w:sz w:val="20"/>
                <w:szCs w:val="20"/>
              </w:rPr>
              <w:t xml:space="preserve"> прав </w:t>
            </w:r>
            <w:proofErr w:type="spellStart"/>
            <w:r w:rsidRPr="00C4314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</w:p>
          <w:p w:rsidR="00851E25" w:rsidRDefault="00851E25" w:rsidP="00B2023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51E25" w:rsidRPr="00851E25" w:rsidRDefault="00851E25" w:rsidP="00B2023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6D13FE" w:rsidRPr="00B20238" w:rsidRDefault="006D13FE" w:rsidP="009C4924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Південно-Східне міжрегіональне у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правління Міністерства юстиції               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(м. Дніпро)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(за з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годою),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управління взаємодії з правоохоронними органами та оборонної роботи облдержадміністрації, </w:t>
            </w:r>
            <w:r w:rsidR="009C49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оординаційна рада молодих юристів при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Південно-Східному міжрегіональному управлінні Міністерства юстиції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              </w:t>
            </w:r>
            <w:r w:rsidRPr="00C4314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(м. Дніпро)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431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згодою), Регіональний центр з надання безоплатної вторинної правової допомоги у Дніпропетровській області (за згодою)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D13FE" w:rsidRDefault="006D13FE" w:rsidP="00850A53">
            <w:pPr>
              <w:jc w:val="center"/>
            </w:pPr>
            <w:r w:rsidRPr="00ED4F64">
              <w:rPr>
                <w:rFonts w:ascii="Times New Roman" w:hAnsi="Times New Roman"/>
                <w:sz w:val="20"/>
                <w:szCs w:val="20"/>
                <w:lang w:val="uk-UA"/>
              </w:rPr>
              <w:t>2018 – 2019 роки</w:t>
            </w: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850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C43146">
        <w:tc>
          <w:tcPr>
            <w:tcW w:w="1560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B20238">
        <w:tc>
          <w:tcPr>
            <w:tcW w:w="8789" w:type="dxa"/>
            <w:gridSpan w:val="4"/>
            <w:vMerge w:val="restart"/>
            <w:shd w:val="clear" w:color="auto" w:fill="auto"/>
          </w:tcPr>
          <w:p w:rsidR="006D13FE" w:rsidRPr="00C43146" w:rsidRDefault="006D13FE" w:rsidP="009C492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                                                                                                                                  </w:t>
            </w:r>
            <w:r w:rsidR="009C49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</w:t>
            </w: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сього за Програмою</w:t>
            </w: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850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750,0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B20238">
        <w:tc>
          <w:tcPr>
            <w:tcW w:w="8789" w:type="dxa"/>
            <w:gridSpan w:val="4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B20238">
        <w:tc>
          <w:tcPr>
            <w:tcW w:w="8789" w:type="dxa"/>
            <w:gridSpan w:val="4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750,0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B20238">
        <w:tc>
          <w:tcPr>
            <w:tcW w:w="8789" w:type="dxa"/>
            <w:gridSpan w:val="4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  <w:tr w:rsidR="006D13FE" w:rsidRPr="00C43146" w:rsidTr="00B20238">
        <w:tc>
          <w:tcPr>
            <w:tcW w:w="8789" w:type="dxa"/>
            <w:gridSpan w:val="4"/>
            <w:vMerge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D13FE" w:rsidRPr="00C43146" w:rsidRDefault="006D13FE" w:rsidP="00C431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31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50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61" w:type="dxa"/>
            <w:shd w:val="clear" w:color="auto" w:fill="auto"/>
          </w:tcPr>
          <w:p w:rsidR="006D13FE" w:rsidRPr="00AB2012" w:rsidRDefault="006D13FE" w:rsidP="009C4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1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</w:tr>
    </w:tbl>
    <w:p w:rsidR="00C43146" w:rsidRDefault="00C43146" w:rsidP="00047ED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941AF" w:rsidRDefault="003941AF" w:rsidP="00047ED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941AF" w:rsidRDefault="003941AF" w:rsidP="00047ED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941AF" w:rsidRDefault="003941AF" w:rsidP="00047ED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941AF" w:rsidRDefault="003941AF" w:rsidP="00047ED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941AF" w:rsidRDefault="003941AF" w:rsidP="00047ED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941AF" w:rsidRDefault="003941AF" w:rsidP="00047ED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941AF" w:rsidRDefault="003941AF" w:rsidP="00047ED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941AF" w:rsidRDefault="003941AF" w:rsidP="00047ED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43146" w:rsidRPr="003941AF" w:rsidRDefault="003941AF" w:rsidP="003941AF">
      <w:pPr>
        <w:rPr>
          <w:rFonts w:ascii="Times New Roman" w:hAnsi="Times New Roman"/>
          <w:b/>
          <w:lang w:val="uk-UA"/>
        </w:rPr>
      </w:pPr>
      <w:r w:rsidRPr="003941AF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2. Оцінка ефективності виконання Програми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519"/>
        <w:gridCol w:w="2551"/>
        <w:gridCol w:w="1134"/>
        <w:gridCol w:w="1560"/>
        <w:gridCol w:w="1275"/>
        <w:gridCol w:w="2127"/>
      </w:tblGrid>
      <w:tr w:rsidR="00A34945" w:rsidRPr="00A34945" w:rsidTr="006034E9">
        <w:trPr>
          <w:tblHeader/>
        </w:trPr>
        <w:tc>
          <w:tcPr>
            <w:tcW w:w="2002" w:type="dxa"/>
            <w:vMerge w:val="restart"/>
            <w:shd w:val="clear" w:color="auto" w:fill="auto"/>
            <w:vAlign w:val="center"/>
          </w:tcPr>
          <w:p w:rsidR="00A34945" w:rsidRPr="00A34945" w:rsidRDefault="00A34945" w:rsidP="009C492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4945">
              <w:rPr>
                <w:rFonts w:ascii="Times New Roman" w:hAnsi="Times New Roman"/>
                <w:b/>
                <w:lang w:val="uk-UA"/>
              </w:rPr>
              <w:t>Завдання Програми</w:t>
            </w:r>
          </w:p>
          <w:p w:rsidR="00A34945" w:rsidRPr="00A34945" w:rsidRDefault="00A34945" w:rsidP="009C492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19" w:type="dxa"/>
            <w:vMerge w:val="restart"/>
            <w:shd w:val="clear" w:color="auto" w:fill="auto"/>
            <w:vAlign w:val="center"/>
          </w:tcPr>
          <w:p w:rsidR="00A34945" w:rsidRPr="00A34945" w:rsidRDefault="00A34945" w:rsidP="009C492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4945">
              <w:rPr>
                <w:rFonts w:ascii="Times New Roman" w:hAnsi="Times New Roman"/>
                <w:b/>
                <w:lang w:val="uk-UA"/>
              </w:rPr>
              <w:t>Заходи Програми</w:t>
            </w:r>
          </w:p>
          <w:p w:rsidR="00A34945" w:rsidRPr="00A34945" w:rsidRDefault="00A34945" w:rsidP="009C492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A34945" w:rsidRPr="00A34945" w:rsidRDefault="009C4924" w:rsidP="009C492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Кількісні показники виконання П</w:t>
            </w:r>
            <w:r w:rsidR="00A34945" w:rsidRPr="00A34945">
              <w:rPr>
                <w:rFonts w:ascii="Times New Roman" w:hAnsi="Times New Roman"/>
                <w:b/>
                <w:lang w:val="uk-UA"/>
              </w:rPr>
              <w:t>рограми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A34945" w:rsidRPr="00A34945" w:rsidRDefault="00A34945" w:rsidP="009C492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4945">
              <w:rPr>
                <w:rFonts w:ascii="Times New Roman" w:hAnsi="Times New Roman"/>
                <w:b/>
                <w:lang w:val="uk-UA"/>
              </w:rPr>
              <w:t>Якісні показники виконання Програми</w:t>
            </w:r>
          </w:p>
        </w:tc>
      </w:tr>
      <w:tr w:rsidR="00A34945" w:rsidRPr="00A34945" w:rsidTr="006034E9">
        <w:trPr>
          <w:tblHeader/>
        </w:trPr>
        <w:tc>
          <w:tcPr>
            <w:tcW w:w="2002" w:type="dxa"/>
            <w:vMerge/>
            <w:shd w:val="clear" w:color="auto" w:fill="auto"/>
            <w:vAlign w:val="center"/>
          </w:tcPr>
          <w:p w:rsidR="00A34945" w:rsidRPr="00A34945" w:rsidRDefault="00A34945" w:rsidP="009C492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519" w:type="dxa"/>
            <w:vMerge/>
            <w:shd w:val="clear" w:color="auto" w:fill="auto"/>
            <w:vAlign w:val="center"/>
          </w:tcPr>
          <w:p w:rsidR="00A34945" w:rsidRPr="00A34945" w:rsidRDefault="00A34945" w:rsidP="009C492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34945" w:rsidRPr="00A34945" w:rsidRDefault="00A34945" w:rsidP="009C492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4945">
              <w:rPr>
                <w:rFonts w:ascii="Times New Roman" w:hAnsi="Times New Roman"/>
                <w:b/>
                <w:lang w:val="uk-UA"/>
              </w:rPr>
              <w:t>Найменування показника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4945" w:rsidRPr="00A34945" w:rsidRDefault="00A34945" w:rsidP="009C492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4945">
              <w:rPr>
                <w:rFonts w:ascii="Times New Roman" w:hAnsi="Times New Roman"/>
                <w:b/>
                <w:lang w:val="uk-UA"/>
              </w:rPr>
              <w:t>Одиниця виміру</w:t>
            </w:r>
          </w:p>
          <w:p w:rsidR="00A34945" w:rsidRPr="00A34945" w:rsidRDefault="00A34945" w:rsidP="009C492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34945" w:rsidRPr="00A34945" w:rsidRDefault="00A34945" w:rsidP="009C492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4945">
              <w:rPr>
                <w:rFonts w:ascii="Times New Roman" w:hAnsi="Times New Roman"/>
                <w:b/>
                <w:lang w:val="uk-UA"/>
              </w:rPr>
              <w:t>Значення показника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34945" w:rsidRPr="00A34945" w:rsidRDefault="00A34945" w:rsidP="009C492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34945" w:rsidRPr="00A34945" w:rsidTr="006034E9">
        <w:trPr>
          <w:tblHeader/>
        </w:trPr>
        <w:tc>
          <w:tcPr>
            <w:tcW w:w="2002" w:type="dxa"/>
            <w:vMerge/>
            <w:shd w:val="clear" w:color="auto" w:fill="auto"/>
            <w:vAlign w:val="center"/>
          </w:tcPr>
          <w:p w:rsidR="00A34945" w:rsidRPr="00A34945" w:rsidRDefault="00A34945" w:rsidP="009C492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519" w:type="dxa"/>
            <w:vMerge/>
            <w:shd w:val="clear" w:color="auto" w:fill="auto"/>
            <w:vAlign w:val="center"/>
          </w:tcPr>
          <w:p w:rsidR="00A34945" w:rsidRPr="00A34945" w:rsidRDefault="00A34945" w:rsidP="009C492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34945" w:rsidRPr="00A34945" w:rsidRDefault="00A34945" w:rsidP="009C492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4945" w:rsidRPr="00A34945" w:rsidRDefault="00A34945" w:rsidP="009C492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4945" w:rsidRPr="00A34945" w:rsidRDefault="009C4924" w:rsidP="009C492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Затверджено П</w:t>
            </w:r>
            <w:r w:rsidR="00A34945" w:rsidRPr="00A34945">
              <w:rPr>
                <w:rFonts w:ascii="Times New Roman" w:hAnsi="Times New Roman"/>
                <w:b/>
                <w:lang w:val="uk-UA"/>
              </w:rPr>
              <w:t>рограмою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4945" w:rsidRPr="00A34945" w:rsidRDefault="00A34945" w:rsidP="009C492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4945">
              <w:rPr>
                <w:rFonts w:ascii="Times New Roman" w:hAnsi="Times New Roman"/>
                <w:b/>
                <w:lang w:val="uk-UA"/>
              </w:rPr>
              <w:t>Фактично виконано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34945" w:rsidRPr="00A34945" w:rsidRDefault="00A34945" w:rsidP="009C492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034E9" w:rsidRPr="00A34945" w:rsidTr="006034E9">
        <w:trPr>
          <w:trHeight w:val="20"/>
        </w:trPr>
        <w:tc>
          <w:tcPr>
            <w:tcW w:w="2002" w:type="dxa"/>
            <w:vMerge w:val="restart"/>
            <w:shd w:val="clear" w:color="auto" w:fill="auto"/>
          </w:tcPr>
          <w:p w:rsidR="00A34945" w:rsidRPr="00A34945" w:rsidRDefault="009C4924" w:rsidP="00F37CC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 w:rsidR="00A34945" w:rsidRPr="00A349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="00A34945" w:rsidRPr="00A34945">
              <w:rPr>
                <w:rFonts w:ascii="Times New Roman" w:hAnsi="Times New Roman"/>
                <w:sz w:val="20"/>
                <w:szCs w:val="20"/>
                <w:lang w:val="uk-UA"/>
              </w:rPr>
              <w:t>Підвищення рівня правової підготовки, правової обізнаності та правової свідомості населення регіону</w:t>
            </w:r>
          </w:p>
          <w:p w:rsidR="00A34945" w:rsidRPr="00A34945" w:rsidRDefault="00A34945" w:rsidP="00F37C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19" w:type="dxa"/>
            <w:shd w:val="clear" w:color="auto" w:fill="auto"/>
          </w:tcPr>
          <w:p w:rsidR="00A34945" w:rsidRPr="00A34945" w:rsidRDefault="00A34945" w:rsidP="00F37CC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1.1. Визначення стану </w:t>
            </w:r>
            <w:r w:rsidRPr="00A349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правової освіти </w:t>
            </w:r>
            <w:r w:rsidR="009C49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</w:t>
            </w:r>
            <w:r w:rsidRPr="00A349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навчальних закладах та на підприємствах, в установах, організаціях</w:t>
            </w:r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34945" w:rsidRPr="00A34945" w:rsidRDefault="00A34945" w:rsidP="00F37C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A34945" w:rsidRPr="00A34945" w:rsidRDefault="00A34945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заходів щодо вдосконалення педагогічної діяльності</w:t>
            </w:r>
            <w:r w:rsidR="003941A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викладачів правових дисциплін </w:t>
            </w:r>
          </w:p>
        </w:tc>
        <w:tc>
          <w:tcPr>
            <w:tcW w:w="1134" w:type="dxa"/>
            <w:shd w:val="clear" w:color="auto" w:fill="auto"/>
          </w:tcPr>
          <w:p w:rsidR="00A34945" w:rsidRPr="00A34945" w:rsidRDefault="00A34945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>Од.</w:t>
            </w:r>
          </w:p>
          <w:p w:rsidR="00A34945" w:rsidRPr="00A34945" w:rsidRDefault="00A34945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34945" w:rsidRPr="00A34945" w:rsidRDefault="00A34945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A34945" w:rsidRPr="00A34945" w:rsidRDefault="00A34945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  <w:p w:rsidR="00A34945" w:rsidRPr="00A34945" w:rsidRDefault="00A34945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34945" w:rsidRPr="00A34945" w:rsidRDefault="00A34945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34945" w:rsidRPr="00A34945" w:rsidRDefault="00A34945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34945" w:rsidRPr="00A34945" w:rsidRDefault="00A34945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>Підвищення правової обізнаності населення області, вдосконалення рівня правових знань</w:t>
            </w:r>
          </w:p>
          <w:p w:rsidR="00A34945" w:rsidRPr="00A34945" w:rsidRDefault="00A34945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34E9" w:rsidRPr="00463B54" w:rsidTr="006034E9">
        <w:tc>
          <w:tcPr>
            <w:tcW w:w="2002" w:type="dxa"/>
            <w:vMerge/>
            <w:shd w:val="clear" w:color="auto" w:fill="auto"/>
          </w:tcPr>
          <w:p w:rsidR="00A34945" w:rsidRPr="00A34945" w:rsidRDefault="00A34945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19" w:type="dxa"/>
            <w:shd w:val="clear" w:color="auto" w:fill="auto"/>
          </w:tcPr>
          <w:p w:rsidR="00A34945" w:rsidRPr="00A34945" w:rsidRDefault="00A34945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49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1.2. </w:t>
            </w: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Удосконалення педагогічної діяльності викладачів правових дисциплін (шляхом підвищення кваліфікації, професійної підготовки та впровадження нових форм та методів роботи) </w:t>
            </w:r>
          </w:p>
        </w:tc>
        <w:tc>
          <w:tcPr>
            <w:tcW w:w="2551" w:type="dxa"/>
            <w:shd w:val="clear" w:color="auto" w:fill="auto"/>
          </w:tcPr>
          <w:p w:rsidR="00A34945" w:rsidRPr="00A34945" w:rsidRDefault="00A34945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34945" w:rsidRPr="00A34945" w:rsidRDefault="00A34945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A34945" w:rsidRPr="00A34945" w:rsidRDefault="00A34945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34945" w:rsidRPr="00A34945" w:rsidRDefault="00A34945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4945" w:rsidRPr="00A34945" w:rsidRDefault="00A34945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34E9" w:rsidRPr="00A34945" w:rsidTr="006034E9">
        <w:tc>
          <w:tcPr>
            <w:tcW w:w="2002" w:type="dxa"/>
            <w:vMerge/>
            <w:shd w:val="clear" w:color="auto" w:fill="auto"/>
          </w:tcPr>
          <w:p w:rsidR="00A34945" w:rsidRPr="00A34945" w:rsidRDefault="00A34945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19" w:type="dxa"/>
            <w:shd w:val="clear" w:color="auto" w:fill="auto"/>
          </w:tcPr>
          <w:p w:rsidR="00A34945" w:rsidRPr="00A34945" w:rsidRDefault="00A34945" w:rsidP="009C49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1.3. Упровадження </w:t>
            </w:r>
            <w:proofErr w:type="spellStart"/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>про</w:t>
            </w:r>
            <w:r w:rsidR="009C4924">
              <w:rPr>
                <w:rFonts w:ascii="Times New Roman" w:hAnsi="Times New Roman"/>
                <w:sz w:val="20"/>
                <w:szCs w:val="20"/>
                <w:lang w:val="uk-UA"/>
              </w:rPr>
              <w:t>є</w:t>
            </w: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>ктів</w:t>
            </w:r>
            <w:proofErr w:type="spellEnd"/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>, курсів, тренінгів для населення з правових питань</w:t>
            </w:r>
          </w:p>
        </w:tc>
        <w:tc>
          <w:tcPr>
            <w:tcW w:w="2551" w:type="dxa"/>
            <w:shd w:val="clear" w:color="auto" w:fill="auto"/>
          </w:tcPr>
          <w:p w:rsidR="00A34945" w:rsidRPr="00A34945" w:rsidRDefault="00A34945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>проєктів</w:t>
            </w:r>
            <w:proofErr w:type="spellEnd"/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>, курсів, тренінгів для населення з правових питань</w:t>
            </w:r>
          </w:p>
        </w:tc>
        <w:tc>
          <w:tcPr>
            <w:tcW w:w="1134" w:type="dxa"/>
            <w:shd w:val="clear" w:color="auto" w:fill="auto"/>
          </w:tcPr>
          <w:p w:rsidR="00A34945" w:rsidRPr="00A34945" w:rsidRDefault="00A34945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0" w:type="dxa"/>
            <w:shd w:val="clear" w:color="auto" w:fill="auto"/>
          </w:tcPr>
          <w:p w:rsidR="00A34945" w:rsidRPr="00A34945" w:rsidRDefault="00A34945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34945" w:rsidRPr="00A34945" w:rsidRDefault="00A34945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27" w:type="dxa"/>
            <w:vMerge/>
            <w:shd w:val="clear" w:color="auto" w:fill="auto"/>
          </w:tcPr>
          <w:p w:rsidR="00A34945" w:rsidRPr="00A34945" w:rsidRDefault="00A34945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34E9" w:rsidRPr="00A34945" w:rsidTr="006034E9">
        <w:tc>
          <w:tcPr>
            <w:tcW w:w="2002" w:type="dxa"/>
            <w:vMerge/>
            <w:shd w:val="clear" w:color="auto" w:fill="auto"/>
          </w:tcPr>
          <w:p w:rsidR="00A34945" w:rsidRPr="00A34945" w:rsidRDefault="00A34945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19" w:type="dxa"/>
            <w:shd w:val="clear" w:color="auto" w:fill="auto"/>
          </w:tcPr>
          <w:p w:rsidR="003941AF" w:rsidRPr="00A34945" w:rsidRDefault="00A34945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>1.4. Проведення розширених та виїзних засідань обласної міжвідомчої координаційно-методичної ради з правової освіти населення за участю голів районних, міських міжвідомчих координаційно-методичних рад з правової освіти населення та нача</w:t>
            </w:r>
            <w:r w:rsidR="003941AF">
              <w:rPr>
                <w:rFonts w:ascii="Times New Roman" w:hAnsi="Times New Roman"/>
                <w:sz w:val="20"/>
                <w:szCs w:val="20"/>
                <w:lang w:val="uk-UA"/>
              </w:rPr>
              <w:t>ль</w:t>
            </w:r>
            <w:r w:rsidR="009C49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ників міських, </w:t>
            </w:r>
            <w:proofErr w:type="spellStart"/>
            <w:r w:rsidR="009C4924">
              <w:rPr>
                <w:rFonts w:ascii="Times New Roman" w:hAnsi="Times New Roman"/>
                <w:sz w:val="20"/>
                <w:szCs w:val="20"/>
                <w:lang w:val="uk-UA"/>
              </w:rPr>
              <w:t>міськ</w:t>
            </w: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>районних</w:t>
            </w:r>
            <w:proofErr w:type="spellEnd"/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районних управлінь юстиції</w:t>
            </w:r>
          </w:p>
        </w:tc>
        <w:tc>
          <w:tcPr>
            <w:tcW w:w="2551" w:type="dxa"/>
            <w:shd w:val="clear" w:color="auto" w:fill="auto"/>
          </w:tcPr>
          <w:p w:rsidR="00A34945" w:rsidRPr="00A34945" w:rsidRDefault="00A34945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34945" w:rsidRPr="00A34945" w:rsidRDefault="00A34945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0" w:type="dxa"/>
            <w:shd w:val="clear" w:color="auto" w:fill="auto"/>
          </w:tcPr>
          <w:p w:rsidR="00A34945" w:rsidRPr="00A34945" w:rsidRDefault="00A34945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A34945" w:rsidRPr="00A34945" w:rsidRDefault="00A34945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2127" w:type="dxa"/>
            <w:vMerge/>
            <w:shd w:val="clear" w:color="auto" w:fill="auto"/>
          </w:tcPr>
          <w:p w:rsidR="00A34945" w:rsidRPr="00A34945" w:rsidRDefault="00A34945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34E9" w:rsidRPr="00A34945" w:rsidTr="006034E9">
        <w:tc>
          <w:tcPr>
            <w:tcW w:w="2002" w:type="dxa"/>
            <w:vMerge w:val="restart"/>
            <w:shd w:val="clear" w:color="auto" w:fill="auto"/>
          </w:tcPr>
          <w:p w:rsidR="00A34945" w:rsidRPr="00A34945" w:rsidRDefault="003941AF" w:rsidP="00F37C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 w:rsidR="00A34945" w:rsidRPr="00A34945">
              <w:rPr>
                <w:rFonts w:ascii="Times New Roman" w:hAnsi="Times New Roman"/>
                <w:sz w:val="20"/>
                <w:szCs w:val="20"/>
                <w:lang w:val="uk-UA"/>
              </w:rPr>
              <w:t>Широко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A34945" w:rsidRPr="00A34945">
              <w:rPr>
                <w:rFonts w:ascii="Times New Roman" w:hAnsi="Times New Roman"/>
                <w:sz w:val="20"/>
                <w:szCs w:val="20"/>
                <w:lang w:val="uk-UA"/>
              </w:rPr>
              <w:t>масштабна</w:t>
            </w:r>
            <w:proofErr w:type="spellEnd"/>
            <w:r w:rsidR="00A34945" w:rsidRPr="00A349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34945" w:rsidRPr="00A34945">
              <w:rPr>
                <w:rFonts w:ascii="Times New Roman" w:hAnsi="Times New Roman"/>
                <w:sz w:val="20"/>
                <w:szCs w:val="20"/>
                <w:lang w:val="uk-UA"/>
              </w:rPr>
              <w:t>правоінформаційна</w:t>
            </w:r>
            <w:proofErr w:type="spellEnd"/>
            <w:r w:rsidR="00A34945" w:rsidRPr="00A349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робота щодо інформування </w:t>
            </w:r>
            <w:r w:rsidR="00A34945" w:rsidRPr="00A3494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населення про правову політику держави та </w:t>
            </w:r>
            <w:proofErr w:type="spellStart"/>
            <w:r w:rsidR="00A34945" w:rsidRPr="00A34945">
              <w:rPr>
                <w:rFonts w:ascii="Times New Roman" w:hAnsi="Times New Roman"/>
                <w:sz w:val="20"/>
                <w:szCs w:val="20"/>
                <w:lang w:val="uk-UA"/>
              </w:rPr>
              <w:t>законо-давство</w:t>
            </w:r>
            <w:proofErr w:type="spellEnd"/>
            <w:r w:rsidR="00A34945" w:rsidRPr="00A34945">
              <w:rPr>
                <w:rFonts w:ascii="Times New Roman" w:hAnsi="Times New Roman"/>
                <w:sz w:val="20"/>
                <w:szCs w:val="20"/>
                <w:lang w:val="uk-UA"/>
              </w:rPr>
              <w:t>, створення атмосфери поваги до законів</w:t>
            </w:r>
          </w:p>
        </w:tc>
        <w:tc>
          <w:tcPr>
            <w:tcW w:w="4519" w:type="dxa"/>
            <w:shd w:val="clear" w:color="auto" w:fill="auto"/>
          </w:tcPr>
          <w:p w:rsidR="00A34945" w:rsidRPr="00A34945" w:rsidRDefault="00A34945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2.1. Забезпечення систематичного інформування населення в засобах масової інформації </w:t>
            </w:r>
            <w:r w:rsidR="003941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про правову полі</w:t>
            </w:r>
            <w:r w:rsidRPr="00A34945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тику держави, стан законності та правопорядку, забезпечення прав і свобод людини, зміни в</w:t>
            </w: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законодавстві, діяльність органів </w:t>
            </w: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законодавчої, виконавчої, судової влади, а також п</w:t>
            </w:r>
            <w:r w:rsidR="009C49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 стан правопорядку, боротьби </w:t>
            </w: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>з правопорушеннями, особливо серед неповнолітніх, та проведення профілактики правопорушень</w:t>
            </w:r>
          </w:p>
        </w:tc>
        <w:tc>
          <w:tcPr>
            <w:tcW w:w="2551" w:type="dxa"/>
            <w:shd w:val="clear" w:color="auto" w:fill="auto"/>
          </w:tcPr>
          <w:p w:rsidR="00A34945" w:rsidRPr="00A34945" w:rsidRDefault="00A34945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Кількість виступів у  ЗМІ, </w:t>
            </w:r>
            <w:proofErr w:type="spellStart"/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>теле-</w:t>
            </w:r>
            <w:proofErr w:type="spellEnd"/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радіопередач</w:t>
            </w:r>
          </w:p>
          <w:p w:rsidR="00A34945" w:rsidRPr="00A34945" w:rsidRDefault="00A34945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34945" w:rsidRPr="00A34945" w:rsidRDefault="00A34945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34945" w:rsidRPr="00A34945" w:rsidRDefault="00A34945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34945" w:rsidRPr="00A34945" w:rsidRDefault="00A34945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34945" w:rsidRPr="00A34945" w:rsidRDefault="00A34945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Од.</w:t>
            </w:r>
          </w:p>
          <w:p w:rsidR="00A34945" w:rsidRPr="00A34945" w:rsidRDefault="00A34945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34945" w:rsidRPr="00A34945" w:rsidRDefault="00A34945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A34945" w:rsidRPr="00A34945" w:rsidRDefault="00A34945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>5000</w:t>
            </w:r>
          </w:p>
          <w:p w:rsidR="00A34945" w:rsidRPr="00A34945" w:rsidRDefault="00A34945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34945" w:rsidRPr="00A34945" w:rsidRDefault="00A34945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34945" w:rsidRPr="00A34945" w:rsidRDefault="00A34945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>5000</w:t>
            </w:r>
          </w:p>
        </w:tc>
        <w:tc>
          <w:tcPr>
            <w:tcW w:w="2127" w:type="dxa"/>
            <w:shd w:val="clear" w:color="auto" w:fill="auto"/>
          </w:tcPr>
          <w:p w:rsidR="00A34945" w:rsidRPr="00A34945" w:rsidRDefault="009C4924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="00A34945" w:rsidRPr="00A349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провадження новітніх методів </w:t>
            </w:r>
            <w:proofErr w:type="spellStart"/>
            <w:r w:rsidR="00A34945" w:rsidRPr="00A34945">
              <w:rPr>
                <w:rFonts w:ascii="Times New Roman" w:hAnsi="Times New Roman"/>
                <w:sz w:val="20"/>
                <w:szCs w:val="20"/>
                <w:lang w:val="uk-UA"/>
              </w:rPr>
              <w:t>правоосвітньої</w:t>
            </w:r>
            <w:proofErr w:type="spellEnd"/>
            <w:r w:rsidR="00A34945" w:rsidRPr="00A349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діяльності</w:t>
            </w:r>
          </w:p>
        </w:tc>
      </w:tr>
      <w:tr w:rsidR="006034E9" w:rsidRPr="00A34945" w:rsidTr="006034E9">
        <w:trPr>
          <w:trHeight w:val="1188"/>
        </w:trPr>
        <w:tc>
          <w:tcPr>
            <w:tcW w:w="2002" w:type="dxa"/>
            <w:vMerge/>
            <w:shd w:val="clear" w:color="auto" w:fill="auto"/>
          </w:tcPr>
          <w:p w:rsidR="00A34945" w:rsidRPr="00A34945" w:rsidRDefault="00A34945" w:rsidP="00F37CC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19" w:type="dxa"/>
            <w:shd w:val="clear" w:color="auto" w:fill="auto"/>
          </w:tcPr>
          <w:p w:rsidR="00A34945" w:rsidRPr="00A34945" w:rsidRDefault="00A34945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2.2. Надання методичної допомоги населенню шляхом розроблення методичних рекомендацій з актуальних правових питань </w:t>
            </w:r>
          </w:p>
        </w:tc>
        <w:tc>
          <w:tcPr>
            <w:tcW w:w="2551" w:type="dxa"/>
            <w:shd w:val="clear" w:color="auto" w:fill="auto"/>
          </w:tcPr>
          <w:p w:rsidR="00A34945" w:rsidRPr="00A34945" w:rsidRDefault="00A34945" w:rsidP="00F37CC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>Кількість виданих методичних посібників з актуальних правових питань</w:t>
            </w:r>
          </w:p>
        </w:tc>
        <w:tc>
          <w:tcPr>
            <w:tcW w:w="1134" w:type="dxa"/>
            <w:shd w:val="clear" w:color="auto" w:fill="auto"/>
          </w:tcPr>
          <w:p w:rsidR="00A34945" w:rsidRPr="00A34945" w:rsidRDefault="00A34945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0" w:type="dxa"/>
            <w:shd w:val="clear" w:color="auto" w:fill="auto"/>
          </w:tcPr>
          <w:p w:rsidR="00A34945" w:rsidRPr="00A34945" w:rsidRDefault="00A34945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>630</w:t>
            </w:r>
          </w:p>
        </w:tc>
        <w:tc>
          <w:tcPr>
            <w:tcW w:w="1275" w:type="dxa"/>
            <w:shd w:val="clear" w:color="auto" w:fill="auto"/>
          </w:tcPr>
          <w:p w:rsidR="00A34945" w:rsidRPr="00A34945" w:rsidRDefault="00A34945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2127" w:type="dxa"/>
            <w:shd w:val="clear" w:color="auto" w:fill="auto"/>
          </w:tcPr>
          <w:p w:rsidR="00A34945" w:rsidRPr="00A34945" w:rsidRDefault="00A34945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34E9" w:rsidRPr="00592D7B" w:rsidTr="006034E9">
        <w:tc>
          <w:tcPr>
            <w:tcW w:w="2002" w:type="dxa"/>
            <w:vMerge w:val="restart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92D7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3. Формування в населенн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я регіону схильності до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право-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592D7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свідомого життя, насамперед у студентської, учнівської молоді</w:t>
            </w:r>
          </w:p>
          <w:p w:rsidR="00592D7B" w:rsidRDefault="00592D7B" w:rsidP="00F37CC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92D7B" w:rsidRPr="00592D7B" w:rsidRDefault="00592D7B" w:rsidP="00F37CC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19" w:type="dxa"/>
            <w:shd w:val="clear" w:color="auto" w:fill="auto"/>
          </w:tcPr>
          <w:p w:rsidR="00592D7B" w:rsidRPr="00592D7B" w:rsidRDefault="009C4924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3.1. Проведення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право</w:t>
            </w:r>
            <w:r w:rsidR="00592D7B" w:rsidRPr="00592D7B">
              <w:rPr>
                <w:rFonts w:ascii="Times New Roman" w:hAnsi="Times New Roman"/>
                <w:sz w:val="20"/>
                <w:szCs w:val="20"/>
                <w:lang w:val="uk-UA"/>
              </w:rPr>
              <w:t>просвітницьких</w:t>
            </w:r>
            <w:proofErr w:type="spellEnd"/>
            <w:r w:rsidR="00592D7B" w:rsidRPr="00592D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="00592D7B" w:rsidRPr="00592D7B">
              <w:rPr>
                <w:rFonts w:ascii="Times New Roman" w:hAnsi="Times New Roman"/>
                <w:sz w:val="20"/>
                <w:szCs w:val="20"/>
                <w:lang w:val="uk-UA"/>
              </w:rPr>
              <w:t>право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proofErr w:type="spellEnd"/>
            <w:r w:rsidR="00592D7B" w:rsidRPr="00592D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виховних заходів, у тому числі стосовно поширення серед населення знань про державні свята, державу і право</w:t>
            </w:r>
          </w:p>
          <w:p w:rsidR="00592D7B" w:rsidRPr="00592D7B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92D7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Кількість проведен</w:t>
            </w:r>
            <w:r w:rsidR="009C49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их </w:t>
            </w:r>
            <w:proofErr w:type="spellStart"/>
            <w:r w:rsidR="009C49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правопросвітницьких</w:t>
            </w:r>
            <w:proofErr w:type="spellEnd"/>
            <w:r w:rsidR="009C49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="009C49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право</w:t>
            </w:r>
            <w:r w:rsidRPr="00592D7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виховних</w:t>
            </w:r>
            <w:proofErr w:type="spellEnd"/>
            <w:r w:rsidRPr="00592D7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заходів</w:t>
            </w:r>
          </w:p>
          <w:p w:rsidR="00592D7B" w:rsidRPr="00592D7B" w:rsidRDefault="00592D7B" w:rsidP="00F37CC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92D7B" w:rsidRPr="00592D7B" w:rsidRDefault="00592D7B" w:rsidP="00F37C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2D7B">
              <w:rPr>
                <w:rFonts w:ascii="Times New Roman" w:hAnsi="Times New Roman"/>
                <w:sz w:val="20"/>
                <w:szCs w:val="20"/>
                <w:lang w:val="uk-UA"/>
              </w:rPr>
              <w:t>Од.</w:t>
            </w:r>
          </w:p>
          <w:p w:rsidR="00592D7B" w:rsidRPr="00592D7B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2D7B">
              <w:rPr>
                <w:rFonts w:ascii="Times New Roman" w:hAnsi="Times New Roman"/>
                <w:sz w:val="20"/>
                <w:szCs w:val="20"/>
                <w:lang w:val="uk-UA"/>
              </w:rPr>
              <w:t>750</w:t>
            </w:r>
          </w:p>
          <w:p w:rsidR="00592D7B" w:rsidRPr="00592D7B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2D7B">
              <w:rPr>
                <w:rFonts w:ascii="Times New Roman" w:hAnsi="Times New Roman"/>
                <w:sz w:val="20"/>
                <w:szCs w:val="20"/>
                <w:lang w:val="uk-UA"/>
              </w:rPr>
              <w:t>750</w:t>
            </w:r>
          </w:p>
          <w:p w:rsidR="00592D7B" w:rsidRPr="00592D7B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2D7B" w:rsidRPr="00592D7B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2D7B">
              <w:rPr>
                <w:rFonts w:ascii="Times New Roman" w:hAnsi="Times New Roman"/>
                <w:sz w:val="20"/>
                <w:szCs w:val="20"/>
                <w:lang w:val="uk-UA"/>
              </w:rPr>
              <w:t>Підвищення рівня правової культури населення області, набуття громадянами необхідного рівня правових знань</w:t>
            </w:r>
          </w:p>
        </w:tc>
      </w:tr>
      <w:tr w:rsidR="006034E9" w:rsidRPr="00592D7B" w:rsidTr="006034E9">
        <w:tc>
          <w:tcPr>
            <w:tcW w:w="2002" w:type="dxa"/>
            <w:vMerge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19" w:type="dxa"/>
            <w:shd w:val="clear" w:color="auto" w:fill="auto"/>
          </w:tcPr>
          <w:p w:rsidR="00327D9F" w:rsidRPr="00592D7B" w:rsidRDefault="00592D7B" w:rsidP="00F37CC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92D7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3.2. Забезпечення надання державним службовцям під час їх підготовки, перепідготовки та підвищення кваліфікації комплексу знань з </w:t>
            </w:r>
            <w:r w:rsidR="00EA0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пи</w:t>
            </w:r>
            <w:r w:rsidRPr="00592D7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тань правовог</w:t>
            </w:r>
            <w:r w:rsidR="00EA0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 забезпечення державного управ</w:t>
            </w:r>
            <w:r w:rsidRPr="00592D7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ління та державної служби, що включатиме вивчення основ правознавства, в</w:t>
            </w:r>
            <w:r w:rsidR="00327D9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ідповідних актів законодавства </w:t>
            </w:r>
          </w:p>
        </w:tc>
        <w:tc>
          <w:tcPr>
            <w:tcW w:w="2551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2D7B">
              <w:rPr>
                <w:rFonts w:ascii="Times New Roman" w:hAnsi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0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2D7B">
              <w:rPr>
                <w:rFonts w:ascii="Times New Roman" w:hAnsi="Times New Roman"/>
                <w:sz w:val="20"/>
                <w:szCs w:val="20"/>
                <w:lang w:val="uk-UA"/>
              </w:rPr>
              <w:t>234</w:t>
            </w:r>
          </w:p>
        </w:tc>
        <w:tc>
          <w:tcPr>
            <w:tcW w:w="1275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2D7B">
              <w:rPr>
                <w:rFonts w:ascii="Times New Roman" w:hAnsi="Times New Roman"/>
                <w:sz w:val="20"/>
                <w:szCs w:val="20"/>
                <w:lang w:val="uk-UA"/>
              </w:rPr>
              <w:t>234</w:t>
            </w:r>
          </w:p>
        </w:tc>
        <w:tc>
          <w:tcPr>
            <w:tcW w:w="2127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34E9" w:rsidRPr="00592D7B" w:rsidTr="006034E9">
        <w:tc>
          <w:tcPr>
            <w:tcW w:w="2002" w:type="dxa"/>
            <w:vMerge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19" w:type="dxa"/>
            <w:vMerge w:val="restart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92D7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3.3. Забезпечення роботи лекторіїв з питань поширення моральних і правових знань, профілактики правопорушень серед неповнолітніх у навчальних закладах, дитячих </w:t>
            </w:r>
            <w:r w:rsidRPr="00592D7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будинках, інтернатах та професійно-технічних навчальних закладах, а також створення молодіжних правових клубів </w:t>
            </w:r>
          </w:p>
          <w:p w:rsidR="00592D7B" w:rsidRPr="00592D7B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2D7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Кількість заходів у рамках роботи лекторіїв з питань поширення моральних і правових знань, </w:t>
            </w:r>
            <w:r w:rsidRPr="00592D7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профілактики правопорушень серед неповнолітніх</w:t>
            </w:r>
          </w:p>
        </w:tc>
        <w:tc>
          <w:tcPr>
            <w:tcW w:w="1134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2D7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Од.</w:t>
            </w:r>
          </w:p>
        </w:tc>
        <w:tc>
          <w:tcPr>
            <w:tcW w:w="1560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2D7B">
              <w:rPr>
                <w:rFonts w:ascii="Times New Roman" w:hAnsi="Times New Roman"/>
                <w:sz w:val="20"/>
                <w:szCs w:val="20"/>
                <w:lang w:val="uk-UA"/>
              </w:rPr>
              <w:t>250</w:t>
            </w:r>
          </w:p>
        </w:tc>
        <w:tc>
          <w:tcPr>
            <w:tcW w:w="1275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2D7B">
              <w:rPr>
                <w:rFonts w:ascii="Times New Roman" w:hAnsi="Times New Roman"/>
                <w:sz w:val="20"/>
                <w:szCs w:val="20"/>
                <w:lang w:val="uk-UA"/>
              </w:rPr>
              <w:t>250</w:t>
            </w:r>
          </w:p>
        </w:tc>
        <w:tc>
          <w:tcPr>
            <w:tcW w:w="2127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34E9" w:rsidRPr="00592D7B" w:rsidTr="006034E9">
        <w:tc>
          <w:tcPr>
            <w:tcW w:w="2002" w:type="dxa"/>
            <w:vMerge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19" w:type="dxa"/>
            <w:vMerge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92D7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Кількість молодіжних правових клубів</w:t>
            </w:r>
          </w:p>
        </w:tc>
        <w:tc>
          <w:tcPr>
            <w:tcW w:w="1134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2D7B">
              <w:rPr>
                <w:rFonts w:ascii="Times New Roman" w:hAnsi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0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2D7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2D7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34E9" w:rsidRPr="00592D7B" w:rsidTr="006034E9">
        <w:tc>
          <w:tcPr>
            <w:tcW w:w="2002" w:type="dxa"/>
            <w:vMerge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19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3.4. Проведення </w:t>
            </w:r>
            <w:r w:rsidRPr="00592D7B">
              <w:rPr>
                <w:rFonts w:ascii="Times New Roman" w:hAnsi="Times New Roman"/>
                <w:sz w:val="20"/>
                <w:szCs w:val="20"/>
                <w:lang w:val="uk-UA"/>
              </w:rPr>
              <w:t>міжнародних семінарів, круглих столів,  симпозіумів з питань правової освіти та формування моральності в суспільстві</w:t>
            </w:r>
          </w:p>
        </w:tc>
        <w:tc>
          <w:tcPr>
            <w:tcW w:w="2551" w:type="dxa"/>
            <w:shd w:val="clear" w:color="auto" w:fill="auto"/>
          </w:tcPr>
          <w:p w:rsidR="00592D7B" w:rsidRPr="00327D9F" w:rsidRDefault="00592D7B" w:rsidP="00F37CC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92D7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Кількість міжнародних семінарів, круглих столів,  симпозіумів з питань правової освіти та формування мо</w:t>
            </w:r>
            <w:r w:rsidR="00327D9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ральності в суспільстві</w:t>
            </w:r>
          </w:p>
        </w:tc>
        <w:tc>
          <w:tcPr>
            <w:tcW w:w="1134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2D7B">
              <w:rPr>
                <w:rFonts w:ascii="Times New Roman" w:hAnsi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0" w:type="dxa"/>
            <w:shd w:val="clear" w:color="auto" w:fill="auto"/>
          </w:tcPr>
          <w:p w:rsidR="00592D7B" w:rsidRPr="00592D7B" w:rsidRDefault="00552EF4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</w:t>
            </w:r>
          </w:p>
        </w:tc>
        <w:tc>
          <w:tcPr>
            <w:tcW w:w="1275" w:type="dxa"/>
            <w:shd w:val="clear" w:color="auto" w:fill="auto"/>
          </w:tcPr>
          <w:p w:rsidR="00592D7B" w:rsidRPr="00552EF4" w:rsidRDefault="00552EF4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2E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</w:t>
            </w:r>
          </w:p>
        </w:tc>
        <w:tc>
          <w:tcPr>
            <w:tcW w:w="2127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34E9" w:rsidRPr="00592D7B" w:rsidTr="006034E9">
        <w:tc>
          <w:tcPr>
            <w:tcW w:w="2002" w:type="dxa"/>
            <w:vMerge w:val="restart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2D7B">
              <w:rPr>
                <w:rFonts w:ascii="Times New Roman" w:hAnsi="Times New Roman"/>
                <w:sz w:val="20"/>
                <w:szCs w:val="20"/>
                <w:lang w:val="uk-UA"/>
              </w:rPr>
              <w:t>4. Надання безоплатної правової допомоги населенню регіону</w:t>
            </w:r>
          </w:p>
          <w:p w:rsidR="00592D7B" w:rsidRPr="00592D7B" w:rsidRDefault="00592D7B" w:rsidP="00F37CC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19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2D7B">
              <w:rPr>
                <w:rFonts w:ascii="Times New Roman" w:hAnsi="Times New Roman"/>
                <w:sz w:val="20"/>
                <w:szCs w:val="20"/>
                <w:lang w:val="uk-UA"/>
              </w:rPr>
              <w:t>4.1. Забезпечення надання безоплатної первинної правової допомоги через мережі громадських приймалень та офісів шляхом надання кваліфікованої безоплатної правової допомоги та забезпечення офіційними виданнями</w:t>
            </w:r>
          </w:p>
        </w:tc>
        <w:tc>
          <w:tcPr>
            <w:tcW w:w="2551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2D7B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надання безоплатної первинної правової допомоги через мережі громадських приймалень та офісів</w:t>
            </w:r>
          </w:p>
          <w:p w:rsidR="00592D7B" w:rsidRPr="00592D7B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2D7B">
              <w:rPr>
                <w:rFonts w:ascii="Times New Roman" w:hAnsi="Times New Roman"/>
                <w:sz w:val="20"/>
                <w:szCs w:val="20"/>
                <w:lang w:val="uk-UA"/>
              </w:rPr>
              <w:t>Од.</w:t>
            </w:r>
          </w:p>
          <w:p w:rsidR="00592D7B" w:rsidRPr="00592D7B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2D7B" w:rsidRPr="00592D7B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2D7B">
              <w:rPr>
                <w:rFonts w:ascii="Times New Roman" w:hAnsi="Times New Roman"/>
                <w:sz w:val="20"/>
                <w:szCs w:val="20"/>
                <w:lang w:val="uk-UA"/>
              </w:rPr>
              <w:t>50000</w:t>
            </w:r>
          </w:p>
          <w:p w:rsidR="00592D7B" w:rsidRPr="00592D7B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2D7B">
              <w:rPr>
                <w:rFonts w:ascii="Times New Roman" w:hAnsi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2127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2D7B">
              <w:rPr>
                <w:rFonts w:ascii="Times New Roman" w:hAnsi="Times New Roman"/>
                <w:sz w:val="20"/>
                <w:szCs w:val="20"/>
                <w:lang w:val="uk-UA"/>
              </w:rPr>
              <w:t>Набуття широкими верствами населення навичок у застосуванні правових знань, підвищення правової обізнаності громадян, запо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бігання вчиненню правопорушень </w:t>
            </w:r>
          </w:p>
        </w:tc>
      </w:tr>
      <w:tr w:rsidR="006034E9" w:rsidRPr="00592D7B" w:rsidTr="006034E9">
        <w:tc>
          <w:tcPr>
            <w:tcW w:w="2002" w:type="dxa"/>
            <w:vMerge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4519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2D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4.2. Мобільна правова допомога населенню (вуличне консультування, правова допомога он-лайн тощо) з метою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охоплення всіх верств населення</w:t>
            </w:r>
          </w:p>
        </w:tc>
        <w:tc>
          <w:tcPr>
            <w:tcW w:w="2551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2D7B">
              <w:rPr>
                <w:rFonts w:ascii="Times New Roman" w:hAnsi="Times New Roman"/>
                <w:sz w:val="20"/>
                <w:szCs w:val="20"/>
                <w:lang w:val="uk-UA"/>
              </w:rPr>
              <w:t>Кількість мобільних консультативних пунктів</w:t>
            </w:r>
          </w:p>
          <w:p w:rsidR="00592D7B" w:rsidRPr="00592D7B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2D7B">
              <w:rPr>
                <w:rFonts w:ascii="Times New Roman" w:hAnsi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0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2D7B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2D7B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2127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92D7B" w:rsidRPr="00592D7B" w:rsidTr="006034E9">
        <w:tc>
          <w:tcPr>
            <w:tcW w:w="2002" w:type="dxa"/>
            <w:vMerge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4519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2D7B">
              <w:rPr>
                <w:rFonts w:ascii="Times New Roman" w:hAnsi="Times New Roman"/>
                <w:sz w:val="20"/>
                <w:szCs w:val="20"/>
                <w:lang w:val="uk-UA"/>
              </w:rPr>
              <w:t>4.3. Проведення семінарів, тренінгів, лекцій, круглих столів для осіб, які надають безоплатну правову допомогу, з метою вдосконалення їх професійних навичок</w:t>
            </w:r>
          </w:p>
        </w:tc>
        <w:tc>
          <w:tcPr>
            <w:tcW w:w="2551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2D7B">
              <w:rPr>
                <w:rFonts w:ascii="Times New Roman" w:hAnsi="Times New Roman"/>
                <w:sz w:val="20"/>
                <w:szCs w:val="20"/>
                <w:lang w:val="uk-UA"/>
              </w:rPr>
              <w:t>Кількість семінарів, тренінгів, лекцій, круглих столів для осіб, що нада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ють безоплатну правову допомогу</w:t>
            </w:r>
          </w:p>
        </w:tc>
        <w:tc>
          <w:tcPr>
            <w:tcW w:w="1134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2D7B">
              <w:rPr>
                <w:rFonts w:ascii="Times New Roman" w:hAnsi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0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2D7B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2D7B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92D7B" w:rsidRPr="00A34945" w:rsidTr="006034E9">
        <w:trPr>
          <w:trHeight w:val="468"/>
        </w:trPr>
        <w:tc>
          <w:tcPr>
            <w:tcW w:w="2002" w:type="dxa"/>
            <w:vMerge w:val="restart"/>
            <w:shd w:val="clear" w:color="auto" w:fill="auto"/>
          </w:tcPr>
          <w:p w:rsidR="00592D7B" w:rsidRPr="00592D7B" w:rsidRDefault="00592D7B" w:rsidP="00F37CCD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A3494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5. Організація виконання завдань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щодо реалізації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загальнонаціо-</w:t>
            </w:r>
            <w:r w:rsidRPr="00A3494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нального</w:t>
            </w:r>
            <w:proofErr w:type="spellEnd"/>
            <w:r w:rsidRPr="00A3494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право-</w:t>
            </w:r>
            <w:r w:rsidRPr="00A34945">
              <w:rPr>
                <w:rFonts w:ascii="Times New Roman" w:hAnsi="Times New Roman"/>
                <w:bCs/>
                <w:iCs/>
                <w:spacing w:val="-6"/>
                <w:sz w:val="20"/>
                <w:szCs w:val="20"/>
                <w:lang w:val="uk-UA"/>
              </w:rPr>
              <w:t xml:space="preserve">просвітницького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проє</w:t>
            </w:r>
            <w:r w:rsidRPr="00A3494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кту</w:t>
            </w:r>
            <w:proofErr w:type="spellEnd"/>
            <w:r w:rsidRPr="00A3494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,,</w:t>
            </w:r>
            <w:r w:rsidRPr="00A3494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Я МАЮ ПРАВО!”</w:t>
            </w:r>
          </w:p>
        </w:tc>
        <w:tc>
          <w:tcPr>
            <w:tcW w:w="4519" w:type="dxa"/>
            <w:vMerge w:val="restart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Розміщення зовнішньої реклами у місцях масового </w:t>
            </w:r>
            <w:r w:rsidR="00552EF4">
              <w:rPr>
                <w:rFonts w:ascii="Times New Roman" w:hAnsi="Times New Roman"/>
                <w:sz w:val="20"/>
                <w:szCs w:val="20"/>
                <w:lang w:val="uk-UA"/>
              </w:rPr>
              <w:t>перебування громадян,</w:t>
            </w: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висвітлення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заходів з реалізації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,,</w:t>
            </w: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>Я МАЮ ПРАВО!” у засобах масової інформації, соціаль</w:t>
            </w:r>
            <w:r w:rsidR="00552E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них мережах та на офіційних </w:t>
            </w:r>
            <w:r w:rsidR="00E57F7A">
              <w:rPr>
                <w:rFonts w:ascii="Times New Roman" w:hAnsi="Times New Roman"/>
                <w:sz w:val="20"/>
                <w:szCs w:val="20"/>
                <w:lang w:val="uk-UA"/>
              </w:rPr>
              <w:t>сайтах,</w:t>
            </w: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створення</w:t>
            </w:r>
            <w:r w:rsidR="00552E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трансляція соціальних </w:t>
            </w:r>
            <w:proofErr w:type="spellStart"/>
            <w:r w:rsidR="00552EF4">
              <w:rPr>
                <w:rFonts w:ascii="Times New Roman" w:hAnsi="Times New Roman"/>
                <w:sz w:val="20"/>
                <w:szCs w:val="20"/>
                <w:lang w:val="uk-UA"/>
              </w:rPr>
              <w:t>аудіо-</w:t>
            </w:r>
            <w:proofErr w:type="spellEnd"/>
            <w:r w:rsidR="00E57F7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>та відеороликів у засобах масової інформації, громадському транспорті, громадських місцях тощо</w:t>
            </w:r>
          </w:p>
          <w:p w:rsidR="00592D7B" w:rsidRPr="00A34945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Виготовлення та розміщення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рекламних матеріалів: </w:t>
            </w:r>
          </w:p>
        </w:tc>
        <w:tc>
          <w:tcPr>
            <w:tcW w:w="1134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92D7B" w:rsidRPr="00A34945" w:rsidTr="006034E9">
        <w:trPr>
          <w:trHeight w:val="462"/>
        </w:trPr>
        <w:tc>
          <w:tcPr>
            <w:tcW w:w="2002" w:type="dxa"/>
            <w:vMerge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4519" w:type="dxa"/>
            <w:vMerge/>
            <w:shd w:val="clear" w:color="auto" w:fill="auto"/>
          </w:tcPr>
          <w:p w:rsidR="00592D7B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592D7B" w:rsidRPr="00A34945" w:rsidRDefault="00327D9F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інформаційні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ліфлети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92D7B" w:rsidRPr="00327D9F" w:rsidRDefault="00327D9F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>100000</w:t>
            </w:r>
          </w:p>
        </w:tc>
        <w:tc>
          <w:tcPr>
            <w:tcW w:w="2127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92D7B" w:rsidRPr="00A34945" w:rsidTr="006034E9">
        <w:trPr>
          <w:trHeight w:val="462"/>
        </w:trPr>
        <w:tc>
          <w:tcPr>
            <w:tcW w:w="2002" w:type="dxa"/>
            <w:vMerge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4519" w:type="dxa"/>
            <w:vMerge/>
            <w:shd w:val="clear" w:color="auto" w:fill="auto"/>
          </w:tcPr>
          <w:p w:rsidR="00592D7B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592D7B" w:rsidRPr="00A34945" w:rsidRDefault="00327D9F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буклети</w:t>
            </w:r>
          </w:p>
        </w:tc>
        <w:tc>
          <w:tcPr>
            <w:tcW w:w="1134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92D7B" w:rsidRPr="00A34945" w:rsidRDefault="00327D9F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0000</w:t>
            </w:r>
          </w:p>
        </w:tc>
        <w:tc>
          <w:tcPr>
            <w:tcW w:w="2127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92D7B" w:rsidRPr="00A34945" w:rsidTr="006034E9">
        <w:trPr>
          <w:trHeight w:val="462"/>
        </w:trPr>
        <w:tc>
          <w:tcPr>
            <w:tcW w:w="2002" w:type="dxa"/>
            <w:vMerge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4519" w:type="dxa"/>
            <w:vMerge/>
            <w:shd w:val="clear" w:color="auto" w:fill="auto"/>
          </w:tcPr>
          <w:p w:rsidR="00592D7B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592D7B" w:rsidRPr="00A34945" w:rsidRDefault="00327D9F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пам’ятки з  правових питань</w:t>
            </w:r>
          </w:p>
        </w:tc>
        <w:tc>
          <w:tcPr>
            <w:tcW w:w="1134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92D7B" w:rsidRPr="00A34945" w:rsidRDefault="00327D9F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30000</w:t>
            </w:r>
          </w:p>
        </w:tc>
        <w:tc>
          <w:tcPr>
            <w:tcW w:w="2127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92D7B" w:rsidRPr="00A34945" w:rsidTr="006034E9">
        <w:trPr>
          <w:trHeight w:val="462"/>
        </w:trPr>
        <w:tc>
          <w:tcPr>
            <w:tcW w:w="2002" w:type="dxa"/>
            <w:vMerge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4519" w:type="dxa"/>
            <w:vMerge/>
            <w:shd w:val="clear" w:color="auto" w:fill="auto"/>
          </w:tcPr>
          <w:p w:rsidR="00592D7B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592D7B" w:rsidRPr="00A34945" w:rsidRDefault="00327D9F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інформаційні плакати</w:t>
            </w:r>
          </w:p>
        </w:tc>
        <w:tc>
          <w:tcPr>
            <w:tcW w:w="1134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2127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92D7B" w:rsidRPr="00A34945" w:rsidTr="006034E9">
        <w:trPr>
          <w:trHeight w:val="462"/>
        </w:trPr>
        <w:tc>
          <w:tcPr>
            <w:tcW w:w="2002" w:type="dxa"/>
            <w:vMerge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4519" w:type="dxa"/>
            <w:vMerge/>
            <w:shd w:val="clear" w:color="auto" w:fill="auto"/>
          </w:tcPr>
          <w:p w:rsidR="00592D7B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правові пам’ятки </w:t>
            </w: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>для розміщення у транспорті</w:t>
            </w:r>
          </w:p>
        </w:tc>
        <w:tc>
          <w:tcPr>
            <w:tcW w:w="1134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92D7B" w:rsidRPr="00A34945" w:rsidRDefault="00327D9F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2127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92D7B" w:rsidRPr="00A34945" w:rsidTr="006034E9">
        <w:trPr>
          <w:trHeight w:val="462"/>
        </w:trPr>
        <w:tc>
          <w:tcPr>
            <w:tcW w:w="2002" w:type="dxa"/>
            <w:vMerge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4519" w:type="dxa"/>
            <w:vMerge/>
            <w:shd w:val="clear" w:color="auto" w:fill="auto"/>
          </w:tcPr>
          <w:p w:rsidR="00592D7B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>відеоролики</w:t>
            </w:r>
          </w:p>
        </w:tc>
        <w:tc>
          <w:tcPr>
            <w:tcW w:w="1134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92D7B" w:rsidRPr="00A34945" w:rsidTr="006034E9">
        <w:tc>
          <w:tcPr>
            <w:tcW w:w="2002" w:type="dxa"/>
            <w:vMerge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4519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4945">
              <w:rPr>
                <w:rFonts w:ascii="Times New Roman" w:hAnsi="Times New Roman"/>
                <w:sz w:val="20"/>
                <w:szCs w:val="20"/>
              </w:rPr>
              <w:t>5.2</w:t>
            </w: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A34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>Моніторинг громадської думки шляхом проведення соціальних опитувань та анкетувань, а також визначення актуальних соціально значимих блоків, спрямованих на захист прав громадян</w:t>
            </w:r>
          </w:p>
        </w:tc>
        <w:tc>
          <w:tcPr>
            <w:tcW w:w="2551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92D7B" w:rsidRPr="00A34945" w:rsidTr="006034E9">
        <w:tc>
          <w:tcPr>
            <w:tcW w:w="2002" w:type="dxa"/>
            <w:vMerge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4519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>5.3. Проведення навчань для працівників юридичних служб органів державної влади та органів місцевого самоврядуван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ня з питань захисту прав людини</w:t>
            </w:r>
          </w:p>
        </w:tc>
        <w:tc>
          <w:tcPr>
            <w:tcW w:w="2551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92D7B" w:rsidRPr="00463B54" w:rsidTr="006034E9">
        <w:tc>
          <w:tcPr>
            <w:tcW w:w="2002" w:type="dxa"/>
            <w:vMerge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4519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4945">
              <w:rPr>
                <w:rFonts w:ascii="Times New Roman" w:hAnsi="Times New Roman"/>
                <w:sz w:val="20"/>
                <w:szCs w:val="20"/>
                <w:lang w:val="uk-UA"/>
              </w:rPr>
              <w:t>5.4. Організація роботи мобільних точок доступу, надання адресної безоплатної правової допомоги незахищеним верствам населення, проведення консультацій мешканцям сільської місцевості</w:t>
            </w:r>
          </w:p>
        </w:tc>
        <w:tc>
          <w:tcPr>
            <w:tcW w:w="2551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92D7B" w:rsidRPr="00A34945" w:rsidTr="006034E9">
        <w:tc>
          <w:tcPr>
            <w:tcW w:w="2002" w:type="dxa"/>
            <w:vMerge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4519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  <w:r w:rsidRPr="00A349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>Надання</w:t>
            </w:r>
            <w:proofErr w:type="spellEnd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>правової</w:t>
            </w:r>
            <w:proofErr w:type="spellEnd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>інформації</w:t>
            </w:r>
            <w:proofErr w:type="spellEnd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>всім</w:t>
            </w:r>
            <w:proofErr w:type="spellEnd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>верствам</w:t>
            </w:r>
            <w:proofErr w:type="spellEnd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>населення</w:t>
            </w:r>
            <w:proofErr w:type="spellEnd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шляхом </w:t>
            </w:r>
            <w:proofErr w:type="spellStart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>розроблення</w:t>
            </w:r>
            <w:proofErr w:type="spellEnd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>виготовлення</w:t>
            </w:r>
            <w:proofErr w:type="spellEnd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>інформаційних</w:t>
            </w:r>
            <w:proofErr w:type="spellEnd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>ліфлетів</w:t>
            </w:r>
            <w:proofErr w:type="spellEnd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>буклетів</w:t>
            </w:r>
            <w:proofErr w:type="spellEnd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>методичних</w:t>
            </w:r>
            <w:proofErr w:type="spellEnd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>рекомендацій</w:t>
            </w:r>
            <w:proofErr w:type="spellEnd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>пам’яток</w:t>
            </w:r>
            <w:proofErr w:type="spellEnd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>нагальних</w:t>
            </w:r>
            <w:proofErr w:type="spellEnd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>правових</w:t>
            </w:r>
            <w:proofErr w:type="spellEnd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>питань</w:t>
            </w:r>
            <w:proofErr w:type="spellEnd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>попереднім</w:t>
            </w:r>
            <w:proofErr w:type="spellEnd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>визначенням</w:t>
            </w:r>
            <w:proofErr w:type="spellEnd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>соц</w:t>
            </w:r>
            <w:proofErr w:type="gramEnd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>іально</w:t>
            </w:r>
            <w:proofErr w:type="spellEnd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>значимих</w:t>
            </w:r>
            <w:proofErr w:type="spellEnd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>блоків</w:t>
            </w:r>
            <w:proofErr w:type="spellEnd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>спрямованих</w:t>
            </w:r>
            <w:proofErr w:type="spellEnd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>захист</w:t>
            </w:r>
            <w:proofErr w:type="spellEnd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 </w:t>
            </w:r>
            <w:proofErr w:type="spellStart"/>
            <w:r w:rsidRPr="00A34945">
              <w:rPr>
                <w:rFonts w:ascii="Times New Roman" w:hAnsi="Times New Roman"/>
                <w:color w:val="000000"/>
                <w:sz w:val="20"/>
                <w:szCs w:val="20"/>
              </w:rPr>
              <w:t>громадян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592D7B" w:rsidRPr="00A34945" w:rsidRDefault="00592D7B" w:rsidP="00F37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F37CCD" w:rsidRDefault="00F37CCD" w:rsidP="00531119">
      <w:pPr>
        <w:spacing w:line="214" w:lineRule="auto"/>
        <w:ind w:left="708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531119" w:rsidRPr="00531119" w:rsidRDefault="00531119" w:rsidP="00986C49">
      <w:pPr>
        <w:spacing w:line="214" w:lineRule="auto"/>
        <w:ind w:left="993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Пе</w:t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рший заступник </w:t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  <w:t xml:space="preserve">    </w:t>
      </w:r>
      <w:r w:rsidRPr="00531119">
        <w:rPr>
          <w:rFonts w:ascii="Times New Roman" w:hAnsi="Times New Roman"/>
          <w:b/>
          <w:bCs/>
          <w:iCs/>
          <w:sz w:val="28"/>
          <w:szCs w:val="28"/>
          <w:lang w:val="uk-UA"/>
        </w:rPr>
        <w:t>голови обласної ради</w:t>
      </w:r>
      <w:r w:rsidRPr="0053111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Pr="0053111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9B5549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  <w:t xml:space="preserve">         </w:t>
      </w:r>
      <w:r w:rsidR="00463B54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463B54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bookmarkStart w:id="0" w:name="_GoBack"/>
      <w:bookmarkEnd w:id="0"/>
      <w:r w:rsidR="00463B54">
        <w:rPr>
          <w:rFonts w:ascii="Times New Roman" w:hAnsi="Times New Roman"/>
          <w:b/>
          <w:bCs/>
          <w:iCs/>
          <w:sz w:val="28"/>
          <w:szCs w:val="28"/>
          <w:lang w:val="uk-UA"/>
        </w:rPr>
        <w:t>Г. ГУФМАН</w:t>
      </w:r>
    </w:p>
    <w:p w:rsidR="00531119" w:rsidRPr="00B85C0A" w:rsidRDefault="00531119" w:rsidP="00531119">
      <w:pPr>
        <w:jc w:val="center"/>
        <w:rPr>
          <w:b/>
          <w:sz w:val="28"/>
          <w:szCs w:val="28"/>
          <w:lang w:val="uk-UA"/>
        </w:rPr>
      </w:pPr>
    </w:p>
    <w:p w:rsidR="00047ED8" w:rsidRPr="00512CDB" w:rsidRDefault="00047ED8" w:rsidP="00047ED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C6EE8" w:rsidRPr="008B1A07" w:rsidRDefault="006C6EE8">
      <w:pPr>
        <w:rPr>
          <w:lang w:val="uk-UA"/>
        </w:rPr>
      </w:pPr>
    </w:p>
    <w:sectPr w:rsidR="006C6EE8" w:rsidRPr="008B1A07" w:rsidSect="0005004D">
      <w:headerReference w:type="default" r:id="rId14"/>
      <w:pgSz w:w="16838" w:h="11906" w:orient="landscape"/>
      <w:pgMar w:top="1134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24" w:rsidRDefault="009C4924" w:rsidP="00AB2012">
      <w:pPr>
        <w:spacing w:after="0" w:line="240" w:lineRule="auto"/>
      </w:pPr>
      <w:r>
        <w:separator/>
      </w:r>
    </w:p>
  </w:endnote>
  <w:endnote w:type="continuationSeparator" w:id="0">
    <w:p w:rsidR="009C4924" w:rsidRDefault="009C4924" w:rsidP="00AB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24" w:rsidRDefault="009C4924" w:rsidP="00AB2012">
      <w:pPr>
        <w:spacing w:after="0" w:line="240" w:lineRule="auto"/>
      </w:pPr>
      <w:r>
        <w:separator/>
      </w:r>
    </w:p>
  </w:footnote>
  <w:footnote w:type="continuationSeparator" w:id="0">
    <w:p w:rsidR="009C4924" w:rsidRDefault="009C4924" w:rsidP="00AB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89985"/>
      <w:docPartObj>
        <w:docPartGallery w:val="Page Numbers (Top of Page)"/>
        <w:docPartUnique/>
      </w:docPartObj>
    </w:sdtPr>
    <w:sdtEndPr/>
    <w:sdtContent>
      <w:p w:rsidR="009C4924" w:rsidRDefault="009C49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B54">
          <w:rPr>
            <w:noProof/>
          </w:rPr>
          <w:t>21</w:t>
        </w:r>
        <w:r>
          <w:fldChar w:fldCharType="end"/>
        </w:r>
      </w:p>
    </w:sdtContent>
  </w:sdt>
  <w:p w:rsidR="009C4924" w:rsidRDefault="009C49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6978"/>
    <w:multiLevelType w:val="hybridMultilevel"/>
    <w:tmpl w:val="E8DC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7702"/>
    <w:multiLevelType w:val="hybridMultilevel"/>
    <w:tmpl w:val="C50CDF98"/>
    <w:lvl w:ilvl="0" w:tplc="91EEDE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Arial"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764C5"/>
    <w:multiLevelType w:val="hybridMultilevel"/>
    <w:tmpl w:val="A932599A"/>
    <w:lvl w:ilvl="0" w:tplc="5CD836D2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D8"/>
    <w:rsid w:val="00040EB1"/>
    <w:rsid w:val="00047ED8"/>
    <w:rsid w:val="0005004D"/>
    <w:rsid w:val="0005209B"/>
    <w:rsid w:val="0008051D"/>
    <w:rsid w:val="000A428F"/>
    <w:rsid w:val="0016072F"/>
    <w:rsid w:val="001A3E2C"/>
    <w:rsid w:val="001B366E"/>
    <w:rsid w:val="001F793A"/>
    <w:rsid w:val="00216844"/>
    <w:rsid w:val="002217F1"/>
    <w:rsid w:val="00242AE6"/>
    <w:rsid w:val="00261756"/>
    <w:rsid w:val="00294157"/>
    <w:rsid w:val="00324B3B"/>
    <w:rsid w:val="00327D9F"/>
    <w:rsid w:val="00337403"/>
    <w:rsid w:val="00345AF1"/>
    <w:rsid w:val="003509FF"/>
    <w:rsid w:val="00361C1A"/>
    <w:rsid w:val="003721FB"/>
    <w:rsid w:val="003941AF"/>
    <w:rsid w:val="003D3131"/>
    <w:rsid w:val="0041591D"/>
    <w:rsid w:val="0044160B"/>
    <w:rsid w:val="00463B54"/>
    <w:rsid w:val="004658B2"/>
    <w:rsid w:val="00486A92"/>
    <w:rsid w:val="004A0B3E"/>
    <w:rsid w:val="00531119"/>
    <w:rsid w:val="00552EF4"/>
    <w:rsid w:val="00560F31"/>
    <w:rsid w:val="00566856"/>
    <w:rsid w:val="00592D7B"/>
    <w:rsid w:val="005A0E1D"/>
    <w:rsid w:val="006034E9"/>
    <w:rsid w:val="006464D0"/>
    <w:rsid w:val="006A2731"/>
    <w:rsid w:val="006B59CB"/>
    <w:rsid w:val="006C6EE8"/>
    <w:rsid w:val="006D13FE"/>
    <w:rsid w:val="00703A3C"/>
    <w:rsid w:val="00734D84"/>
    <w:rsid w:val="007879C1"/>
    <w:rsid w:val="0079517B"/>
    <w:rsid w:val="007E048B"/>
    <w:rsid w:val="007F7EE0"/>
    <w:rsid w:val="00850A53"/>
    <w:rsid w:val="00851E25"/>
    <w:rsid w:val="00852E37"/>
    <w:rsid w:val="00865D15"/>
    <w:rsid w:val="008761BF"/>
    <w:rsid w:val="008907F2"/>
    <w:rsid w:val="008B1A07"/>
    <w:rsid w:val="00941B65"/>
    <w:rsid w:val="00986C49"/>
    <w:rsid w:val="009B5549"/>
    <w:rsid w:val="009C4924"/>
    <w:rsid w:val="009C571D"/>
    <w:rsid w:val="00A06C6D"/>
    <w:rsid w:val="00A34945"/>
    <w:rsid w:val="00A75707"/>
    <w:rsid w:val="00A94A1C"/>
    <w:rsid w:val="00AB2012"/>
    <w:rsid w:val="00AE5946"/>
    <w:rsid w:val="00B20238"/>
    <w:rsid w:val="00B73652"/>
    <w:rsid w:val="00B85A76"/>
    <w:rsid w:val="00BA080E"/>
    <w:rsid w:val="00BF7B3F"/>
    <w:rsid w:val="00C2661D"/>
    <w:rsid w:val="00C43146"/>
    <w:rsid w:val="00C45210"/>
    <w:rsid w:val="00C82652"/>
    <w:rsid w:val="00D52C83"/>
    <w:rsid w:val="00D71274"/>
    <w:rsid w:val="00DD76AB"/>
    <w:rsid w:val="00DD7E4F"/>
    <w:rsid w:val="00DF518D"/>
    <w:rsid w:val="00E57F7A"/>
    <w:rsid w:val="00EA0692"/>
    <w:rsid w:val="00EB366D"/>
    <w:rsid w:val="00F13B2A"/>
    <w:rsid w:val="00F34ECA"/>
    <w:rsid w:val="00F37CCD"/>
    <w:rsid w:val="00FB7CB9"/>
    <w:rsid w:val="00F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B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AB2012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AB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201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nhideWhenUsed/>
    <w:rsid w:val="00AE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E5946"/>
    <w:rPr>
      <w:rFonts w:ascii="Tahoma" w:eastAsia="Calibri" w:hAnsi="Tahoma" w:cs="Tahoma"/>
      <w:sz w:val="16"/>
      <w:szCs w:val="16"/>
    </w:rPr>
  </w:style>
  <w:style w:type="paragraph" w:customStyle="1" w:styleId="aa">
    <w:name w:val="Стиль Мой"/>
    <w:basedOn w:val="a"/>
    <w:rsid w:val="00261756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styleId="ab">
    <w:name w:val="page number"/>
    <w:basedOn w:val="a0"/>
    <w:rsid w:val="00261756"/>
  </w:style>
  <w:style w:type="character" w:styleId="ac">
    <w:name w:val="Hyperlink"/>
    <w:rsid w:val="0026175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F7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B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AB2012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AB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201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nhideWhenUsed/>
    <w:rsid w:val="00AE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E5946"/>
    <w:rPr>
      <w:rFonts w:ascii="Tahoma" w:eastAsia="Calibri" w:hAnsi="Tahoma" w:cs="Tahoma"/>
      <w:sz w:val="16"/>
      <w:szCs w:val="16"/>
    </w:rPr>
  </w:style>
  <w:style w:type="paragraph" w:customStyle="1" w:styleId="aa">
    <w:name w:val="Стиль Мой"/>
    <w:basedOn w:val="a"/>
    <w:rsid w:val="00261756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styleId="ab">
    <w:name w:val="page number"/>
    <w:basedOn w:val="a0"/>
    <w:rsid w:val="00261756"/>
  </w:style>
  <w:style w:type="character" w:styleId="ac">
    <w:name w:val="Hyperlink"/>
    <w:rsid w:val="0026175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F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.dp.gov.ua/__c2257e83007a028b.nsf/b07122b559dbcb50c22572ba0052a791/8492940837011ab9c22578d4003131dd?Redirect&amp;Name=CN%3Dgiknpc%2FO%3Dobldp%2FC%3DU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m.dp.gov.ua/__c2257e83007a028b.nsf/b07122b559dbcb50c22572ba0052a791/27aa8db323e50773c2257b88005abd28?Redirect&amp;Name=CN%3Dgiknpc%2FO%3Dobldp%2FC%3D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.dp.gov.ua/__c2257e83007a028b.nsf/b07122b559dbcb50c22572ba0052a791/8492940837011ab9c22578d4003131dd?Redirect&amp;Name=CN%3Dgiknpc%2FO%3Dobldp%2FC%3DU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dm.dp.gov.ua/__c2257e83007a028b.nsf/b07122b559dbcb50c22572ba0052a791/8492940837011ab9c22578d4003131dd?Redirect&amp;Name=CN%3Dgiknpc%2FO%3Dobldp%2FC%3D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.dp.gov.ua/__c2257e83007a028b.nsf/b07122b559dbcb50c22572ba0052a791/8492940837011ab9c22578d4003131dd?Redirect&amp;Name=CN%3Dgiknpc%2FO%3Dobldp%2FC%3DU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C8AB-6465-44EF-837F-FB2F3AA0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21</Pages>
  <Words>3845</Words>
  <Characters>21922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2020-11-02T14:35:00Z</cp:lastPrinted>
  <dcterms:created xsi:type="dcterms:W3CDTF">2020-10-30T12:18:00Z</dcterms:created>
  <dcterms:modified xsi:type="dcterms:W3CDTF">2020-12-22T10:44:00Z</dcterms:modified>
</cp:coreProperties>
</file>