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37" w:rsidRPr="001B5DE3" w:rsidRDefault="002502FD" w:rsidP="004F4048">
      <w:pPr>
        <w:spacing w:after="0" w:line="240" w:lineRule="auto"/>
        <w:ind w:left="5664"/>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pict>
          <v:shapetype id="_x0000_t202" coordsize="21600,21600" o:spt="202" path="m,l,21600r21600,l21600,xe">
            <v:stroke joinstyle="miter"/>
            <v:path gradientshapeok="t" o:connecttype="rect"/>
          </v:shapetype>
          <v:shape id="Text Box 3" o:spid="_x0000_s1026" type="#_x0000_t202" style="position:absolute;left:0;text-align:left;margin-left:322.2pt;margin-top:-38.7pt;width:177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SgQIAABA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" stroked="f">
            <v:textbox>
              <w:txbxContent>
                <w:p w:rsidR="000710D4" w:rsidRDefault="000710D4" w:rsidP="00CC3037"/>
              </w:txbxContent>
            </v:textbox>
          </v:shape>
        </w:pict>
      </w:r>
      <w:r>
        <w:rPr>
          <w:rFonts w:ascii="Times New Roman" w:hAnsi="Times New Roman" w:cs="Times New Roman"/>
          <w:sz w:val="28"/>
          <w:szCs w:val="28"/>
          <w:lang w:val="uk-UA"/>
        </w:rPr>
        <w:pict>
          <v:shape id="Text Box 2" o:spid="_x0000_s1027" type="#_x0000_t202" style="position:absolute;left:0;text-align:left;margin-left:223.2pt;margin-top:-25.95pt;width:33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Ks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" stroked="f">
            <v:textbox>
              <w:txbxContent>
                <w:p w:rsidR="000710D4" w:rsidRDefault="000710D4" w:rsidP="00CC3037"/>
              </w:txbxContent>
            </v:textbox>
          </v:shape>
        </w:pict>
      </w:r>
      <w:r w:rsidR="00CC3037" w:rsidRPr="001B5DE3">
        <w:rPr>
          <w:rFonts w:ascii="Times New Roman" w:hAnsi="Times New Roman" w:cs="Times New Roman"/>
          <w:sz w:val="28"/>
          <w:szCs w:val="28"/>
          <w:lang w:val="uk-UA"/>
        </w:rPr>
        <w:t xml:space="preserve">Додаток </w:t>
      </w:r>
    </w:p>
    <w:p w:rsidR="00CC3037" w:rsidRPr="001B5DE3" w:rsidRDefault="00CC3037" w:rsidP="004F4048">
      <w:pPr>
        <w:spacing w:after="0" w:line="240" w:lineRule="auto"/>
        <w:ind w:left="5664"/>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до розпорядження голови </w:t>
      </w:r>
    </w:p>
    <w:p w:rsidR="00CC3037" w:rsidRDefault="00CC3037" w:rsidP="004F4048">
      <w:pPr>
        <w:spacing w:after="0" w:line="240" w:lineRule="auto"/>
        <w:ind w:left="5664"/>
        <w:rPr>
          <w:rFonts w:ascii="Times New Roman" w:hAnsi="Times New Roman" w:cs="Times New Roman"/>
          <w:sz w:val="28"/>
          <w:szCs w:val="28"/>
          <w:lang w:val="uk-UA"/>
        </w:rPr>
      </w:pPr>
      <w:r w:rsidRPr="001B5DE3">
        <w:rPr>
          <w:rFonts w:ascii="Times New Roman" w:hAnsi="Times New Roman" w:cs="Times New Roman"/>
          <w:sz w:val="28"/>
          <w:szCs w:val="28"/>
          <w:lang w:val="uk-UA"/>
        </w:rPr>
        <w:t>облдержадміністрації</w:t>
      </w:r>
    </w:p>
    <w:p w:rsidR="00952437" w:rsidRPr="00952437" w:rsidRDefault="00952437" w:rsidP="00952437">
      <w:pPr>
        <w:spacing w:after="0" w:line="240" w:lineRule="auto"/>
        <w:ind w:left="5664"/>
        <w:rPr>
          <w:rFonts w:ascii="Times New Roman" w:hAnsi="Times New Roman" w:cs="Times New Roman"/>
          <w:sz w:val="28"/>
          <w:szCs w:val="28"/>
          <w:lang w:val="uk-UA"/>
        </w:rPr>
      </w:pPr>
      <w:r w:rsidRPr="00952437">
        <w:rPr>
          <w:rFonts w:ascii="Times New Roman" w:hAnsi="Times New Roman" w:cs="Times New Roman"/>
          <w:sz w:val="28"/>
          <w:szCs w:val="28"/>
          <w:lang w:val="uk-UA"/>
        </w:rPr>
        <w:t>20.09.2021</w:t>
      </w:r>
      <w:r>
        <w:rPr>
          <w:rFonts w:ascii="Times New Roman" w:hAnsi="Times New Roman" w:cs="Times New Roman"/>
          <w:sz w:val="28"/>
          <w:szCs w:val="28"/>
          <w:lang w:val="uk-UA"/>
        </w:rPr>
        <w:t xml:space="preserve"> </w:t>
      </w:r>
      <w:r w:rsidRPr="00952437">
        <w:rPr>
          <w:rFonts w:ascii="Times New Roman" w:hAnsi="Times New Roman" w:cs="Times New Roman"/>
          <w:sz w:val="28"/>
          <w:szCs w:val="28"/>
          <w:lang w:val="uk-UA"/>
        </w:rPr>
        <w:t>№ Р-799/0/3-21</w:t>
      </w:r>
    </w:p>
    <w:p w:rsidR="004F4048" w:rsidRPr="001B5DE3" w:rsidRDefault="004F4048" w:rsidP="004F4048">
      <w:pPr>
        <w:spacing w:after="0" w:line="240" w:lineRule="auto"/>
        <w:jc w:val="center"/>
        <w:rPr>
          <w:rFonts w:ascii="Times New Roman" w:hAnsi="Times New Roman" w:cs="Times New Roman"/>
          <w:b/>
          <w:sz w:val="28"/>
          <w:szCs w:val="28"/>
          <w:lang w:val="uk-UA"/>
        </w:rPr>
      </w:pPr>
    </w:p>
    <w:p w:rsidR="00CC3037" w:rsidRPr="001B5DE3" w:rsidRDefault="00CC3037" w:rsidP="004F4048">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АНАЛІТИЧНА ДОВІДКА</w:t>
      </w:r>
    </w:p>
    <w:p w:rsidR="00CC3037" w:rsidRPr="001B5DE3" w:rsidRDefault="00CC3037" w:rsidP="004F4048">
      <w:pPr>
        <w:tabs>
          <w:tab w:val="left" w:pos="8580"/>
          <w:tab w:val="left" w:pos="12740"/>
        </w:tabs>
        <w:spacing w:after="0" w:line="240" w:lineRule="auto"/>
        <w:ind w:right="18"/>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про підсумки соціально-економічного розвитку та </w:t>
      </w:r>
    </w:p>
    <w:p w:rsidR="00CC3037" w:rsidRPr="001B5DE3" w:rsidRDefault="00CC3037" w:rsidP="004F4048">
      <w:pPr>
        <w:tabs>
          <w:tab w:val="left" w:pos="8580"/>
          <w:tab w:val="left" w:pos="12740"/>
        </w:tabs>
        <w:spacing w:after="0" w:line="240" w:lineRule="auto"/>
        <w:ind w:right="18"/>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виконання бюджету області й обласного бюджету </w:t>
      </w:r>
    </w:p>
    <w:p w:rsidR="00CC3037" w:rsidRPr="001B5DE3" w:rsidRDefault="00CC3037" w:rsidP="004F4048">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за січень – </w:t>
      </w:r>
      <w:r w:rsidR="005A2418" w:rsidRPr="001B5DE3">
        <w:rPr>
          <w:rFonts w:ascii="Times New Roman" w:hAnsi="Times New Roman" w:cs="Times New Roman"/>
          <w:b/>
          <w:sz w:val="28"/>
          <w:szCs w:val="28"/>
          <w:lang w:val="uk-UA"/>
        </w:rPr>
        <w:t>черв</w:t>
      </w:r>
      <w:r w:rsidRPr="001B5DE3">
        <w:rPr>
          <w:rFonts w:ascii="Times New Roman" w:hAnsi="Times New Roman" w:cs="Times New Roman"/>
          <w:b/>
          <w:sz w:val="28"/>
          <w:szCs w:val="28"/>
          <w:lang w:val="uk-UA"/>
        </w:rPr>
        <w:t>ень 2021 року</w:t>
      </w:r>
    </w:p>
    <w:p w:rsidR="00CC3037" w:rsidRPr="001B5DE3" w:rsidRDefault="00CC3037" w:rsidP="004F4048">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p>
    <w:p w:rsidR="00CC3037" w:rsidRPr="001B5DE3" w:rsidRDefault="00CC3037" w:rsidP="00685AA3">
      <w:pPr>
        <w:pStyle w:val="31"/>
        <w:spacing w:after="0" w:line="230" w:lineRule="auto"/>
        <w:ind w:left="0" w:firstLine="709"/>
        <w:jc w:val="both"/>
        <w:rPr>
          <w:bCs/>
          <w:iCs/>
          <w:sz w:val="28"/>
          <w:szCs w:val="28"/>
          <w:lang w:val="uk-UA"/>
        </w:rPr>
      </w:pPr>
      <w:r w:rsidRPr="001B5DE3">
        <w:rPr>
          <w:sz w:val="28"/>
          <w:szCs w:val="28"/>
          <w:lang w:val="uk-UA"/>
        </w:rPr>
        <w:t xml:space="preserve">Завдяки спільним діям органів виконавчої влади та місцевого самоврядування </w:t>
      </w:r>
      <w:r w:rsidRPr="001B5DE3">
        <w:rPr>
          <w:bCs/>
          <w:iCs/>
          <w:sz w:val="28"/>
          <w:szCs w:val="28"/>
          <w:lang w:val="uk-UA"/>
        </w:rPr>
        <w:t xml:space="preserve">активізовано роботу з вирішення низки економічних і соціальних питань, у тому числі спричинених пандемією коронавірусу, з метою виконання завдань </w:t>
      </w:r>
      <w:r w:rsidR="008E2594" w:rsidRPr="001B5DE3">
        <w:rPr>
          <w:bCs/>
          <w:iCs/>
          <w:sz w:val="28"/>
          <w:szCs w:val="28"/>
          <w:lang w:val="uk-UA"/>
        </w:rPr>
        <w:t>П</w:t>
      </w:r>
      <w:r w:rsidRPr="001B5DE3">
        <w:rPr>
          <w:bCs/>
          <w:iCs/>
          <w:sz w:val="28"/>
          <w:szCs w:val="28"/>
          <w:lang w:val="uk-UA"/>
        </w:rPr>
        <w:t xml:space="preserve">рограми соціально-економічного та культурного розвитку </w:t>
      </w:r>
      <w:r w:rsidR="00E91C4F" w:rsidRPr="001B5DE3">
        <w:rPr>
          <w:bCs/>
          <w:iCs/>
          <w:sz w:val="28"/>
          <w:szCs w:val="28"/>
          <w:lang w:val="uk-UA"/>
        </w:rPr>
        <w:t xml:space="preserve">Дніпропетровської </w:t>
      </w:r>
      <w:r w:rsidRPr="001B5DE3">
        <w:rPr>
          <w:bCs/>
          <w:iCs/>
          <w:sz w:val="28"/>
          <w:szCs w:val="28"/>
          <w:lang w:val="uk-UA"/>
        </w:rPr>
        <w:t xml:space="preserve">області </w:t>
      </w:r>
      <w:r w:rsidR="00E91C4F" w:rsidRPr="001B5DE3">
        <w:rPr>
          <w:bCs/>
          <w:iCs/>
          <w:sz w:val="28"/>
          <w:szCs w:val="28"/>
          <w:lang w:val="uk-UA"/>
        </w:rPr>
        <w:t>на</w:t>
      </w:r>
      <w:r w:rsidRPr="001B5DE3">
        <w:rPr>
          <w:bCs/>
          <w:iCs/>
          <w:sz w:val="28"/>
          <w:szCs w:val="28"/>
          <w:lang w:val="uk-UA"/>
        </w:rPr>
        <w:t xml:space="preserve"> 2021 р</w:t>
      </w:r>
      <w:r w:rsidR="00E91C4F" w:rsidRPr="001B5DE3">
        <w:rPr>
          <w:bCs/>
          <w:iCs/>
          <w:sz w:val="28"/>
          <w:szCs w:val="28"/>
          <w:lang w:val="uk-UA"/>
        </w:rPr>
        <w:t>ік</w:t>
      </w:r>
      <w:r w:rsidR="008E2594" w:rsidRPr="001B5DE3">
        <w:rPr>
          <w:bCs/>
          <w:iCs/>
          <w:sz w:val="28"/>
          <w:szCs w:val="28"/>
          <w:lang w:val="uk-UA"/>
        </w:rPr>
        <w:t>, затвердженої рішенням Дніпро</w:t>
      </w:r>
      <w:r w:rsidR="004F4048" w:rsidRPr="001B5DE3">
        <w:rPr>
          <w:bCs/>
          <w:iCs/>
          <w:sz w:val="28"/>
          <w:szCs w:val="28"/>
          <w:lang w:val="uk-UA"/>
        </w:rPr>
        <w:t>-</w:t>
      </w:r>
      <w:r w:rsidR="008E2594" w:rsidRPr="001B5DE3">
        <w:rPr>
          <w:bCs/>
          <w:iCs/>
          <w:sz w:val="28"/>
          <w:szCs w:val="28"/>
          <w:lang w:val="uk-UA"/>
        </w:rPr>
        <w:t xml:space="preserve">петровської обласної ради  від 23 грудня 2020 року № </w:t>
      </w:r>
      <w:r w:rsidR="008E2594" w:rsidRPr="001B5DE3">
        <w:rPr>
          <w:sz w:val="28"/>
          <w:szCs w:val="28"/>
          <w:lang w:val="uk-UA"/>
        </w:rPr>
        <w:t>10-3/VIІІ</w:t>
      </w:r>
      <w:r w:rsidR="004E48CA" w:rsidRPr="001B5DE3">
        <w:rPr>
          <w:sz w:val="28"/>
          <w:szCs w:val="28"/>
          <w:lang w:val="uk-UA"/>
        </w:rPr>
        <w:t xml:space="preserve"> </w:t>
      </w:r>
      <w:r w:rsidR="00997200" w:rsidRPr="001B5DE3">
        <w:rPr>
          <w:sz w:val="28"/>
          <w:szCs w:val="28"/>
          <w:lang w:val="uk-UA"/>
        </w:rPr>
        <w:t>(із змінами)</w:t>
      </w:r>
      <w:r w:rsidRPr="001B5DE3">
        <w:rPr>
          <w:bCs/>
          <w:iCs/>
          <w:sz w:val="28"/>
          <w:szCs w:val="28"/>
          <w:lang w:val="uk-UA"/>
        </w:rPr>
        <w:t>.</w:t>
      </w:r>
    </w:p>
    <w:p w:rsidR="00CC3037" w:rsidRPr="001B5DE3" w:rsidRDefault="00CC3037" w:rsidP="00685AA3">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Економічна ситуація в області перебуває на постійному контролі облдержадміністрації.</w:t>
      </w:r>
    </w:p>
    <w:p w:rsidR="00B066B1" w:rsidRPr="001B5DE3" w:rsidRDefault="00B066B1" w:rsidP="00685AA3">
      <w:pPr>
        <w:pStyle w:val="31"/>
        <w:spacing w:after="0" w:line="230" w:lineRule="auto"/>
        <w:ind w:left="0" w:firstLine="709"/>
        <w:jc w:val="both"/>
        <w:rPr>
          <w:sz w:val="28"/>
          <w:szCs w:val="28"/>
          <w:lang w:val="uk-UA"/>
        </w:rPr>
      </w:pPr>
      <w:r w:rsidRPr="001B5DE3">
        <w:rPr>
          <w:sz w:val="28"/>
          <w:szCs w:val="28"/>
          <w:lang w:val="uk-UA"/>
        </w:rPr>
        <w:t xml:space="preserve">Аналіз офіційних звітних даних свідчить, що загалом  у соціально-економічному становищі області </w:t>
      </w:r>
      <w:r w:rsidR="00694342" w:rsidRPr="001B5DE3">
        <w:rPr>
          <w:sz w:val="28"/>
          <w:szCs w:val="28"/>
          <w:lang w:val="uk-UA"/>
        </w:rPr>
        <w:t>окреслилися</w:t>
      </w:r>
      <w:r w:rsidRPr="001B5DE3">
        <w:rPr>
          <w:sz w:val="28"/>
          <w:szCs w:val="28"/>
          <w:lang w:val="uk-UA"/>
        </w:rPr>
        <w:t xml:space="preserve"> позитивні тенденції.</w:t>
      </w:r>
    </w:p>
    <w:p w:rsidR="00B066B1" w:rsidRPr="001B5DE3" w:rsidRDefault="00B066B1" w:rsidP="00685AA3">
      <w:pPr>
        <w:spacing w:after="0" w:line="230" w:lineRule="auto"/>
        <w:ind w:firstLine="709"/>
        <w:jc w:val="both"/>
        <w:rPr>
          <w:rFonts w:ascii="Times New Roman" w:hAnsi="Times New Roman" w:cs="Times New Roman"/>
          <w:sz w:val="28"/>
          <w:szCs w:val="28"/>
          <w:lang w:val="uk-UA"/>
        </w:rPr>
      </w:pPr>
    </w:p>
    <w:p w:rsidR="000B1FB1" w:rsidRPr="001B5DE3" w:rsidRDefault="000B1FB1" w:rsidP="00685AA3">
      <w:pPr>
        <w:pStyle w:val="31"/>
        <w:spacing w:after="0"/>
        <w:ind w:left="0" w:firstLine="709"/>
        <w:jc w:val="both"/>
        <w:rPr>
          <w:sz w:val="28"/>
          <w:szCs w:val="28"/>
          <w:lang w:val="uk-UA"/>
        </w:rPr>
      </w:pPr>
      <w:r w:rsidRPr="001B5DE3">
        <w:rPr>
          <w:sz w:val="28"/>
          <w:szCs w:val="28"/>
          <w:lang w:val="uk-UA"/>
        </w:rPr>
        <w:t>За результатами аналізу оцінки соціально-економічного розвитку регіонів за січень – березень 2021 року, здійсненої Міністерством розвитку громад та територій України на підставі наявних даних офіційної статистики, інформації центральних органів виконавчої влади, облдержадміністрації за Методикою проведення моніторингу та оцінки результативності реалізації державної регіональної політики</w:t>
      </w:r>
      <w:r w:rsidR="00694342" w:rsidRPr="001B5DE3">
        <w:rPr>
          <w:sz w:val="28"/>
          <w:szCs w:val="28"/>
          <w:lang w:val="uk-UA"/>
        </w:rPr>
        <w:t>,</w:t>
      </w:r>
      <w:r w:rsidRPr="001B5DE3">
        <w:rPr>
          <w:sz w:val="28"/>
          <w:szCs w:val="28"/>
          <w:lang w:val="uk-UA"/>
        </w:rPr>
        <w:t xml:space="preserve"> область зайнял</w:t>
      </w:r>
      <w:r w:rsidR="00694342" w:rsidRPr="001B5DE3">
        <w:rPr>
          <w:sz w:val="28"/>
          <w:szCs w:val="28"/>
          <w:lang w:val="uk-UA"/>
        </w:rPr>
        <w:t xml:space="preserve">а 1 місце серед областей та 2 </w:t>
      </w:r>
      <w:r w:rsidRPr="001B5DE3">
        <w:rPr>
          <w:sz w:val="28"/>
          <w:szCs w:val="28"/>
          <w:lang w:val="uk-UA"/>
        </w:rPr>
        <w:t xml:space="preserve">серед регіонів після м. Києва (у січні – грудні 2020 року – 6 серед регіонів, 5 – серед областей). </w:t>
      </w:r>
    </w:p>
    <w:p w:rsidR="000B1FB1" w:rsidRPr="001B5DE3" w:rsidRDefault="000B1FB1" w:rsidP="000B1FB1">
      <w:pPr>
        <w:pStyle w:val="31"/>
        <w:spacing w:after="0"/>
        <w:ind w:left="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381"/>
        <w:gridCol w:w="2459"/>
        <w:gridCol w:w="2459"/>
      </w:tblGrid>
      <w:tr w:rsidR="001B5DE3" w:rsidRPr="001B5DE3" w:rsidTr="00AE7DFA">
        <w:tc>
          <w:tcPr>
            <w:tcW w:w="555" w:type="dxa"/>
            <w:vAlign w:val="center"/>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 з/п</w:t>
            </w:r>
          </w:p>
        </w:tc>
        <w:tc>
          <w:tcPr>
            <w:tcW w:w="4381" w:type="dxa"/>
            <w:vAlign w:val="center"/>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Назва напряму</w:t>
            </w:r>
          </w:p>
        </w:tc>
        <w:tc>
          <w:tcPr>
            <w:tcW w:w="2459" w:type="dxa"/>
            <w:vAlign w:val="center"/>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Січень</w:t>
            </w:r>
            <w:r w:rsidR="00694342" w:rsidRPr="001B5DE3">
              <w:rPr>
                <w:sz w:val="28"/>
                <w:szCs w:val="28"/>
                <w:lang w:val="uk-UA"/>
              </w:rPr>
              <w:t xml:space="preserve"> </w:t>
            </w:r>
            <w:r w:rsidRPr="001B5DE3">
              <w:rPr>
                <w:sz w:val="28"/>
                <w:szCs w:val="28"/>
                <w:lang w:val="uk-UA"/>
              </w:rPr>
              <w:t>–</w:t>
            </w:r>
            <w:r w:rsidR="00694342" w:rsidRPr="001B5DE3">
              <w:rPr>
                <w:sz w:val="28"/>
                <w:szCs w:val="28"/>
                <w:lang w:val="uk-UA"/>
              </w:rPr>
              <w:t xml:space="preserve"> </w:t>
            </w:r>
            <w:r w:rsidRPr="001B5DE3">
              <w:rPr>
                <w:sz w:val="28"/>
                <w:szCs w:val="28"/>
                <w:lang w:val="uk-UA"/>
              </w:rPr>
              <w:t>березень 2021 року</w:t>
            </w:r>
          </w:p>
        </w:tc>
        <w:tc>
          <w:tcPr>
            <w:tcW w:w="2459" w:type="dxa"/>
            <w:vAlign w:val="center"/>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Січень</w:t>
            </w:r>
            <w:r w:rsidR="00694342" w:rsidRPr="001B5DE3">
              <w:rPr>
                <w:sz w:val="28"/>
                <w:szCs w:val="28"/>
                <w:lang w:val="uk-UA"/>
              </w:rPr>
              <w:t xml:space="preserve"> </w:t>
            </w:r>
            <w:r w:rsidRPr="001B5DE3">
              <w:rPr>
                <w:sz w:val="28"/>
                <w:szCs w:val="28"/>
                <w:lang w:val="uk-UA"/>
              </w:rPr>
              <w:t>–</w:t>
            </w:r>
            <w:r w:rsidR="00694342" w:rsidRPr="001B5DE3">
              <w:rPr>
                <w:sz w:val="28"/>
                <w:szCs w:val="28"/>
                <w:lang w:val="uk-UA"/>
              </w:rPr>
              <w:t xml:space="preserve"> </w:t>
            </w:r>
            <w:r w:rsidRPr="001B5DE3">
              <w:rPr>
                <w:sz w:val="28"/>
                <w:szCs w:val="28"/>
                <w:lang w:val="uk-UA"/>
              </w:rPr>
              <w:t>грудень 2020 року</w:t>
            </w:r>
          </w:p>
        </w:tc>
      </w:tr>
      <w:tr w:rsidR="001B5DE3" w:rsidRPr="001B5DE3" w:rsidTr="00AE7DFA">
        <w:tc>
          <w:tcPr>
            <w:tcW w:w="555" w:type="dxa"/>
            <w:shd w:val="clear" w:color="auto" w:fill="auto"/>
          </w:tcPr>
          <w:p w:rsidR="000B1FB1" w:rsidRPr="001B5DE3" w:rsidRDefault="000B1FB1" w:rsidP="00AE7DFA">
            <w:pPr>
              <w:pStyle w:val="31"/>
              <w:spacing w:after="0" w:line="230" w:lineRule="auto"/>
              <w:ind w:left="0"/>
              <w:jc w:val="both"/>
              <w:rPr>
                <w:sz w:val="28"/>
                <w:szCs w:val="28"/>
                <w:lang w:val="uk-UA"/>
              </w:rPr>
            </w:pPr>
          </w:p>
        </w:tc>
        <w:tc>
          <w:tcPr>
            <w:tcW w:w="4381" w:type="dxa"/>
            <w:shd w:val="clear" w:color="auto" w:fill="auto"/>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Загальне місце регіону</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2</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6</w:t>
            </w:r>
          </w:p>
        </w:tc>
      </w:tr>
      <w:tr w:rsidR="001B5DE3" w:rsidRPr="001B5DE3" w:rsidTr="00AE7DFA">
        <w:tc>
          <w:tcPr>
            <w:tcW w:w="9854" w:type="dxa"/>
            <w:gridSpan w:val="4"/>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 xml:space="preserve">Поліпшено рейтингове місце за напрямом </w:t>
            </w:r>
          </w:p>
        </w:tc>
      </w:tr>
      <w:tr w:rsidR="001B5DE3" w:rsidRPr="001B5DE3" w:rsidTr="005E6251">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1</w:t>
            </w:r>
          </w:p>
        </w:tc>
        <w:tc>
          <w:tcPr>
            <w:tcW w:w="4381" w:type="dxa"/>
          </w:tcPr>
          <w:p w:rsidR="000B1FB1" w:rsidRPr="001B5DE3" w:rsidRDefault="000B1FB1" w:rsidP="00AE7DFA">
            <w:pPr>
              <w:pStyle w:val="31"/>
              <w:spacing w:after="0" w:line="230" w:lineRule="auto"/>
              <w:ind w:left="0"/>
              <w:rPr>
                <w:sz w:val="28"/>
                <w:szCs w:val="28"/>
                <w:lang w:val="uk-UA"/>
              </w:rPr>
            </w:pPr>
            <w:r w:rsidRPr="001B5DE3">
              <w:rPr>
                <w:sz w:val="28"/>
                <w:szCs w:val="28"/>
                <w:lang w:val="uk-UA"/>
              </w:rPr>
              <w:t>Економічна ефективність</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1</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10</w:t>
            </w:r>
          </w:p>
        </w:tc>
      </w:tr>
      <w:tr w:rsidR="001B5DE3" w:rsidRPr="001B5DE3" w:rsidTr="005E6251">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2</w:t>
            </w:r>
          </w:p>
        </w:tc>
        <w:tc>
          <w:tcPr>
            <w:tcW w:w="4381" w:type="dxa"/>
          </w:tcPr>
          <w:p w:rsidR="000B1FB1" w:rsidRPr="001B5DE3" w:rsidRDefault="000B1FB1" w:rsidP="00AE7DFA">
            <w:pPr>
              <w:pStyle w:val="31"/>
              <w:spacing w:after="0" w:line="230" w:lineRule="auto"/>
              <w:ind w:left="0"/>
              <w:rPr>
                <w:sz w:val="28"/>
                <w:szCs w:val="28"/>
                <w:lang w:val="uk-UA"/>
              </w:rPr>
            </w:pPr>
            <w:r w:rsidRPr="001B5DE3">
              <w:rPr>
                <w:sz w:val="28"/>
                <w:szCs w:val="28"/>
              </w:rPr>
              <w:t>Фінансова самодостатність</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3</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9</w:t>
            </w:r>
          </w:p>
        </w:tc>
      </w:tr>
      <w:tr w:rsidR="001B5DE3" w:rsidRPr="001B5DE3" w:rsidTr="005E6251">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3</w:t>
            </w:r>
          </w:p>
        </w:tc>
        <w:tc>
          <w:tcPr>
            <w:tcW w:w="4381" w:type="dxa"/>
          </w:tcPr>
          <w:p w:rsidR="000B1FB1" w:rsidRPr="001B5DE3" w:rsidRDefault="000B1FB1" w:rsidP="00AE7DFA">
            <w:pPr>
              <w:pStyle w:val="31"/>
              <w:spacing w:after="0" w:line="230" w:lineRule="auto"/>
              <w:ind w:left="0"/>
              <w:rPr>
                <w:sz w:val="28"/>
                <w:szCs w:val="28"/>
                <w:lang w:val="uk-UA"/>
              </w:rPr>
            </w:pPr>
            <w:r w:rsidRPr="001B5DE3">
              <w:rPr>
                <w:sz w:val="28"/>
                <w:szCs w:val="28"/>
              </w:rPr>
              <w:t>Ефективність ринку праці</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15</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16</w:t>
            </w:r>
          </w:p>
        </w:tc>
      </w:tr>
      <w:tr w:rsidR="001B5DE3" w:rsidRPr="001B5DE3" w:rsidTr="005E6251">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4</w:t>
            </w:r>
          </w:p>
        </w:tc>
        <w:tc>
          <w:tcPr>
            <w:tcW w:w="4381" w:type="dxa"/>
          </w:tcPr>
          <w:p w:rsidR="000B1FB1" w:rsidRPr="001B5DE3" w:rsidRDefault="000B1FB1" w:rsidP="00AE7DFA">
            <w:pPr>
              <w:pStyle w:val="31"/>
              <w:spacing w:after="0" w:line="230" w:lineRule="auto"/>
              <w:ind w:left="0"/>
              <w:rPr>
                <w:sz w:val="28"/>
                <w:szCs w:val="28"/>
                <w:lang w:val="uk-UA"/>
              </w:rPr>
            </w:pPr>
            <w:r w:rsidRPr="001B5DE3">
              <w:rPr>
                <w:sz w:val="28"/>
                <w:szCs w:val="28"/>
                <w:lang w:val="uk-UA"/>
              </w:rPr>
              <w:t>Розвиток інфраструктури</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5</w:t>
            </w:r>
          </w:p>
        </w:tc>
        <w:tc>
          <w:tcPr>
            <w:tcW w:w="2459" w:type="dxa"/>
            <w:shd w:val="clear" w:color="auto" w:fill="auto"/>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24</w:t>
            </w:r>
          </w:p>
        </w:tc>
      </w:tr>
      <w:tr w:rsidR="001B5DE3" w:rsidRPr="001B5DE3" w:rsidTr="00AE7DFA">
        <w:tc>
          <w:tcPr>
            <w:tcW w:w="9854" w:type="dxa"/>
            <w:gridSpan w:val="4"/>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Погіршено рейтингове місце за напрямами</w:t>
            </w:r>
          </w:p>
        </w:tc>
      </w:tr>
      <w:tr w:rsidR="001B5DE3" w:rsidRPr="001B5DE3" w:rsidTr="00AE7DFA">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5</w:t>
            </w:r>
          </w:p>
        </w:tc>
        <w:tc>
          <w:tcPr>
            <w:tcW w:w="4381" w:type="dxa"/>
          </w:tcPr>
          <w:p w:rsidR="000B1FB1" w:rsidRPr="001B5DE3" w:rsidRDefault="000B1FB1" w:rsidP="00AE7DFA">
            <w:pPr>
              <w:pStyle w:val="31"/>
              <w:spacing w:after="0" w:line="230" w:lineRule="auto"/>
              <w:ind w:left="0"/>
              <w:rPr>
                <w:sz w:val="28"/>
                <w:szCs w:val="28"/>
                <w:lang w:val="uk-UA"/>
              </w:rPr>
            </w:pPr>
            <w:r w:rsidRPr="001B5DE3">
              <w:rPr>
                <w:sz w:val="28"/>
                <w:szCs w:val="28"/>
                <w:lang w:val="uk-UA"/>
              </w:rPr>
              <w:t>Інвестиційний розвиток та зовнішньоекономічна співпраця</w:t>
            </w:r>
          </w:p>
        </w:tc>
        <w:tc>
          <w:tcPr>
            <w:tcW w:w="2459" w:type="dxa"/>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3</w:t>
            </w:r>
          </w:p>
        </w:tc>
        <w:tc>
          <w:tcPr>
            <w:tcW w:w="2459" w:type="dxa"/>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2</w:t>
            </w:r>
          </w:p>
        </w:tc>
      </w:tr>
      <w:tr w:rsidR="000B1FB1" w:rsidRPr="001B5DE3" w:rsidTr="00AE7DFA">
        <w:tc>
          <w:tcPr>
            <w:tcW w:w="555" w:type="dxa"/>
          </w:tcPr>
          <w:p w:rsidR="000B1FB1" w:rsidRPr="001B5DE3" w:rsidRDefault="000B1FB1" w:rsidP="00AE7DFA">
            <w:pPr>
              <w:pStyle w:val="31"/>
              <w:spacing w:after="0" w:line="230" w:lineRule="auto"/>
              <w:ind w:left="0"/>
              <w:jc w:val="both"/>
              <w:rPr>
                <w:sz w:val="28"/>
                <w:szCs w:val="28"/>
                <w:lang w:val="uk-UA"/>
              </w:rPr>
            </w:pPr>
            <w:r w:rsidRPr="001B5DE3">
              <w:rPr>
                <w:sz w:val="28"/>
                <w:szCs w:val="28"/>
                <w:lang w:val="uk-UA"/>
              </w:rPr>
              <w:t>6</w:t>
            </w:r>
          </w:p>
        </w:tc>
        <w:tc>
          <w:tcPr>
            <w:tcW w:w="4381" w:type="dxa"/>
          </w:tcPr>
          <w:p w:rsidR="000B1FB1" w:rsidRPr="001B5DE3" w:rsidRDefault="000B1FB1" w:rsidP="00AE7DFA">
            <w:pPr>
              <w:pStyle w:val="31"/>
              <w:spacing w:after="0" w:line="230" w:lineRule="auto"/>
              <w:ind w:left="0"/>
              <w:rPr>
                <w:sz w:val="28"/>
                <w:szCs w:val="28"/>
              </w:rPr>
            </w:pPr>
            <w:r w:rsidRPr="001B5DE3">
              <w:rPr>
                <w:sz w:val="28"/>
                <w:szCs w:val="28"/>
                <w:lang w:val="uk-UA"/>
              </w:rPr>
              <w:t>Відновлювана енергетика та енергоефективність</w:t>
            </w:r>
          </w:p>
        </w:tc>
        <w:tc>
          <w:tcPr>
            <w:tcW w:w="2459" w:type="dxa"/>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13</w:t>
            </w:r>
          </w:p>
        </w:tc>
        <w:tc>
          <w:tcPr>
            <w:tcW w:w="2459" w:type="dxa"/>
          </w:tcPr>
          <w:p w:rsidR="000B1FB1" w:rsidRPr="001B5DE3" w:rsidRDefault="000B1FB1" w:rsidP="00AE7DFA">
            <w:pPr>
              <w:pStyle w:val="31"/>
              <w:spacing w:after="0" w:line="230" w:lineRule="auto"/>
              <w:ind w:left="0"/>
              <w:jc w:val="center"/>
              <w:rPr>
                <w:sz w:val="28"/>
                <w:szCs w:val="28"/>
                <w:lang w:val="uk-UA"/>
              </w:rPr>
            </w:pPr>
            <w:r w:rsidRPr="001B5DE3">
              <w:rPr>
                <w:sz w:val="28"/>
                <w:szCs w:val="28"/>
                <w:lang w:val="uk-UA"/>
              </w:rPr>
              <w:t>3</w:t>
            </w:r>
          </w:p>
        </w:tc>
      </w:tr>
    </w:tbl>
    <w:p w:rsidR="003A257A" w:rsidRPr="001B5DE3" w:rsidRDefault="003A257A" w:rsidP="000B1FB1">
      <w:pPr>
        <w:pStyle w:val="31"/>
        <w:spacing w:after="0" w:line="235" w:lineRule="auto"/>
        <w:ind w:left="0" w:firstLine="709"/>
        <w:jc w:val="both"/>
        <w:rPr>
          <w:sz w:val="28"/>
          <w:szCs w:val="28"/>
          <w:lang w:val="uk-UA"/>
        </w:rPr>
      </w:pP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lastRenderedPageBreak/>
        <w:t>На покра</w:t>
      </w:r>
      <w:r w:rsidR="00694342" w:rsidRPr="001B5DE3">
        <w:rPr>
          <w:sz w:val="28"/>
          <w:szCs w:val="28"/>
          <w:lang w:val="uk-UA"/>
        </w:rPr>
        <w:t>щ</w:t>
      </w:r>
      <w:r w:rsidRPr="001B5DE3">
        <w:rPr>
          <w:sz w:val="28"/>
          <w:szCs w:val="28"/>
          <w:lang w:val="uk-UA"/>
        </w:rPr>
        <w:t>ення місця певним чином вплинуло пол</w:t>
      </w:r>
      <w:r w:rsidR="00694342" w:rsidRPr="001B5DE3">
        <w:rPr>
          <w:sz w:val="28"/>
          <w:szCs w:val="28"/>
          <w:lang w:val="uk-UA"/>
        </w:rPr>
        <w:t>і</w:t>
      </w:r>
      <w:r w:rsidRPr="001B5DE3">
        <w:rPr>
          <w:sz w:val="28"/>
          <w:szCs w:val="28"/>
          <w:lang w:val="uk-UA"/>
        </w:rPr>
        <w:t>пшення ситуації за окремими показниками:</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у сфері економічної ефективності це:</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 xml:space="preserve">“Індекс промислової продукції” – 13 місце (у січні – грудні 2020 року – </w:t>
      </w:r>
      <w:r w:rsidR="00843E41" w:rsidRPr="001B5DE3">
        <w:rPr>
          <w:sz w:val="28"/>
          <w:szCs w:val="28"/>
          <w:lang w:val="uk-UA"/>
        </w:rPr>
        <w:br/>
      </w:r>
      <w:r w:rsidRPr="001B5DE3">
        <w:rPr>
          <w:sz w:val="28"/>
          <w:szCs w:val="28"/>
          <w:lang w:val="uk-UA"/>
        </w:rPr>
        <w:t xml:space="preserve">24 місце), “Індекс обсягу сільськогосподарського виробництва” – 1 місце </w:t>
      </w:r>
      <w:r w:rsidRPr="001B5DE3">
        <w:rPr>
          <w:sz w:val="28"/>
          <w:szCs w:val="28"/>
          <w:lang w:val="uk-UA"/>
        </w:rPr>
        <w:br/>
        <w:t>(18 місце), “Індекс будівельної продукції – 16 місце (19 місце);</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у сфері фінансової самодостатністі – темп зростання доходів місцевих бюджетів – у січні – березні 2021 року склав 116,5% – 1 місце (у січні – грудні 2020 року – 102,7% – 24 місце);</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 xml:space="preserve">у сфері розвитоку інфраструктури показник “Темп зростання обсягу прийнятого в експлуатацію житла” зріс з 26,8% у січні – грудні 2020 року </w:t>
      </w:r>
      <w:r w:rsidR="00843E41" w:rsidRPr="001B5DE3">
        <w:rPr>
          <w:sz w:val="28"/>
          <w:szCs w:val="28"/>
          <w:lang w:val="uk-UA"/>
        </w:rPr>
        <w:br/>
      </w:r>
      <w:r w:rsidRPr="001B5DE3">
        <w:rPr>
          <w:sz w:val="28"/>
          <w:szCs w:val="28"/>
          <w:lang w:val="uk-UA"/>
        </w:rPr>
        <w:t>(24 місце) до 225,4% у січні</w:t>
      </w:r>
      <w:r w:rsidR="002C0DEC" w:rsidRPr="001B5DE3">
        <w:rPr>
          <w:sz w:val="28"/>
          <w:szCs w:val="28"/>
          <w:lang w:val="uk-UA"/>
        </w:rPr>
        <w:t xml:space="preserve"> </w:t>
      </w:r>
      <w:r w:rsidRPr="001B5DE3">
        <w:rPr>
          <w:sz w:val="28"/>
          <w:szCs w:val="28"/>
          <w:lang w:val="uk-UA"/>
        </w:rPr>
        <w:t>–</w:t>
      </w:r>
      <w:r w:rsidR="002C0DEC" w:rsidRPr="001B5DE3">
        <w:rPr>
          <w:sz w:val="28"/>
          <w:szCs w:val="28"/>
          <w:lang w:val="uk-UA"/>
        </w:rPr>
        <w:t xml:space="preserve"> </w:t>
      </w:r>
      <w:r w:rsidRPr="001B5DE3">
        <w:rPr>
          <w:sz w:val="28"/>
          <w:szCs w:val="28"/>
          <w:lang w:val="uk-UA"/>
        </w:rPr>
        <w:t>березні 2021 року (2 місце).</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 xml:space="preserve">Область стабільно займає </w:t>
      </w:r>
      <w:r w:rsidR="003A257A" w:rsidRPr="001B5DE3">
        <w:rPr>
          <w:sz w:val="28"/>
          <w:szCs w:val="28"/>
          <w:lang w:val="uk-UA"/>
        </w:rPr>
        <w:t>провідні</w:t>
      </w:r>
      <w:r w:rsidRPr="001B5DE3">
        <w:rPr>
          <w:sz w:val="28"/>
          <w:szCs w:val="28"/>
          <w:lang w:val="uk-UA"/>
        </w:rPr>
        <w:t xml:space="preserve"> позиції за показниками: “Обсяг реалізованої промислової продукції у розрахунку на одну особу населення” – </w:t>
      </w:r>
      <w:r w:rsidRPr="001B5DE3">
        <w:rPr>
          <w:sz w:val="28"/>
          <w:szCs w:val="28"/>
          <w:lang w:val="uk-UA"/>
        </w:rPr>
        <w:br/>
        <w:t xml:space="preserve">1 місце, “Обсяг капітальних інвестицій (крім інвестицій з державного бюджету) у розрахунку на одну особу населення” – 3 місце, “Обсяг експорту товарів у розрахунку на одну особу населення” – 2 місце. </w:t>
      </w:r>
    </w:p>
    <w:p w:rsidR="000B1FB1" w:rsidRPr="001B5DE3" w:rsidRDefault="000B1FB1" w:rsidP="000B1FB1">
      <w:pPr>
        <w:pStyle w:val="31"/>
        <w:spacing w:after="0" w:line="235" w:lineRule="auto"/>
        <w:ind w:left="0" w:firstLine="709"/>
        <w:jc w:val="both"/>
        <w:rPr>
          <w:sz w:val="28"/>
          <w:szCs w:val="28"/>
          <w:lang w:val="uk-UA"/>
        </w:rPr>
      </w:pPr>
      <w:r w:rsidRPr="001B5DE3">
        <w:rPr>
          <w:sz w:val="28"/>
          <w:szCs w:val="28"/>
          <w:lang w:val="uk-UA"/>
        </w:rPr>
        <w:t>Негативно на місце області вплинуло зниження індексу будівельної продукції (17 місце), індексу капітальних інвестицій (19 місце), зростання податкового боргу за грошовими зобо</w:t>
      </w:r>
      <w:r w:rsidR="002C0DEC" w:rsidRPr="001B5DE3">
        <w:rPr>
          <w:sz w:val="28"/>
          <w:szCs w:val="28"/>
          <w:lang w:val="uk-UA"/>
        </w:rPr>
        <w:t>в’</w:t>
      </w:r>
      <w:r w:rsidRPr="001B5DE3">
        <w:rPr>
          <w:sz w:val="28"/>
          <w:szCs w:val="28"/>
          <w:lang w:val="uk-UA"/>
        </w:rPr>
        <w:t>язаннями платників податків (23 місце).</w:t>
      </w:r>
    </w:p>
    <w:p w:rsidR="000B1FB1" w:rsidRPr="001B5DE3" w:rsidRDefault="000B1FB1" w:rsidP="000B1FB1">
      <w:pPr>
        <w:pStyle w:val="a7"/>
        <w:shd w:val="clear" w:color="auto" w:fill="FFFFFF"/>
        <w:spacing w:after="0" w:line="230" w:lineRule="auto"/>
        <w:ind w:firstLine="709"/>
        <w:jc w:val="both"/>
        <w:rPr>
          <w:sz w:val="28"/>
          <w:szCs w:val="28"/>
          <w:lang w:val="uk-UA"/>
        </w:rPr>
      </w:pPr>
    </w:p>
    <w:p w:rsidR="00CC3037" w:rsidRPr="001B5DE3" w:rsidRDefault="00CC3037" w:rsidP="0081229B">
      <w:pPr>
        <w:spacing w:after="0" w:line="23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Регуляторна політика та розвиток підприємництва</w:t>
      </w:r>
    </w:p>
    <w:p w:rsidR="00CC3037" w:rsidRPr="001B5DE3" w:rsidRDefault="00CC3037" w:rsidP="0081229B">
      <w:pPr>
        <w:spacing w:after="0" w:line="230" w:lineRule="auto"/>
        <w:rPr>
          <w:rFonts w:ascii="Times New Roman" w:hAnsi="Times New Roman" w:cs="Times New Roman"/>
          <w:sz w:val="28"/>
          <w:szCs w:val="28"/>
          <w:lang w:val="uk-UA"/>
        </w:rPr>
      </w:pPr>
    </w:p>
    <w:p w:rsidR="002400E1" w:rsidRPr="001B5DE3" w:rsidRDefault="002400E1" w:rsidP="001B5DE3">
      <w:pPr>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З метою посилення ролі бізнесу в процесах економ</w:t>
      </w:r>
      <w:r w:rsidR="002C0DEC" w:rsidRPr="001B5DE3">
        <w:rPr>
          <w:rFonts w:ascii="Times New Roman" w:eastAsia="Calibri" w:hAnsi="Times New Roman" w:cs="Times New Roman"/>
          <w:sz w:val="28"/>
          <w:szCs w:val="28"/>
          <w:lang w:val="uk-UA" w:eastAsia="en-US"/>
        </w:rPr>
        <w:t xml:space="preserve">ічного зростання в області діє </w:t>
      </w:r>
      <w:r w:rsidRPr="001B5DE3">
        <w:rPr>
          <w:rFonts w:ascii="Times New Roman" w:eastAsia="Calibri" w:hAnsi="Times New Roman" w:cs="Times New Roman"/>
          <w:sz w:val="28"/>
          <w:szCs w:val="28"/>
          <w:lang w:val="uk-UA" w:eastAsia="en-US"/>
        </w:rPr>
        <w:t>Програма розвитку малого та середнього підприємництва у Дніпропетровсь</w:t>
      </w:r>
      <w:r w:rsidR="002C0DEC" w:rsidRPr="001B5DE3">
        <w:rPr>
          <w:rFonts w:ascii="Times New Roman" w:eastAsia="Calibri" w:hAnsi="Times New Roman" w:cs="Times New Roman"/>
          <w:sz w:val="28"/>
          <w:szCs w:val="28"/>
          <w:lang w:val="uk-UA" w:eastAsia="en-US"/>
        </w:rPr>
        <w:t>кій області на 2021 – 2022 роки</w:t>
      </w:r>
      <w:r w:rsidRPr="001B5DE3">
        <w:rPr>
          <w:rFonts w:ascii="Times New Roman" w:eastAsia="Calibri" w:hAnsi="Times New Roman" w:cs="Times New Roman"/>
          <w:sz w:val="28"/>
          <w:szCs w:val="28"/>
          <w:lang w:val="uk-UA" w:eastAsia="en-US"/>
        </w:rPr>
        <w:t xml:space="preserve">, затверджена рішенням </w:t>
      </w:r>
      <w:r w:rsidR="00920C80" w:rsidRPr="001B5DE3">
        <w:rPr>
          <w:rFonts w:ascii="Times New Roman" w:eastAsia="Calibri" w:hAnsi="Times New Roman" w:cs="Times New Roman"/>
          <w:sz w:val="28"/>
          <w:szCs w:val="28"/>
          <w:lang w:val="uk-UA" w:eastAsia="en-US"/>
        </w:rPr>
        <w:t xml:space="preserve">Дніпропетровської </w:t>
      </w:r>
      <w:r w:rsidRPr="001B5DE3">
        <w:rPr>
          <w:rFonts w:ascii="Times New Roman" w:eastAsia="Calibri" w:hAnsi="Times New Roman" w:cs="Times New Roman"/>
          <w:sz w:val="28"/>
          <w:szCs w:val="28"/>
          <w:lang w:val="uk-UA" w:eastAsia="en-US"/>
        </w:rPr>
        <w:t>обласної ради від 26.02.2021 № 25-4/VIІІ</w:t>
      </w:r>
      <w:r w:rsidR="00D7493F" w:rsidRPr="001B5DE3">
        <w:rPr>
          <w:rFonts w:ascii="Times New Roman" w:eastAsia="Calibri" w:hAnsi="Times New Roman" w:cs="Times New Roman"/>
          <w:sz w:val="28"/>
          <w:szCs w:val="28"/>
          <w:lang w:val="uk-UA" w:eastAsia="en-US"/>
        </w:rPr>
        <w:t xml:space="preserve"> (далі </w:t>
      </w:r>
      <w:r w:rsidR="002C0DEC" w:rsidRPr="001B5DE3">
        <w:rPr>
          <w:rFonts w:ascii="Times New Roman" w:eastAsia="Calibri" w:hAnsi="Times New Roman" w:cs="Times New Roman"/>
          <w:sz w:val="28"/>
          <w:szCs w:val="28"/>
          <w:lang w:val="uk-UA" w:eastAsia="en-US"/>
        </w:rPr>
        <w:t xml:space="preserve">– </w:t>
      </w:r>
      <w:r w:rsidR="00D7493F" w:rsidRPr="001B5DE3">
        <w:rPr>
          <w:rFonts w:ascii="Times New Roman" w:eastAsia="Calibri" w:hAnsi="Times New Roman" w:cs="Times New Roman"/>
          <w:sz w:val="28"/>
          <w:szCs w:val="28"/>
          <w:lang w:val="uk-UA" w:eastAsia="en-US"/>
        </w:rPr>
        <w:t>Програма)</w:t>
      </w:r>
      <w:r w:rsidRPr="001B5DE3">
        <w:rPr>
          <w:rFonts w:ascii="Times New Roman" w:eastAsia="Calibri" w:hAnsi="Times New Roman" w:cs="Times New Roman"/>
          <w:sz w:val="28"/>
          <w:szCs w:val="28"/>
          <w:lang w:val="uk-UA" w:eastAsia="en-US"/>
        </w:rPr>
        <w:t>.</w:t>
      </w:r>
    </w:p>
    <w:p w:rsidR="002400E1" w:rsidRPr="001B5DE3" w:rsidRDefault="002C0DEC"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Calibri" w:hAnsi="Times New Roman" w:cs="Times New Roman"/>
          <w:sz w:val="28"/>
          <w:szCs w:val="28"/>
          <w:lang w:val="uk-UA" w:eastAsia="en-US"/>
        </w:rPr>
        <w:t>У</w:t>
      </w:r>
      <w:r w:rsidR="002400E1" w:rsidRPr="001B5DE3">
        <w:rPr>
          <w:rFonts w:ascii="Times New Roman" w:eastAsia="Calibri" w:hAnsi="Times New Roman" w:cs="Times New Roman"/>
          <w:sz w:val="28"/>
          <w:szCs w:val="28"/>
          <w:lang w:val="uk-UA" w:eastAsia="en-US"/>
        </w:rPr>
        <w:t xml:space="preserve"> рамках виконання </w:t>
      </w:r>
      <w:r w:rsidRPr="001B5DE3">
        <w:rPr>
          <w:rFonts w:ascii="Times New Roman" w:eastAsia="Calibri" w:hAnsi="Times New Roman" w:cs="Times New Roman"/>
          <w:sz w:val="28"/>
          <w:szCs w:val="28"/>
          <w:lang w:val="uk-UA" w:eastAsia="en-US"/>
        </w:rPr>
        <w:t>П</w:t>
      </w:r>
      <w:r w:rsidR="002400E1" w:rsidRPr="001B5DE3">
        <w:rPr>
          <w:rFonts w:ascii="Times New Roman" w:eastAsia="Calibri" w:hAnsi="Times New Roman" w:cs="Times New Roman"/>
          <w:sz w:val="28"/>
          <w:szCs w:val="28"/>
          <w:lang w:val="uk-UA" w:eastAsia="en-US"/>
        </w:rPr>
        <w:t>рограми продовж</w:t>
      </w:r>
      <w:r w:rsidRPr="001B5DE3">
        <w:rPr>
          <w:rFonts w:ascii="Times New Roman" w:eastAsia="Calibri" w:hAnsi="Times New Roman" w:cs="Times New Roman"/>
          <w:sz w:val="28"/>
          <w:szCs w:val="28"/>
          <w:lang w:val="uk-UA" w:eastAsia="en-US"/>
        </w:rPr>
        <w:t>ує функціонувати телеграм-канал</w:t>
      </w:r>
      <w:r w:rsidR="002400E1" w:rsidRPr="001B5DE3">
        <w:rPr>
          <w:rFonts w:ascii="Times New Roman" w:eastAsia="Calibri" w:hAnsi="Times New Roman" w:cs="Times New Roman"/>
          <w:sz w:val="28"/>
          <w:szCs w:val="28"/>
          <w:lang w:val="uk-UA" w:eastAsia="en-US"/>
        </w:rPr>
        <w:t xml:space="preserve"> “Онлайн консультації для стартапів та бізнесу”, на якому постійно надається консультаційна підтримка та публікується актуальна інформація для підприємців про оновлення законодавства в галузі ведення власної справи</w:t>
      </w:r>
      <w:r w:rsidR="002400E1" w:rsidRPr="001B5DE3">
        <w:rPr>
          <w:rFonts w:ascii="Times New Roman" w:eastAsia="Times New Roman" w:hAnsi="Times New Roman" w:cs="Times New Roman"/>
          <w:sz w:val="28"/>
          <w:szCs w:val="28"/>
          <w:lang w:val="uk-UA"/>
        </w:rPr>
        <w:t>.</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З метою плідної співпраці, налагодження конструктивного діалогу між владою та підприємцями області, в </w:t>
      </w:r>
      <w:r w:rsidR="001C629B" w:rsidRPr="001B5DE3">
        <w:rPr>
          <w:rFonts w:ascii="Times New Roman" w:eastAsia="Times New Roman" w:hAnsi="Times New Roman" w:cs="Times New Roman"/>
          <w:sz w:val="28"/>
          <w:szCs w:val="28"/>
          <w:lang w:val="uk-UA"/>
        </w:rPr>
        <w:t>умовах дії карантину</w:t>
      </w:r>
      <w:r w:rsidR="00BE0B13" w:rsidRPr="001B5DE3">
        <w:rPr>
          <w:rFonts w:ascii="Times New Roman" w:eastAsia="Times New Roman" w:hAnsi="Times New Roman" w:cs="Times New Roman"/>
          <w:sz w:val="28"/>
          <w:szCs w:val="28"/>
          <w:lang w:val="uk-UA"/>
        </w:rPr>
        <w:t xml:space="preserve"> створена </w:t>
      </w:r>
      <w:r w:rsidR="009F7076" w:rsidRPr="001B5DE3">
        <w:rPr>
          <w:rFonts w:ascii="Times New Roman" w:eastAsia="Times New Roman" w:hAnsi="Times New Roman" w:cs="Times New Roman"/>
          <w:sz w:val="28"/>
          <w:szCs w:val="28"/>
          <w:lang w:val="uk-UA"/>
        </w:rPr>
        <w:t>р</w:t>
      </w:r>
      <w:r w:rsidRPr="001B5DE3">
        <w:rPr>
          <w:rFonts w:ascii="Times New Roman" w:eastAsia="Times New Roman" w:hAnsi="Times New Roman" w:cs="Times New Roman"/>
          <w:sz w:val="28"/>
          <w:szCs w:val="28"/>
          <w:lang w:val="uk-UA"/>
        </w:rPr>
        <w:t>обоча група щодо вирішення проблемних питань діяльності фізичних осіб – підприєм</w:t>
      </w:r>
      <w:r w:rsidR="00BE0B13" w:rsidRPr="001B5DE3">
        <w:rPr>
          <w:rFonts w:ascii="Times New Roman" w:eastAsia="Times New Roman" w:hAnsi="Times New Roman" w:cs="Times New Roman"/>
          <w:sz w:val="28"/>
          <w:szCs w:val="28"/>
          <w:lang w:val="uk-UA"/>
        </w:rPr>
        <w:t>ців у Дніпропетровській області</w:t>
      </w:r>
      <w:r w:rsidRPr="001B5DE3">
        <w:rPr>
          <w:rFonts w:ascii="Times New Roman" w:eastAsia="Times New Roman" w:hAnsi="Times New Roman" w:cs="Times New Roman"/>
          <w:sz w:val="28"/>
          <w:szCs w:val="28"/>
          <w:lang w:val="uk-UA"/>
        </w:rPr>
        <w:t xml:space="preserve"> (далі – Робоча група). </w:t>
      </w:r>
      <w:r w:rsidR="009F7076" w:rsidRPr="001B5DE3">
        <w:rPr>
          <w:rFonts w:ascii="Times New Roman" w:eastAsia="Times New Roman" w:hAnsi="Times New Roman" w:cs="Times New Roman"/>
          <w:sz w:val="28"/>
          <w:szCs w:val="28"/>
          <w:lang w:val="uk-UA"/>
        </w:rPr>
        <w:t>Уп</w:t>
      </w:r>
      <w:r w:rsidRPr="001B5DE3">
        <w:rPr>
          <w:rFonts w:ascii="Times New Roman" w:eastAsia="Times New Roman" w:hAnsi="Times New Roman" w:cs="Times New Roman"/>
          <w:sz w:val="28"/>
          <w:szCs w:val="28"/>
          <w:lang w:val="uk-UA"/>
        </w:rPr>
        <w:t>родовж звітного періоду проведено 4 засідання Робочої групи. За результатами засідань до Офісу Президента України направлено пропозиції щодо внесення змін до законодавства України, спрямованих на вирішення проблемних питань діяльності малого та мікробізнесу.</w:t>
      </w:r>
    </w:p>
    <w:p w:rsidR="002400E1" w:rsidRPr="001B5DE3" w:rsidRDefault="002400E1" w:rsidP="001B5DE3">
      <w:pPr>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Проведено велику інформаційну к</w:t>
      </w:r>
      <w:r w:rsidR="009F7076" w:rsidRPr="001B5DE3">
        <w:rPr>
          <w:rFonts w:ascii="Times New Roman" w:eastAsia="Calibri" w:hAnsi="Times New Roman" w:cs="Times New Roman"/>
          <w:sz w:val="28"/>
          <w:szCs w:val="28"/>
          <w:lang w:val="uk-UA" w:eastAsia="en-US"/>
        </w:rPr>
        <w:t>а</w:t>
      </w:r>
      <w:r w:rsidRPr="001B5DE3">
        <w:rPr>
          <w:rFonts w:ascii="Times New Roman" w:eastAsia="Calibri" w:hAnsi="Times New Roman" w:cs="Times New Roman"/>
          <w:sz w:val="28"/>
          <w:szCs w:val="28"/>
          <w:lang w:val="uk-UA" w:eastAsia="en-US"/>
        </w:rPr>
        <w:t xml:space="preserve">мпанію щодо інформування населення регіону, що зайняте в секторі малого та середнього підприємництва, про наявні можливості Національної онлайн-платформи для підприємців </w:t>
      </w:r>
      <w:r w:rsidR="009F7076"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Дія.Бізнес</w:t>
      </w:r>
      <w:r w:rsidR="009F7076"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де громадяни мають можливість безкоштовно отримувати онлайн-консультації, навчатися та використовувати інші можливості для розвитку бізнесу.</w:t>
      </w:r>
    </w:p>
    <w:p w:rsidR="002400E1" w:rsidRPr="001B5DE3" w:rsidRDefault="00D738B8" w:rsidP="001B5DE3">
      <w:pPr>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lastRenderedPageBreak/>
        <w:t>У</w:t>
      </w:r>
      <w:r w:rsidR="002400E1" w:rsidRPr="001B5DE3">
        <w:rPr>
          <w:rFonts w:ascii="Times New Roman" w:eastAsia="Times New Roman" w:hAnsi="Times New Roman" w:cs="Times New Roman"/>
          <w:sz w:val="28"/>
          <w:szCs w:val="28"/>
          <w:lang w:val="uk-UA"/>
        </w:rPr>
        <w:t xml:space="preserve"> рамках Програми проводиться низка заходів для спрощення ведення підприємницької діяльності, значна увага приділяється заходам, спрямованим на підвищення рівня економічних знань, необхідних для впровадження та ведення підприємницької діяльності. </w:t>
      </w:r>
    </w:p>
    <w:p w:rsidR="002400E1" w:rsidRPr="001B5DE3" w:rsidRDefault="002400E1" w:rsidP="001B5DE3">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12 січня 2021 року разом з </w:t>
      </w:r>
      <w:r w:rsidR="00BB783C" w:rsidRPr="001B5DE3">
        <w:rPr>
          <w:rFonts w:ascii="Times New Roman" w:eastAsia="Calibri" w:hAnsi="Times New Roman" w:cs="Times New Roman"/>
          <w:sz w:val="28"/>
          <w:szCs w:val="28"/>
          <w:lang w:val="uk-UA" w:eastAsia="en-US"/>
        </w:rPr>
        <w:t>Г</w:t>
      </w:r>
      <w:r w:rsidRPr="001B5DE3">
        <w:rPr>
          <w:rFonts w:ascii="Times New Roman" w:eastAsia="Calibri" w:hAnsi="Times New Roman" w:cs="Times New Roman"/>
          <w:sz w:val="28"/>
          <w:szCs w:val="28"/>
          <w:lang w:val="uk-UA" w:eastAsia="en-US"/>
        </w:rPr>
        <w:t xml:space="preserve">ромадською спілкою “Спілка Українських підприємців” </w:t>
      </w:r>
      <w:r w:rsidR="00F25815" w:rsidRPr="001B5DE3">
        <w:rPr>
          <w:rFonts w:ascii="Times New Roman" w:eastAsia="Calibri" w:hAnsi="Times New Roman" w:cs="Times New Roman"/>
          <w:sz w:val="28"/>
          <w:szCs w:val="28"/>
          <w:lang w:val="uk-UA" w:eastAsia="en-US"/>
        </w:rPr>
        <w:t>у</w:t>
      </w:r>
      <w:r w:rsidRPr="001B5DE3">
        <w:rPr>
          <w:rFonts w:ascii="Times New Roman" w:eastAsia="Calibri" w:hAnsi="Times New Roman" w:cs="Times New Roman"/>
          <w:sz w:val="28"/>
          <w:szCs w:val="28"/>
          <w:lang w:val="uk-UA" w:eastAsia="en-US"/>
        </w:rPr>
        <w:t xml:space="preserve"> рамках проєкту “Школа лобізму” організовано та проведено навчальний семінар для представників влади та бізнесу. </w:t>
      </w:r>
      <w:r w:rsidR="00F25815" w:rsidRPr="001B5DE3">
        <w:rPr>
          <w:rFonts w:ascii="Times New Roman" w:eastAsia="Calibri" w:hAnsi="Times New Roman" w:cs="Times New Roman"/>
          <w:sz w:val="28"/>
          <w:szCs w:val="28"/>
          <w:lang w:val="uk-UA" w:eastAsia="en-US"/>
        </w:rPr>
        <w:t>Т</w:t>
      </w:r>
      <w:r w:rsidRPr="001B5DE3">
        <w:rPr>
          <w:rFonts w:ascii="Times New Roman" w:eastAsia="Calibri" w:hAnsi="Times New Roman" w:cs="Times New Roman"/>
          <w:sz w:val="28"/>
          <w:szCs w:val="28"/>
          <w:lang w:val="uk-UA" w:eastAsia="en-US"/>
        </w:rPr>
        <w:t>е</w:t>
      </w:r>
      <w:r w:rsidR="00F25815" w:rsidRPr="001B5DE3">
        <w:rPr>
          <w:rFonts w:ascii="Times New Roman" w:eastAsia="Calibri" w:hAnsi="Times New Roman" w:cs="Times New Roman"/>
          <w:sz w:val="28"/>
          <w:szCs w:val="28"/>
          <w:lang w:val="uk-UA" w:eastAsia="en-US"/>
        </w:rPr>
        <w:t>м</w:t>
      </w:r>
      <w:r w:rsidRPr="001B5DE3">
        <w:rPr>
          <w:rFonts w:ascii="Times New Roman" w:eastAsia="Calibri" w:hAnsi="Times New Roman" w:cs="Times New Roman"/>
          <w:sz w:val="28"/>
          <w:szCs w:val="28"/>
          <w:lang w:val="uk-UA" w:eastAsia="en-US"/>
        </w:rPr>
        <w:t>а навчального семінару</w:t>
      </w:r>
      <w:r w:rsidR="00F25815"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як може допомогти бізнес владі, а влада – бізнесу розвиватися та створювати кращі умови для розвитку регіону.</w:t>
      </w:r>
    </w:p>
    <w:p w:rsidR="002400E1" w:rsidRPr="001B5DE3" w:rsidRDefault="002400E1" w:rsidP="001B5DE3">
      <w:pPr>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28 січня проведено маркетингову онлайн-конференцію “Trendsdigitalmarketing”, на якій підприємці дізналися про ефективні методи просування та тренди в In</w:t>
      </w:r>
      <w:r w:rsidR="00F25815" w:rsidRPr="001B5DE3">
        <w:rPr>
          <w:rFonts w:ascii="Times New Roman" w:eastAsia="Times New Roman" w:hAnsi="Times New Roman" w:cs="Times New Roman"/>
          <w:sz w:val="28"/>
          <w:szCs w:val="28"/>
          <w:lang w:val="uk-UA"/>
        </w:rPr>
        <w:t>stagram, Facebook і Tiktok, SMM-</w:t>
      </w:r>
      <w:r w:rsidRPr="001B5DE3">
        <w:rPr>
          <w:rFonts w:ascii="Times New Roman" w:eastAsia="Times New Roman" w:hAnsi="Times New Roman" w:cs="Times New Roman"/>
          <w:sz w:val="28"/>
          <w:szCs w:val="28"/>
          <w:lang w:val="uk-UA"/>
        </w:rPr>
        <w:t>контент для бізнесу, e-mailmarketing та SEO-стратегії.</w:t>
      </w:r>
    </w:p>
    <w:p w:rsidR="002400E1" w:rsidRPr="001B5DE3" w:rsidRDefault="002400E1" w:rsidP="001B5DE3">
      <w:pPr>
        <w:tabs>
          <w:tab w:val="left" w:pos="1152"/>
        </w:tabs>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З метою досягнення позитивних результатів у забезпеченні рівних прав та можливостей жінок і чоловіків проведено круглий стіл “У пандемії </w:t>
      </w:r>
      <w:r w:rsidR="00B33FAD"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lang w:val="uk-UA"/>
        </w:rPr>
        <w:t xml:space="preserve"> жіноче обличчя”, </w:t>
      </w:r>
      <w:r w:rsidR="00B33FAD" w:rsidRPr="001B5DE3">
        <w:rPr>
          <w:rFonts w:ascii="Times New Roman" w:eastAsia="Times New Roman" w:hAnsi="Times New Roman" w:cs="Times New Roman"/>
          <w:sz w:val="28"/>
          <w:szCs w:val="28"/>
          <w:lang w:val="uk-UA"/>
        </w:rPr>
        <w:t>під час якого</w:t>
      </w:r>
      <w:r w:rsidRPr="001B5DE3">
        <w:rPr>
          <w:rFonts w:ascii="Times New Roman" w:eastAsia="Times New Roman" w:hAnsi="Times New Roman" w:cs="Times New Roman"/>
          <w:sz w:val="28"/>
          <w:szCs w:val="28"/>
          <w:lang w:val="uk-UA"/>
        </w:rPr>
        <w:t xml:space="preserve"> розглядалися актуальні питання щодо отримання безоплатної вторинної правової допомоги, програм підтримки соціального підприємниц</w:t>
      </w:r>
      <w:r w:rsidR="00B33FAD" w:rsidRPr="001B5DE3">
        <w:rPr>
          <w:rFonts w:ascii="Times New Roman" w:eastAsia="Times New Roman" w:hAnsi="Times New Roman" w:cs="Times New Roman"/>
          <w:sz w:val="28"/>
          <w:szCs w:val="28"/>
          <w:lang w:val="uk-UA"/>
        </w:rPr>
        <w:t>тва та було презентовано напрям</w:t>
      </w:r>
      <w:r w:rsidRPr="001B5DE3">
        <w:rPr>
          <w:rFonts w:ascii="Times New Roman" w:eastAsia="Times New Roman" w:hAnsi="Times New Roman" w:cs="Times New Roman"/>
          <w:sz w:val="28"/>
          <w:szCs w:val="28"/>
          <w:lang w:val="uk-UA"/>
        </w:rPr>
        <w:t>и роботи жіночих громадських організацій.</w:t>
      </w:r>
    </w:p>
    <w:p w:rsidR="002400E1" w:rsidRPr="001B5DE3" w:rsidRDefault="00F23A15" w:rsidP="001B5DE3">
      <w:pPr>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У</w:t>
      </w:r>
      <w:r w:rsidR="002400E1" w:rsidRPr="001B5DE3">
        <w:rPr>
          <w:rFonts w:ascii="Times New Roman" w:eastAsia="Times New Roman" w:hAnsi="Times New Roman" w:cs="Times New Roman"/>
          <w:sz w:val="28"/>
          <w:szCs w:val="28"/>
          <w:lang w:val="uk-UA"/>
        </w:rPr>
        <w:t xml:space="preserve"> рамках міжнародного проєкту </w:t>
      </w:r>
      <w:r w:rsidRPr="001B5DE3">
        <w:rPr>
          <w:rFonts w:ascii="Times New Roman" w:eastAsia="Times New Roman" w:hAnsi="Times New Roman" w:cs="Times New Roman"/>
          <w:sz w:val="28"/>
          <w:szCs w:val="28"/>
          <w:lang w:val="uk-UA"/>
        </w:rPr>
        <w:t>“</w:t>
      </w:r>
      <w:r w:rsidR="002400E1" w:rsidRPr="001B5DE3">
        <w:rPr>
          <w:rFonts w:ascii="Times New Roman" w:eastAsia="Times New Roman" w:hAnsi="Times New Roman" w:cs="Times New Roman"/>
          <w:sz w:val="28"/>
          <w:szCs w:val="28"/>
          <w:lang w:val="uk-UA"/>
        </w:rPr>
        <w:t>GIZ</w:t>
      </w:r>
      <w:r w:rsidRPr="001B5DE3">
        <w:rPr>
          <w:rFonts w:ascii="Times New Roman" w:eastAsia="Times New Roman" w:hAnsi="Times New Roman" w:cs="Times New Roman"/>
          <w:sz w:val="28"/>
          <w:szCs w:val="28"/>
          <w:lang w:val="uk-UA"/>
        </w:rPr>
        <w:t>”</w:t>
      </w:r>
      <w:r w:rsidR="002400E1" w:rsidRPr="001B5DE3">
        <w:rPr>
          <w:rFonts w:ascii="Times New Roman" w:eastAsia="Times New Roman" w:hAnsi="Times New Roman" w:cs="Times New Roman"/>
          <w:sz w:val="28"/>
          <w:szCs w:val="28"/>
          <w:lang w:val="uk-UA"/>
        </w:rPr>
        <w:t xml:space="preserve"> за підтримки ЄС та Уряду Німеччини у лютому на базі Дніпропетровської торгово-промислової палати впроваджено нову програму підтримки бізнесу “COVID-19 Бізнес-клініка </w:t>
      </w:r>
      <w:r w:rsidR="001C7CF6" w:rsidRPr="001B5DE3">
        <w:rPr>
          <w:rFonts w:ascii="Times New Roman" w:eastAsia="Times New Roman" w:hAnsi="Times New Roman" w:cs="Times New Roman"/>
          <w:sz w:val="28"/>
          <w:szCs w:val="28"/>
          <w:lang w:val="uk-UA"/>
        </w:rPr>
        <w:br/>
      </w:r>
      <w:r w:rsidR="002400E1" w:rsidRPr="001B5DE3">
        <w:rPr>
          <w:rFonts w:ascii="Times New Roman" w:eastAsia="Times New Roman" w:hAnsi="Times New Roman" w:cs="Times New Roman"/>
          <w:sz w:val="28"/>
          <w:szCs w:val="28"/>
          <w:lang w:val="uk-UA"/>
        </w:rPr>
        <w:t>м. Дніпро”. Її діяльність спрямована на консультаційну та інформаційну підтримку підприємництва з секторів машинобудування, електротехнічної та хімічної промисловості, HoReCa, постачальників для індустрії гостинності.</w:t>
      </w:r>
    </w:p>
    <w:p w:rsidR="002400E1" w:rsidRPr="001B5DE3" w:rsidRDefault="002400E1" w:rsidP="001B5DE3">
      <w:pPr>
        <w:tabs>
          <w:tab w:val="left" w:pos="1152"/>
        </w:tabs>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У березні проведено онлайн-конференцію “Big SMM CONF I’m SMM”</w:t>
      </w:r>
      <w:r w:rsidR="00F23A15"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lang w:val="uk-UA"/>
        </w:rPr>
        <w:t xml:space="preserve"> присвячену ефективному просуванню товарів і послуг в соціальних мережах, знайомству з новими стратегіями просування та масштабування бізнесу.</w:t>
      </w:r>
    </w:p>
    <w:p w:rsidR="002400E1" w:rsidRPr="001B5DE3" w:rsidRDefault="002400E1" w:rsidP="001B5DE3">
      <w:pPr>
        <w:tabs>
          <w:tab w:val="left" w:pos="0"/>
        </w:tabs>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Протягом звітного періоду проведено п’ять </w:t>
      </w:r>
      <w:r w:rsidRPr="001B5DE3">
        <w:rPr>
          <w:rFonts w:ascii="Times New Roman" w:eastAsia="Calibri" w:hAnsi="Times New Roman" w:cs="Times New Roman"/>
          <w:sz w:val="28"/>
          <w:szCs w:val="28"/>
          <w:lang w:val="uk-UA"/>
        </w:rPr>
        <w:t xml:space="preserve">засідань </w:t>
      </w:r>
      <w:r w:rsidRPr="001B5DE3">
        <w:rPr>
          <w:rFonts w:ascii="Times New Roman" w:eastAsia="Times New Roman" w:hAnsi="Times New Roman" w:cs="Times New Roman"/>
          <w:sz w:val="28"/>
          <w:szCs w:val="28"/>
          <w:lang w:val="uk-UA"/>
        </w:rPr>
        <w:t xml:space="preserve">Регіональної ради підприємців у Дніпропетровській області (далі – Регіональна рада).  </w:t>
      </w:r>
    </w:p>
    <w:p w:rsidR="002400E1" w:rsidRPr="001B5DE3" w:rsidRDefault="002400E1" w:rsidP="001B5DE3">
      <w:pPr>
        <w:tabs>
          <w:tab w:val="left" w:pos="0"/>
        </w:tabs>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Одним </w:t>
      </w:r>
      <w:r w:rsidR="00473233" w:rsidRPr="001B5DE3">
        <w:rPr>
          <w:rFonts w:ascii="Times New Roman" w:eastAsia="Times New Roman" w:hAnsi="Times New Roman" w:cs="Times New Roman"/>
          <w:sz w:val="28"/>
          <w:szCs w:val="28"/>
          <w:lang w:val="uk-UA"/>
        </w:rPr>
        <w:t>і</w:t>
      </w:r>
      <w:r w:rsidRPr="001B5DE3">
        <w:rPr>
          <w:rFonts w:ascii="Times New Roman" w:eastAsia="Times New Roman" w:hAnsi="Times New Roman" w:cs="Times New Roman"/>
          <w:sz w:val="28"/>
          <w:szCs w:val="28"/>
          <w:lang w:val="uk-UA"/>
        </w:rPr>
        <w:t xml:space="preserve">з важливих напрямів </w:t>
      </w:r>
      <w:r w:rsidR="00473233" w:rsidRPr="001B5DE3">
        <w:rPr>
          <w:rFonts w:ascii="Times New Roman" w:eastAsia="Times New Roman" w:hAnsi="Times New Roman" w:cs="Times New Roman"/>
          <w:sz w:val="28"/>
          <w:szCs w:val="28"/>
          <w:lang w:val="uk-UA"/>
        </w:rPr>
        <w:t>для</w:t>
      </w:r>
      <w:r w:rsidRPr="001B5DE3">
        <w:rPr>
          <w:rFonts w:ascii="Times New Roman" w:eastAsia="Times New Roman" w:hAnsi="Times New Roman" w:cs="Times New Roman"/>
          <w:sz w:val="28"/>
          <w:szCs w:val="28"/>
          <w:lang w:val="uk-UA"/>
        </w:rPr>
        <w:t xml:space="preserve"> облдержадміністрації є підтримка розвитку соціального підприємництва в регіоні. Практика показує, що підприємці беруть на себе відповідальність разом з державою вирішувати соціальні проблеми суспільства. Для цього вони застосовують бізнесові інструменти, які більш гнучкі, спрямовані на споживчий попит, враховують економічні виклики, карантинні обмеження та інше. </w:t>
      </w:r>
    </w:p>
    <w:p w:rsidR="002400E1" w:rsidRPr="001B5DE3" w:rsidRDefault="002400E1" w:rsidP="001B5DE3">
      <w:pPr>
        <w:tabs>
          <w:tab w:val="left" w:pos="0"/>
        </w:tabs>
        <w:spacing w:after="0" w:line="235"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Саме з метою концентрації у</w:t>
      </w:r>
      <w:r w:rsidR="00473233" w:rsidRPr="001B5DE3">
        <w:rPr>
          <w:rFonts w:ascii="Times New Roman" w:eastAsia="Times New Roman" w:hAnsi="Times New Roman" w:cs="Times New Roman"/>
          <w:sz w:val="28"/>
          <w:szCs w:val="28"/>
          <w:lang w:val="uk-UA"/>
        </w:rPr>
        <w:t>ваги на цьому питанні проведено</w:t>
      </w:r>
      <w:r w:rsidRPr="001B5DE3">
        <w:rPr>
          <w:rFonts w:ascii="Times New Roman" w:eastAsia="Times New Roman" w:hAnsi="Times New Roman" w:cs="Times New Roman"/>
          <w:sz w:val="28"/>
          <w:szCs w:val="28"/>
          <w:lang w:val="uk-UA"/>
        </w:rPr>
        <w:t xml:space="preserve"> 19 квітня та </w:t>
      </w:r>
      <w:r w:rsidR="00473233" w:rsidRPr="001B5DE3">
        <w:rPr>
          <w:rFonts w:ascii="Times New Roman" w:eastAsia="Times New Roman" w:hAnsi="Times New Roman" w:cs="Times New Roman"/>
          <w:sz w:val="28"/>
          <w:szCs w:val="28"/>
          <w:lang w:val="uk-UA"/>
        </w:rPr>
        <w:t>0</w:t>
      </w:r>
      <w:r w:rsidRPr="001B5DE3">
        <w:rPr>
          <w:rFonts w:ascii="Times New Roman" w:eastAsia="Times New Roman" w:hAnsi="Times New Roman" w:cs="Times New Roman"/>
          <w:sz w:val="28"/>
          <w:szCs w:val="28"/>
          <w:lang w:val="uk-UA"/>
        </w:rPr>
        <w:t>7 травня</w:t>
      </w:r>
      <w:r w:rsidRPr="001B5DE3">
        <w:rPr>
          <w:rFonts w:ascii="Times New Roman" w:eastAsia="Calibri" w:hAnsi="Times New Roman" w:cs="Times New Roman"/>
          <w:sz w:val="28"/>
          <w:szCs w:val="28"/>
          <w:lang w:val="uk-UA"/>
        </w:rPr>
        <w:t xml:space="preserve"> засідання жіночого комітету Регіональної ради на тему: “Спрямуємо бізнес на підтримку соціальних проєктів”; </w:t>
      </w:r>
      <w:r w:rsidRPr="001B5DE3">
        <w:rPr>
          <w:rFonts w:ascii="Times New Roman" w:eastAsia="Times New Roman" w:hAnsi="Times New Roman" w:cs="Times New Roman"/>
          <w:sz w:val="28"/>
          <w:szCs w:val="28"/>
          <w:lang w:val="uk-UA"/>
        </w:rPr>
        <w:t>26 травня виїзне засідання Регіональної ради на ТОВ “BiopharmaPlasma Дніпро”. За результатами вищезазначених засідань було проведено круглий стіл на тему: “Партнерство влади та бізнесу в соціальних проєктах”.</w:t>
      </w:r>
    </w:p>
    <w:p w:rsidR="002400E1" w:rsidRPr="001B5DE3" w:rsidRDefault="002400E1" w:rsidP="001B5DE3">
      <w:pPr>
        <w:tabs>
          <w:tab w:val="left" w:pos="284"/>
        </w:tabs>
        <w:spacing w:after="0" w:line="235"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17 червня відбулося виїзне засідання Регіональної ради в м. Нікополь.</w:t>
      </w:r>
      <w:r w:rsidRPr="001B5DE3">
        <w:rPr>
          <w:rFonts w:ascii="Times New Roman" w:eastAsia="Times New Roman" w:hAnsi="Times New Roman" w:cs="Times New Roman"/>
          <w:sz w:val="28"/>
          <w:szCs w:val="28"/>
          <w:lang w:val="uk-UA"/>
        </w:rPr>
        <w:br/>
        <w:t>На засіданні було</w:t>
      </w:r>
      <w:r w:rsidR="001F181D" w:rsidRPr="001B5DE3">
        <w:rPr>
          <w:rFonts w:ascii="Times New Roman" w:eastAsia="Times New Roman" w:hAnsi="Times New Roman" w:cs="Times New Roman"/>
          <w:sz w:val="28"/>
          <w:szCs w:val="28"/>
          <w:lang w:val="uk-UA"/>
        </w:rPr>
        <w:t xml:space="preserve"> обговорено перспективні напрям</w:t>
      </w:r>
      <w:r w:rsidRPr="001B5DE3">
        <w:rPr>
          <w:rFonts w:ascii="Times New Roman" w:eastAsia="Times New Roman" w:hAnsi="Times New Roman" w:cs="Times New Roman"/>
          <w:sz w:val="28"/>
          <w:szCs w:val="28"/>
          <w:lang w:val="uk-UA"/>
        </w:rPr>
        <w:t>и, нові можливості та ресурси для розвитку бізнесу, в тому числі можливості використання інтернет мережі.</w:t>
      </w:r>
    </w:p>
    <w:p w:rsidR="002400E1" w:rsidRPr="001B5DE3" w:rsidRDefault="002400E1" w:rsidP="001B5DE3">
      <w:pPr>
        <w:tabs>
          <w:tab w:val="left" w:pos="1152"/>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lastRenderedPageBreak/>
        <w:t>У травні проведено цикл онлайн-тренінгів для бізнесу та стартапів</w:t>
      </w:r>
      <w:r w:rsidR="001F181D" w:rsidRPr="001B5DE3">
        <w:rPr>
          <w:rFonts w:ascii="Times New Roman" w:eastAsia="Times New Roman" w:hAnsi="Times New Roman" w:cs="Times New Roman"/>
          <w:sz w:val="28"/>
          <w:szCs w:val="28"/>
          <w:lang w:val="uk-UA"/>
        </w:rPr>
        <w:t xml:space="preserve"> з метою</w:t>
      </w:r>
      <w:r w:rsidRPr="001B5DE3">
        <w:rPr>
          <w:rFonts w:ascii="Times New Roman" w:eastAsia="Times New Roman" w:hAnsi="Times New Roman" w:cs="Times New Roman"/>
          <w:sz w:val="28"/>
          <w:szCs w:val="28"/>
          <w:lang w:val="uk-UA"/>
        </w:rPr>
        <w:t>:</w:t>
      </w:r>
    </w:p>
    <w:p w:rsidR="002400E1" w:rsidRPr="001B5DE3" w:rsidRDefault="002400E1" w:rsidP="001B5DE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надання знань з підготовки проєктних заявок для участі у грантових конкурсах про</w:t>
      </w:r>
      <w:r w:rsidR="00ED2D35" w:rsidRPr="001B5DE3">
        <w:rPr>
          <w:rFonts w:ascii="Times New Roman" w:eastAsia="Times New Roman" w:hAnsi="Times New Roman" w:cs="Times New Roman"/>
          <w:sz w:val="28"/>
          <w:szCs w:val="28"/>
          <w:lang w:val="uk-UA"/>
        </w:rPr>
        <w:t xml:space="preserve">ведено онлайн-тренінг на тему: </w:t>
      </w:r>
      <w:r w:rsidRPr="001B5DE3">
        <w:rPr>
          <w:rFonts w:ascii="Times New Roman" w:eastAsia="Times New Roman" w:hAnsi="Times New Roman" w:cs="Times New Roman"/>
          <w:sz w:val="28"/>
          <w:szCs w:val="28"/>
          <w:lang w:val="uk-UA"/>
        </w:rPr>
        <w:t>“Грантові конкурси для малого та середнього бізнесу.</w:t>
      </w:r>
      <w:r w:rsidR="00ED2D35"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lang w:val="uk-UA"/>
        </w:rPr>
        <w:t>Нюанси під</w:t>
      </w:r>
      <w:r w:rsidR="00ED2D35" w:rsidRPr="001B5DE3">
        <w:rPr>
          <w:rFonts w:ascii="Times New Roman" w:eastAsia="Times New Roman" w:hAnsi="Times New Roman" w:cs="Times New Roman"/>
          <w:sz w:val="28"/>
          <w:szCs w:val="28"/>
          <w:lang w:val="uk-UA"/>
        </w:rPr>
        <w:t>готовки та реалізації проєктів”:</w:t>
      </w:r>
    </w:p>
    <w:p w:rsidR="002400E1" w:rsidRPr="001B5DE3" w:rsidRDefault="002400E1" w:rsidP="001B5DE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надання практичних навичок роботи у Європейській Мережі Підприємств (EnterpriseEuropeNetwork – EEN) для диверсифікації експортних поставок підприємств області проведено онлайн-тренінг на тему</w:t>
      </w:r>
      <w:r w:rsidR="00980165"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lang w:val="uk-UA"/>
        </w:rPr>
        <w:t xml:space="preserve"> “Сучасний інструментарій малого та середнього бізнесу для успішного міжнародного партнерства. Віртуальний торговельний майданчик мережі EEN, правила та переваги”;</w:t>
      </w:r>
    </w:p>
    <w:p w:rsidR="002400E1" w:rsidRPr="001B5DE3" w:rsidRDefault="002400E1" w:rsidP="001B5DE3">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ознайомлення з можливостями Міжнародного торгового центру та здійснення спеціалізованих консультацій для розширення поставок продукції підприємств області за кордон проведено онлайн-тренінг на тему: “Онлайн</w:t>
      </w:r>
      <w:r w:rsidR="00980165"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lang w:val="uk-UA"/>
        </w:rPr>
        <w:t xml:space="preserve"> інструменти зовнішньої торгівлі. Торговельна інформація та національні особливості співпраці з іноземними партнерами”.</w:t>
      </w:r>
    </w:p>
    <w:p w:rsidR="002400E1" w:rsidRPr="001B5DE3" w:rsidRDefault="002400E1" w:rsidP="001B5DE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У червні проведено низку вебінарів “Інтернет-бізнес в Україні: від реєстрації й оподаткування до дотримання GDPR”</w:t>
      </w:r>
      <w:r w:rsidR="00980165" w:rsidRPr="001B5DE3">
        <w:rPr>
          <w:rFonts w:ascii="Times New Roman" w:eastAsia="Times New Roman" w:hAnsi="Times New Roman" w:cs="Times New Roman"/>
          <w:sz w:val="28"/>
          <w:szCs w:val="28"/>
          <w:lang w:val="uk-UA"/>
        </w:rPr>
        <w:t>, під</w:t>
      </w:r>
      <w:r w:rsidR="007B36AB" w:rsidRPr="001B5DE3">
        <w:rPr>
          <w:rFonts w:ascii="Times New Roman" w:eastAsia="Times New Roman" w:hAnsi="Times New Roman" w:cs="Times New Roman"/>
          <w:sz w:val="28"/>
          <w:szCs w:val="28"/>
          <w:lang w:val="uk-UA"/>
        </w:rPr>
        <w:t xml:space="preserve"> час</w:t>
      </w:r>
      <w:r w:rsidRPr="001B5DE3">
        <w:rPr>
          <w:rFonts w:ascii="Times New Roman" w:eastAsia="Times New Roman" w:hAnsi="Times New Roman" w:cs="Times New Roman"/>
          <w:sz w:val="28"/>
          <w:szCs w:val="28"/>
          <w:lang w:val="uk-UA"/>
        </w:rPr>
        <w:t xml:space="preserve"> яких було розглянуто інформац</w:t>
      </w:r>
      <w:r w:rsidR="007B36AB" w:rsidRPr="001B5DE3">
        <w:rPr>
          <w:rFonts w:ascii="Times New Roman" w:eastAsia="Times New Roman" w:hAnsi="Times New Roman" w:cs="Times New Roman"/>
          <w:sz w:val="28"/>
          <w:szCs w:val="28"/>
          <w:lang w:val="uk-UA"/>
        </w:rPr>
        <w:t>ію за трьома напрям</w:t>
      </w:r>
      <w:r w:rsidRPr="001B5DE3">
        <w:rPr>
          <w:rFonts w:ascii="Times New Roman" w:eastAsia="Times New Roman" w:hAnsi="Times New Roman" w:cs="Times New Roman"/>
          <w:sz w:val="28"/>
          <w:szCs w:val="28"/>
          <w:lang w:val="uk-UA"/>
        </w:rPr>
        <w:t>ами:</w:t>
      </w:r>
    </w:p>
    <w:p w:rsidR="002400E1" w:rsidRPr="001B5DE3" w:rsidRDefault="007B36AB" w:rsidP="001B5DE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w:t>
      </w:r>
      <w:r w:rsidR="002400E1" w:rsidRPr="001B5DE3">
        <w:rPr>
          <w:rFonts w:ascii="Times New Roman" w:eastAsia="Times New Roman" w:hAnsi="Times New Roman" w:cs="Times New Roman"/>
          <w:sz w:val="28"/>
          <w:szCs w:val="28"/>
          <w:lang w:val="uk-UA"/>
        </w:rPr>
        <w:t xml:space="preserve"> “Реєстрація та оподаткування інтернет-бізнесу в Україні: як від сторінки в соціальних мережах перейти до масштабного проекту”, </w:t>
      </w:r>
      <w:r w:rsidRPr="001B5DE3">
        <w:rPr>
          <w:rFonts w:ascii="Times New Roman" w:eastAsia="Times New Roman" w:hAnsi="Times New Roman" w:cs="Times New Roman"/>
          <w:sz w:val="28"/>
          <w:szCs w:val="28"/>
          <w:lang w:val="uk-UA"/>
        </w:rPr>
        <w:t>на якому обговорювалось</w:t>
      </w:r>
      <w:r w:rsidR="002400E1" w:rsidRPr="001B5DE3">
        <w:rPr>
          <w:rFonts w:ascii="Times New Roman" w:eastAsia="Times New Roman" w:hAnsi="Times New Roman" w:cs="Times New Roman"/>
          <w:sz w:val="28"/>
          <w:szCs w:val="28"/>
          <w:lang w:val="uk-UA"/>
        </w:rPr>
        <w:t xml:space="preserve"> яку організаційно-правову форму обрати для бізнесу та якою найбільш поширеною в інтернет</w:t>
      </w:r>
      <w:r w:rsidRPr="001B5DE3">
        <w:rPr>
          <w:rFonts w:ascii="Times New Roman" w:eastAsia="Times New Roman" w:hAnsi="Times New Roman" w:cs="Times New Roman"/>
          <w:sz w:val="28"/>
          <w:szCs w:val="28"/>
          <w:lang w:val="uk-UA"/>
        </w:rPr>
        <w:t>і</w:t>
      </w:r>
      <w:r w:rsidR="002400E1" w:rsidRPr="001B5DE3">
        <w:rPr>
          <w:rFonts w:ascii="Times New Roman" w:eastAsia="Times New Roman" w:hAnsi="Times New Roman" w:cs="Times New Roman"/>
          <w:sz w:val="28"/>
          <w:szCs w:val="28"/>
          <w:lang w:val="uk-UA"/>
        </w:rPr>
        <w:t xml:space="preserve"> є діяльність фізичних осіб – підприємців</w:t>
      </w:r>
      <w:r w:rsidR="00AF23DD" w:rsidRPr="001B5DE3">
        <w:rPr>
          <w:rFonts w:ascii="Times New Roman" w:eastAsia="Times New Roman" w:hAnsi="Times New Roman" w:cs="Times New Roman"/>
          <w:sz w:val="28"/>
          <w:szCs w:val="28"/>
          <w:lang w:val="uk-UA"/>
        </w:rPr>
        <w:t>;</w:t>
      </w:r>
    </w:p>
    <w:p w:rsidR="002400E1" w:rsidRPr="001B5DE3" w:rsidRDefault="00AF23DD" w:rsidP="001B5DE3">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2)</w:t>
      </w:r>
      <w:r w:rsidR="002400E1" w:rsidRPr="001B5DE3">
        <w:rPr>
          <w:rFonts w:ascii="Times New Roman" w:eastAsia="Times New Roman" w:hAnsi="Times New Roman" w:cs="Times New Roman"/>
          <w:sz w:val="28"/>
          <w:szCs w:val="28"/>
          <w:lang w:val="uk-UA"/>
        </w:rPr>
        <w:t xml:space="preserve"> “Ризик – орієнтований підхід для зменшення перевірок інтернет-бізнесу та запитів від фінмоніторингу”, який був спрямований на обговорення ризикових моментів в діяльності суб’єктів господарювання в інтернет</w:t>
      </w:r>
      <w:r w:rsidRPr="001B5DE3">
        <w:rPr>
          <w:rFonts w:ascii="Times New Roman" w:eastAsia="Times New Roman" w:hAnsi="Times New Roman" w:cs="Times New Roman"/>
          <w:sz w:val="28"/>
          <w:szCs w:val="28"/>
          <w:lang w:val="uk-UA"/>
        </w:rPr>
        <w:t>і</w:t>
      </w:r>
      <w:r w:rsidR="002400E1" w:rsidRPr="001B5DE3">
        <w:rPr>
          <w:rFonts w:ascii="Times New Roman" w:eastAsia="Times New Roman" w:hAnsi="Times New Roman" w:cs="Times New Roman"/>
          <w:sz w:val="28"/>
          <w:szCs w:val="28"/>
          <w:lang w:val="uk-UA"/>
        </w:rPr>
        <w:t xml:space="preserve"> та які критерії можуть спровокувати призначення до них перевірки</w:t>
      </w:r>
      <w:r w:rsidRPr="001B5DE3">
        <w:rPr>
          <w:rFonts w:ascii="Times New Roman" w:eastAsia="Times New Roman" w:hAnsi="Times New Roman" w:cs="Times New Roman"/>
          <w:sz w:val="28"/>
          <w:szCs w:val="28"/>
          <w:lang w:val="uk-UA"/>
        </w:rPr>
        <w:t>;</w:t>
      </w:r>
    </w:p>
    <w:p w:rsidR="002400E1" w:rsidRPr="001B5DE3" w:rsidRDefault="00AF23DD" w:rsidP="001B5DE3">
      <w:pPr>
        <w:suppressAutoHyphens/>
        <w:spacing w:after="0" w:line="240" w:lineRule="auto"/>
        <w:ind w:firstLine="709"/>
        <w:jc w:val="both"/>
        <w:rPr>
          <w:rFonts w:ascii="Times New Roman" w:eastAsia="Tahoma" w:hAnsi="Times New Roman" w:cs="Times New Roman"/>
          <w:kern w:val="2"/>
          <w:sz w:val="28"/>
          <w:szCs w:val="28"/>
          <w:lang w:val="uk-UA" w:eastAsia="zh-CN" w:bidi="hi-IN"/>
        </w:rPr>
      </w:pPr>
      <w:r w:rsidRPr="001B5DE3">
        <w:rPr>
          <w:rFonts w:ascii="Times New Roman" w:eastAsia="Tahoma" w:hAnsi="Times New Roman" w:cs="Times New Roman"/>
          <w:kern w:val="2"/>
          <w:sz w:val="28"/>
          <w:szCs w:val="28"/>
          <w:lang w:val="uk-UA" w:eastAsia="zh-CN" w:bidi="hi-IN"/>
        </w:rPr>
        <w:t>3)</w:t>
      </w:r>
      <w:r w:rsidR="002400E1" w:rsidRPr="001B5DE3">
        <w:rPr>
          <w:rFonts w:ascii="Times New Roman" w:eastAsia="Tahoma" w:hAnsi="Times New Roman" w:cs="Times New Roman"/>
          <w:kern w:val="2"/>
          <w:sz w:val="28"/>
          <w:szCs w:val="28"/>
          <w:lang w:val="uk-UA" w:eastAsia="zh-CN" w:bidi="hi-IN"/>
        </w:rPr>
        <w:t xml:space="preserve"> “Документальне забезпечення інтернет-бізнесу: поговоримо про оферту, політику конфіденційності, захист персональних даних та GDPR</w:t>
      </w:r>
      <w:r w:rsidR="00CB2BA4" w:rsidRPr="001B5DE3">
        <w:rPr>
          <w:rFonts w:ascii="Times New Roman" w:eastAsia="Tahoma" w:hAnsi="Times New Roman" w:cs="Times New Roman"/>
          <w:kern w:val="2"/>
          <w:sz w:val="28"/>
          <w:szCs w:val="28"/>
          <w:lang w:val="uk-UA" w:eastAsia="zh-CN" w:bidi="hi-IN"/>
        </w:rPr>
        <w:t>”</w:t>
      </w:r>
      <w:r w:rsidR="002400E1" w:rsidRPr="001B5DE3">
        <w:rPr>
          <w:rFonts w:ascii="Times New Roman" w:eastAsia="Tahoma" w:hAnsi="Times New Roman" w:cs="Times New Roman"/>
          <w:kern w:val="2"/>
          <w:sz w:val="28"/>
          <w:szCs w:val="28"/>
          <w:lang w:val="uk-UA" w:eastAsia="zh-CN" w:bidi="hi-IN"/>
        </w:rPr>
        <w:t xml:space="preserve"> на якому були обговорені питання публічного договору та оферти, за яким правилами має діяти інтернет-магазин чи інтернет-агентство і навіщо їм політика конфіденційності, в тому числі які договори в їх</w:t>
      </w:r>
      <w:r w:rsidR="00CB2BA4" w:rsidRPr="001B5DE3">
        <w:rPr>
          <w:rFonts w:ascii="Times New Roman" w:eastAsia="Tahoma" w:hAnsi="Times New Roman" w:cs="Times New Roman"/>
          <w:kern w:val="2"/>
          <w:sz w:val="28"/>
          <w:szCs w:val="28"/>
          <w:lang w:val="uk-UA" w:eastAsia="zh-CN" w:bidi="hi-IN"/>
        </w:rPr>
        <w:t>ній</w:t>
      </w:r>
      <w:r w:rsidR="002400E1" w:rsidRPr="001B5DE3">
        <w:rPr>
          <w:rFonts w:ascii="Times New Roman" w:eastAsia="Tahoma" w:hAnsi="Times New Roman" w:cs="Times New Roman"/>
          <w:kern w:val="2"/>
          <w:sz w:val="28"/>
          <w:szCs w:val="28"/>
          <w:lang w:val="uk-UA" w:eastAsia="zh-CN" w:bidi="hi-IN"/>
        </w:rPr>
        <w:t xml:space="preserve"> діяльності варто запровадити.</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Дніпровською міською радою розпочато проведення циклу просвітницьких заходів у форматі вебінарів з питань важливих п</w:t>
      </w:r>
      <w:r w:rsidR="00FF1B7F" w:rsidRPr="001B5DE3">
        <w:rPr>
          <w:rFonts w:ascii="Times New Roman" w:eastAsia="Times New Roman" w:hAnsi="Times New Roman" w:cs="Times New Roman"/>
          <w:sz w:val="28"/>
          <w:szCs w:val="28"/>
          <w:shd w:val="clear" w:color="auto" w:fill="FFFFFF"/>
          <w:lang w:val="uk-UA"/>
        </w:rPr>
        <w:t>ід час</w:t>
      </w:r>
      <w:r w:rsidRPr="001B5DE3">
        <w:rPr>
          <w:rFonts w:ascii="Times New Roman" w:eastAsia="Times New Roman" w:hAnsi="Times New Roman" w:cs="Times New Roman"/>
          <w:sz w:val="28"/>
          <w:szCs w:val="28"/>
          <w:shd w:val="clear" w:color="auto" w:fill="FFFFFF"/>
          <w:lang w:val="uk-UA"/>
        </w:rPr>
        <w:t xml:space="preserve"> започаткуванн</w:t>
      </w:r>
      <w:r w:rsidR="00FF1B7F" w:rsidRPr="001B5DE3">
        <w:rPr>
          <w:rFonts w:ascii="Times New Roman" w:eastAsia="Times New Roman" w:hAnsi="Times New Roman" w:cs="Times New Roman"/>
          <w:sz w:val="28"/>
          <w:szCs w:val="28"/>
          <w:shd w:val="clear" w:color="auto" w:fill="FFFFFF"/>
          <w:lang w:val="uk-UA"/>
        </w:rPr>
        <w:t>я</w:t>
      </w:r>
      <w:r w:rsidRPr="001B5DE3">
        <w:rPr>
          <w:rFonts w:ascii="Times New Roman" w:eastAsia="Times New Roman" w:hAnsi="Times New Roman" w:cs="Times New Roman"/>
          <w:sz w:val="28"/>
          <w:szCs w:val="28"/>
          <w:shd w:val="clear" w:color="auto" w:fill="FFFFFF"/>
          <w:lang w:val="uk-UA"/>
        </w:rPr>
        <w:t xml:space="preserve"> та веденн</w:t>
      </w:r>
      <w:r w:rsidR="00FF1B7F" w:rsidRPr="001B5DE3">
        <w:rPr>
          <w:rFonts w:ascii="Times New Roman" w:eastAsia="Times New Roman" w:hAnsi="Times New Roman" w:cs="Times New Roman"/>
          <w:sz w:val="28"/>
          <w:szCs w:val="28"/>
          <w:shd w:val="clear" w:color="auto" w:fill="FFFFFF"/>
          <w:lang w:val="uk-UA"/>
        </w:rPr>
        <w:t>я</w:t>
      </w:r>
      <w:r w:rsidRPr="001B5DE3">
        <w:rPr>
          <w:rFonts w:ascii="Times New Roman" w:eastAsia="Times New Roman" w:hAnsi="Times New Roman" w:cs="Times New Roman"/>
          <w:sz w:val="28"/>
          <w:szCs w:val="28"/>
          <w:shd w:val="clear" w:color="auto" w:fill="FFFFFF"/>
          <w:lang w:val="uk-UA"/>
        </w:rPr>
        <w:t xml:space="preserve"> підприємницької діяльності. </w:t>
      </w:r>
    </w:p>
    <w:p w:rsidR="002400E1" w:rsidRPr="001B5DE3" w:rsidRDefault="00FF1B7F" w:rsidP="001B5DE3">
      <w:pPr>
        <w:spacing w:after="0" w:line="240"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Також </w:t>
      </w:r>
      <w:r w:rsidR="002400E1" w:rsidRPr="001B5DE3">
        <w:rPr>
          <w:rFonts w:ascii="Times New Roman" w:eastAsia="Times New Roman" w:hAnsi="Times New Roman" w:cs="Times New Roman"/>
          <w:sz w:val="28"/>
          <w:szCs w:val="28"/>
          <w:shd w:val="clear" w:color="auto" w:fill="FFFFFF"/>
          <w:lang w:val="uk-UA"/>
        </w:rPr>
        <w:t>Дніпровською міською радою створено 128 кейсів у розділі “Для бізнесу” Платформи ефективного регулювання (PRO) по міст</w:t>
      </w:r>
      <w:r w:rsidRPr="001B5DE3">
        <w:rPr>
          <w:rFonts w:ascii="Times New Roman" w:eastAsia="Times New Roman" w:hAnsi="Times New Roman" w:cs="Times New Roman"/>
          <w:sz w:val="28"/>
          <w:szCs w:val="28"/>
          <w:shd w:val="clear" w:color="auto" w:fill="FFFFFF"/>
          <w:lang w:val="uk-UA"/>
        </w:rPr>
        <w:t>і</w:t>
      </w:r>
      <w:r w:rsidR="002400E1" w:rsidRPr="001B5DE3">
        <w:rPr>
          <w:rFonts w:ascii="Times New Roman" w:eastAsia="Times New Roman" w:hAnsi="Times New Roman" w:cs="Times New Roman"/>
          <w:sz w:val="28"/>
          <w:szCs w:val="28"/>
          <w:shd w:val="clear" w:color="auto" w:fill="FFFFFF"/>
          <w:lang w:val="uk-UA"/>
        </w:rPr>
        <w:t xml:space="preserve"> Дніпр</w:t>
      </w:r>
      <w:r w:rsidRPr="001B5DE3">
        <w:rPr>
          <w:rFonts w:ascii="Times New Roman" w:eastAsia="Times New Roman" w:hAnsi="Times New Roman" w:cs="Times New Roman"/>
          <w:sz w:val="28"/>
          <w:szCs w:val="28"/>
          <w:shd w:val="clear" w:color="auto" w:fill="FFFFFF"/>
          <w:lang w:val="uk-UA"/>
        </w:rPr>
        <w:t>о</w:t>
      </w:r>
      <w:r w:rsidR="002400E1"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 xml:space="preserve"> </w:t>
      </w:r>
      <w:r w:rsidR="002400E1" w:rsidRPr="001B5DE3">
        <w:rPr>
          <w:rFonts w:ascii="Times New Roman" w:eastAsia="Times New Roman" w:hAnsi="Times New Roman" w:cs="Times New Roman"/>
          <w:sz w:val="28"/>
          <w:szCs w:val="28"/>
          <w:shd w:val="clear" w:color="auto" w:fill="FFFFFF"/>
          <w:lang w:val="uk-UA"/>
        </w:rPr>
        <w:t>що допомагає підприємцям розпочати та вести власну справу, а органам влади – впроваджувати сервісний підхід у взаємодії з бізнесом.</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15.03.2021 Дніпровською міською радою підписано Меморандум про партнерство і співпрацю з </w:t>
      </w:r>
      <w:r w:rsidR="00CB3FF6" w:rsidRPr="001B5DE3">
        <w:rPr>
          <w:rFonts w:ascii="Times New Roman" w:eastAsia="Times New Roman" w:hAnsi="Times New Roman" w:cs="Times New Roman"/>
          <w:sz w:val="28"/>
          <w:szCs w:val="28"/>
          <w:shd w:val="clear" w:color="auto" w:fill="FFFFFF"/>
          <w:lang w:val="uk-UA"/>
        </w:rPr>
        <w:t>Г</w:t>
      </w:r>
      <w:r w:rsidRPr="001B5DE3">
        <w:rPr>
          <w:rFonts w:ascii="Times New Roman" w:eastAsia="Times New Roman" w:hAnsi="Times New Roman" w:cs="Times New Roman"/>
          <w:sz w:val="28"/>
          <w:szCs w:val="28"/>
          <w:shd w:val="clear" w:color="auto" w:fill="FFFFFF"/>
          <w:lang w:val="uk-UA"/>
        </w:rPr>
        <w:t xml:space="preserve">ромадською організацією </w:t>
      </w:r>
      <w:r w:rsidR="00CB3FF6"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Офіс ефективного регулювання</w:t>
      </w:r>
      <w:r w:rsidR="00CB3FF6"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 xml:space="preserve"> в рамках наповнення та оновлення платформи ефективного регулювання PRO по м. Дніпр</w:t>
      </w:r>
      <w:r w:rsidR="00CB3FF6" w:rsidRPr="001B5DE3">
        <w:rPr>
          <w:rFonts w:ascii="Times New Roman" w:eastAsia="Times New Roman" w:hAnsi="Times New Roman" w:cs="Times New Roman"/>
          <w:sz w:val="28"/>
          <w:szCs w:val="28"/>
          <w:shd w:val="clear" w:color="auto" w:fill="FFFFFF"/>
          <w:lang w:val="uk-UA"/>
        </w:rPr>
        <w:t>о</w:t>
      </w:r>
      <w:r w:rsidRPr="001B5DE3">
        <w:rPr>
          <w:rFonts w:ascii="Times New Roman" w:eastAsia="Times New Roman" w:hAnsi="Times New Roman" w:cs="Times New Roman"/>
          <w:sz w:val="28"/>
          <w:szCs w:val="28"/>
          <w:shd w:val="clear" w:color="auto" w:fill="FFFFFF"/>
          <w:lang w:val="uk-UA"/>
        </w:rPr>
        <w:t xml:space="preserve"> – інформаційного сервісу підтримки підприємництва.</w:t>
      </w:r>
    </w:p>
    <w:p w:rsidR="002400E1" w:rsidRPr="001B5DE3" w:rsidRDefault="002400E1" w:rsidP="00C4090D">
      <w:pPr>
        <w:spacing w:after="0" w:line="235"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lastRenderedPageBreak/>
        <w:t xml:space="preserve">Для інформаційної підтримки підприємництва на офіційному порталі Дніпровської міської ради dniprorada.gov.ua функціонує вебресурс </w:t>
      </w:r>
      <w:r w:rsidR="00CB3FF6"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Бізнес-простір Дніпра</w:t>
      </w:r>
      <w:r w:rsidR="00CB3FF6"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 xml:space="preserve">, завдяки якому можливо отримати актуальну та систематизовану інформацію щодо алгоритмів започаткування власної справи, електронних сервісів для бізнесу, порядку та умов отримання адміністративних послуг і документів дозвільного характеру, об’єктів інфраструктури підприємництва у місті, а також пріоритетних напрямів співпраці суб’єктів господарювання з міською владою в рамках реалізації програм і проєктів. </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У м. Кривий Ріг </w:t>
      </w:r>
      <w:r w:rsidR="00E25D90" w:rsidRPr="001B5DE3">
        <w:rPr>
          <w:rFonts w:ascii="Times New Roman" w:eastAsia="Calibri" w:hAnsi="Times New Roman" w:cs="Times New Roman"/>
          <w:sz w:val="28"/>
          <w:szCs w:val="28"/>
          <w:lang w:val="uk-UA" w:eastAsia="en-US"/>
        </w:rPr>
        <w:t>у</w:t>
      </w:r>
      <w:r w:rsidRPr="001B5DE3">
        <w:rPr>
          <w:rFonts w:ascii="Times New Roman" w:eastAsia="Calibri" w:hAnsi="Times New Roman" w:cs="Times New Roman"/>
          <w:sz w:val="28"/>
          <w:szCs w:val="28"/>
          <w:lang w:val="uk-UA" w:eastAsia="en-US"/>
        </w:rPr>
        <w:t xml:space="preserve"> рамках виконання заходів Програми сприяння розвитку малого підприємництва в </w:t>
      </w:r>
      <w:r w:rsidR="000712C4" w:rsidRPr="001B5DE3">
        <w:rPr>
          <w:rFonts w:ascii="Times New Roman" w:eastAsia="Calibri" w:hAnsi="Times New Roman" w:cs="Times New Roman"/>
          <w:sz w:val="28"/>
          <w:szCs w:val="28"/>
          <w:lang w:val="uk-UA" w:eastAsia="en-US"/>
        </w:rPr>
        <w:t>Кривому Різі на 2017</w:t>
      </w:r>
      <w:r w:rsidR="00E25D90" w:rsidRPr="001B5DE3">
        <w:rPr>
          <w:rFonts w:ascii="Times New Roman" w:eastAsia="Calibri" w:hAnsi="Times New Roman" w:cs="Times New Roman"/>
          <w:sz w:val="28"/>
          <w:szCs w:val="28"/>
          <w:lang w:val="uk-UA" w:eastAsia="en-US"/>
        </w:rPr>
        <w:t xml:space="preserve"> – 2021 роки</w:t>
      </w:r>
      <w:r w:rsidR="000712C4" w:rsidRPr="001B5DE3">
        <w:rPr>
          <w:rFonts w:ascii="Times New Roman" w:eastAsia="Calibri" w:hAnsi="Times New Roman" w:cs="Times New Roman"/>
          <w:sz w:val="28"/>
          <w:szCs w:val="28"/>
          <w:lang w:val="uk-UA" w:eastAsia="en-US"/>
        </w:rPr>
        <w:t xml:space="preserve">, </w:t>
      </w:r>
      <w:r w:rsidR="000712C4" w:rsidRPr="001B5DE3">
        <w:rPr>
          <w:rFonts w:ascii="Times New Roman" w:hAnsi="Times New Roman"/>
          <w:sz w:val="28"/>
          <w:szCs w:val="28"/>
          <w:lang w:val="uk-UA"/>
        </w:rPr>
        <w:t>затверджених рішенням міської ради від 21.12.2016 №</w:t>
      </w:r>
      <w:r w:rsidR="00E25D90" w:rsidRPr="001B5DE3">
        <w:rPr>
          <w:rFonts w:ascii="Times New Roman" w:hAnsi="Times New Roman"/>
          <w:sz w:val="28"/>
          <w:szCs w:val="28"/>
          <w:lang w:val="uk-UA"/>
        </w:rPr>
        <w:t xml:space="preserve"> </w:t>
      </w:r>
      <w:r w:rsidR="007714A6" w:rsidRPr="001B5DE3">
        <w:rPr>
          <w:rFonts w:ascii="Times New Roman" w:hAnsi="Times New Roman"/>
          <w:sz w:val="28"/>
          <w:szCs w:val="28"/>
          <w:lang w:val="uk-UA"/>
        </w:rPr>
        <w:t xml:space="preserve">1173 </w:t>
      </w:r>
      <w:r w:rsidR="000712C4" w:rsidRPr="001B5DE3">
        <w:rPr>
          <w:rFonts w:ascii="Times New Roman" w:hAnsi="Times New Roman"/>
          <w:sz w:val="28"/>
          <w:szCs w:val="28"/>
          <w:lang w:val="uk-UA"/>
        </w:rPr>
        <w:t>(</w:t>
      </w:r>
      <w:r w:rsidR="00E25D90" w:rsidRPr="001B5DE3">
        <w:rPr>
          <w:rFonts w:ascii="Times New Roman" w:hAnsi="Times New Roman"/>
          <w:sz w:val="28"/>
          <w:szCs w:val="28"/>
          <w:lang w:val="uk-UA"/>
        </w:rPr>
        <w:t>із</w:t>
      </w:r>
      <w:r w:rsidR="000712C4" w:rsidRPr="001B5DE3">
        <w:rPr>
          <w:rFonts w:ascii="Times New Roman" w:hAnsi="Times New Roman"/>
          <w:sz w:val="28"/>
          <w:szCs w:val="28"/>
          <w:lang w:val="uk-UA"/>
        </w:rPr>
        <w:t xml:space="preserve"> змінами)</w:t>
      </w:r>
      <w:r w:rsidR="00E25D90" w:rsidRPr="001B5DE3">
        <w:rPr>
          <w:rFonts w:ascii="Times New Roman" w:hAnsi="Times New Roman"/>
          <w:sz w:val="28"/>
          <w:szCs w:val="28"/>
          <w:lang w:val="uk-UA"/>
        </w:rPr>
        <w:t>,</w:t>
      </w:r>
      <w:r w:rsidR="000712C4" w:rsidRPr="001B5DE3">
        <w:rPr>
          <w:rFonts w:ascii="Times New Roman" w:hAnsi="Times New Roman"/>
          <w:sz w:val="28"/>
          <w:szCs w:val="28"/>
          <w:lang w:val="uk-UA"/>
        </w:rPr>
        <w:t xml:space="preserve"> </w:t>
      </w:r>
      <w:r w:rsidRPr="001B5DE3">
        <w:rPr>
          <w:rFonts w:ascii="Times New Roman" w:eastAsia="Calibri" w:hAnsi="Times New Roman" w:cs="Times New Roman"/>
          <w:sz w:val="28"/>
          <w:szCs w:val="28"/>
          <w:lang w:val="uk-UA" w:eastAsia="en-US"/>
        </w:rPr>
        <w:t xml:space="preserve">систематично проводяться семінари, круглі столи, засідання міської координаційної ради з питань розвитку підприємництва та галузевих рад підприємців відповідної функціональної спрямованості. </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Також розробл</w:t>
      </w:r>
      <w:r w:rsidR="007714A6" w:rsidRPr="001B5DE3">
        <w:rPr>
          <w:rFonts w:ascii="Times New Roman" w:eastAsia="Calibri" w:hAnsi="Times New Roman" w:cs="Times New Roman"/>
          <w:sz w:val="28"/>
          <w:szCs w:val="28"/>
          <w:lang w:val="uk-UA" w:eastAsia="en-US"/>
        </w:rPr>
        <w:t>ено та впроваджено єдине онлайн-</w:t>
      </w:r>
      <w:r w:rsidRPr="001B5DE3">
        <w:rPr>
          <w:rFonts w:ascii="Times New Roman" w:eastAsia="Calibri" w:hAnsi="Times New Roman" w:cs="Times New Roman"/>
          <w:sz w:val="28"/>
          <w:szCs w:val="28"/>
          <w:lang w:val="uk-UA" w:eastAsia="en-US"/>
        </w:rPr>
        <w:t>“вікно” – єдиний вебпортал електронних інформаційних ресурсів міста “Криворізький ресурсний центр” (krmisto.gov.ua), на базі якого діє його мобільна версія та мобільний додаток “Мій Кривий Ріг – SmartCity” для використання в смартфонах з операційними системами iOS та Android та 12 сенсорних інформаційних кіосків.</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За сприяння міської влади відбувся тренінг для суб’єктів господарювання на тему: “Як переграти локдаун: відновлення або перезапуск власного бізнесу після пандемії”. Тренінг </w:t>
      </w:r>
      <w:r w:rsidR="00E25D90" w:rsidRPr="001B5DE3">
        <w:rPr>
          <w:rFonts w:ascii="Times New Roman" w:eastAsia="Calibri" w:hAnsi="Times New Roman" w:cs="Times New Roman"/>
          <w:sz w:val="28"/>
          <w:szCs w:val="28"/>
          <w:lang w:val="uk-UA" w:eastAsia="en-US"/>
        </w:rPr>
        <w:t>відбувся</w:t>
      </w:r>
      <w:r w:rsidRPr="001B5DE3">
        <w:rPr>
          <w:rFonts w:ascii="Times New Roman" w:eastAsia="Calibri" w:hAnsi="Times New Roman" w:cs="Times New Roman"/>
          <w:sz w:val="28"/>
          <w:szCs w:val="28"/>
          <w:lang w:val="uk-UA" w:eastAsia="en-US"/>
        </w:rPr>
        <w:t xml:space="preserve"> у форматі діалогу. Під час практичних занять підприємці моделювали бізнес за 4 різними методиками і методологіями (тренд, SWOT, QED, PEST), презентували командами проєкти бізнесу, розглядали ризики, сильні та слабкі місця презентованих ідей.</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Протягом звітного періоду проведено засідання </w:t>
      </w:r>
      <w:r w:rsidR="002B3888" w:rsidRPr="001B5DE3">
        <w:rPr>
          <w:rFonts w:ascii="Times New Roman" w:eastAsia="Calibri" w:hAnsi="Times New Roman" w:cs="Times New Roman"/>
          <w:sz w:val="28"/>
          <w:szCs w:val="28"/>
          <w:lang w:val="uk-UA" w:eastAsia="en-US"/>
        </w:rPr>
        <w:t xml:space="preserve">Криворізької </w:t>
      </w:r>
      <w:r w:rsidRPr="001B5DE3">
        <w:rPr>
          <w:rFonts w:ascii="Times New Roman" w:eastAsia="Calibri" w:hAnsi="Times New Roman" w:cs="Times New Roman"/>
          <w:sz w:val="28"/>
          <w:szCs w:val="28"/>
          <w:lang w:val="uk-UA" w:eastAsia="en-US"/>
        </w:rPr>
        <w:t xml:space="preserve">міської координаційної ради з питань розвитку підприємництва, під час якого обговорювались питання щодо регуляторної діяльності в місті, проведення конкурсу-рейтингу серед суб’єктів господарювання міста, роботу міських консультативних рад суб’єктів господарювання за відповідними напрямами діяльності, зміни в законодавстві щодо дебюрократизації бізнесу. </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м. Верхньодніпровськ проведено 6 семінарів на тему</w:t>
      </w:r>
      <w:r w:rsidR="000D7C8C"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“Як розпочати свій бізнес” та 3 індивідуальних консультації з питань організації та впровадження підприємницької діяльності. </w:t>
      </w:r>
    </w:p>
    <w:p w:rsidR="002400E1" w:rsidRPr="001B5DE3" w:rsidRDefault="000D7C8C"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м. Павлоград для підприємців</w:t>
      </w:r>
      <w:r w:rsidR="002400E1" w:rsidRPr="001B5DE3">
        <w:rPr>
          <w:rFonts w:ascii="Times New Roman" w:eastAsia="Calibri" w:hAnsi="Times New Roman" w:cs="Times New Roman"/>
          <w:sz w:val="28"/>
          <w:szCs w:val="28"/>
          <w:lang w:val="uk-UA" w:eastAsia="en-US"/>
        </w:rPr>
        <w:t xml:space="preserve"> проведено семінар, на якому було розглянуто питання щодо змін у чинному законодавстві.</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лютому проведено форум на тему: “Павлоград єднає лідерів”</w:t>
      </w:r>
      <w:r w:rsidR="0006042F"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w:t>
      </w:r>
      <w:r w:rsidR="0006042F" w:rsidRPr="001B5DE3">
        <w:rPr>
          <w:rFonts w:ascii="Times New Roman" w:eastAsia="Calibri" w:hAnsi="Times New Roman" w:cs="Times New Roman"/>
          <w:sz w:val="28"/>
          <w:szCs w:val="28"/>
          <w:lang w:val="uk-UA" w:eastAsia="en-US"/>
        </w:rPr>
        <w:t>в</w:t>
      </w:r>
      <w:r w:rsidRPr="001B5DE3">
        <w:rPr>
          <w:rFonts w:ascii="Times New Roman" w:eastAsia="Calibri" w:hAnsi="Times New Roman" w:cs="Times New Roman"/>
          <w:sz w:val="28"/>
          <w:szCs w:val="28"/>
          <w:lang w:val="uk-UA" w:eastAsia="en-US"/>
        </w:rPr>
        <w:t xml:space="preserve"> якому </w:t>
      </w:r>
      <w:r w:rsidR="000D7C8C" w:rsidRPr="001B5DE3">
        <w:rPr>
          <w:rFonts w:ascii="Times New Roman" w:eastAsia="Calibri" w:hAnsi="Times New Roman" w:cs="Times New Roman"/>
          <w:sz w:val="28"/>
          <w:szCs w:val="28"/>
          <w:lang w:val="uk-UA" w:eastAsia="en-US"/>
        </w:rPr>
        <w:t>брали</w:t>
      </w:r>
      <w:r w:rsidRPr="001B5DE3">
        <w:rPr>
          <w:rFonts w:ascii="Times New Roman" w:eastAsia="Calibri" w:hAnsi="Times New Roman" w:cs="Times New Roman"/>
          <w:sz w:val="28"/>
          <w:szCs w:val="28"/>
          <w:lang w:val="uk-UA" w:eastAsia="en-US"/>
        </w:rPr>
        <w:t xml:space="preserve"> участь представники громадських організацій, бізнесу, голови правління ОСББ, керівники банківських установ, молодь міста та представники </w:t>
      </w:r>
      <w:r w:rsidR="000D7C8C" w:rsidRPr="001B5DE3">
        <w:rPr>
          <w:rFonts w:ascii="Times New Roman" w:eastAsia="Calibri" w:hAnsi="Times New Roman" w:cs="Times New Roman"/>
          <w:sz w:val="28"/>
          <w:szCs w:val="28"/>
          <w:lang w:val="uk-UA" w:eastAsia="en-US"/>
        </w:rPr>
        <w:t>і</w:t>
      </w:r>
      <w:r w:rsidRPr="001B5DE3">
        <w:rPr>
          <w:rFonts w:ascii="Times New Roman" w:eastAsia="Calibri" w:hAnsi="Times New Roman" w:cs="Times New Roman"/>
          <w:sz w:val="28"/>
          <w:szCs w:val="28"/>
          <w:lang w:val="uk-UA" w:eastAsia="en-US"/>
        </w:rPr>
        <w:t>з сусідніх міст, районів і сільських рад.</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Для підприємців та молоді проведено серію навчальних програм за темами: “Основи бізнес-планування”, “Бухгалтерський облік в малому бізнесі”, “Бізнес-планування” з метою участі у грантових проєктах. За результатами було представлено 8 бізнес-проєктів та визначено трьох переможців, яким з міського бюджету надано гранти на загальну суму</w:t>
      </w:r>
      <w:r w:rsidR="005A4C81" w:rsidRPr="001B5DE3">
        <w:rPr>
          <w:rFonts w:ascii="Times New Roman" w:eastAsia="Calibri" w:hAnsi="Times New Roman" w:cs="Times New Roman"/>
          <w:sz w:val="28"/>
          <w:szCs w:val="28"/>
          <w:lang w:val="uk-UA" w:eastAsia="en-US"/>
        </w:rPr>
        <w:t xml:space="preserve"> </w:t>
      </w:r>
      <w:r w:rsidRPr="001B5DE3">
        <w:rPr>
          <w:rFonts w:ascii="Times New Roman" w:eastAsia="Calibri" w:hAnsi="Times New Roman" w:cs="Times New Roman"/>
          <w:sz w:val="28"/>
          <w:szCs w:val="28"/>
          <w:lang w:val="uk-UA" w:eastAsia="en-US"/>
        </w:rPr>
        <w:t>150 тис. грн.</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lastRenderedPageBreak/>
        <w:t xml:space="preserve">Протягом звітного періоду виконавчий комітет Нікопольської міської ради разом з </w:t>
      </w:r>
      <w:r w:rsidR="00EC41EC" w:rsidRPr="001B5DE3">
        <w:rPr>
          <w:rFonts w:ascii="Times New Roman" w:eastAsia="Calibri" w:hAnsi="Times New Roman" w:cs="Times New Roman"/>
          <w:sz w:val="28"/>
          <w:szCs w:val="28"/>
          <w:lang w:val="uk-UA" w:eastAsia="en-US"/>
        </w:rPr>
        <w:t>Г</w:t>
      </w:r>
      <w:r w:rsidR="00EB30A0" w:rsidRPr="001B5DE3">
        <w:rPr>
          <w:rFonts w:ascii="Times New Roman" w:eastAsia="Calibri" w:hAnsi="Times New Roman" w:cs="Times New Roman"/>
          <w:sz w:val="28"/>
          <w:szCs w:val="28"/>
          <w:lang w:val="uk-UA" w:eastAsia="en-US"/>
        </w:rPr>
        <w:t>ромадською організацією “</w:t>
      </w:r>
      <w:r w:rsidR="00F86DF8" w:rsidRPr="001B5DE3">
        <w:rPr>
          <w:rFonts w:ascii="Times New Roman" w:eastAsia="Calibri" w:hAnsi="Times New Roman" w:cs="Times New Roman"/>
          <w:sz w:val="28"/>
          <w:szCs w:val="28"/>
          <w:lang w:val="uk-UA" w:eastAsia="en-US"/>
        </w:rPr>
        <w:t>Агенція</w:t>
      </w:r>
      <w:r w:rsidRPr="001B5DE3">
        <w:rPr>
          <w:rFonts w:ascii="Times New Roman" w:eastAsia="Calibri" w:hAnsi="Times New Roman" w:cs="Times New Roman"/>
          <w:sz w:val="28"/>
          <w:szCs w:val="28"/>
          <w:lang w:val="uk-UA" w:eastAsia="en-US"/>
        </w:rPr>
        <w:t xml:space="preserve"> регіонального розвитку громад</w:t>
      </w:r>
      <w:r w:rsidR="00EB30A0"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w:t>
      </w:r>
      <w:r w:rsidR="00E22D4A" w:rsidRPr="001B5DE3">
        <w:rPr>
          <w:rFonts w:ascii="Times New Roman" w:eastAsia="Calibri" w:hAnsi="Times New Roman" w:cs="Times New Roman"/>
          <w:sz w:val="28"/>
          <w:szCs w:val="28"/>
          <w:lang w:val="uk-UA" w:eastAsia="en-US"/>
        </w:rPr>
        <w:t>вз</w:t>
      </w:r>
      <w:r w:rsidRPr="001B5DE3">
        <w:rPr>
          <w:rFonts w:ascii="Times New Roman" w:eastAsia="Calibri" w:hAnsi="Times New Roman" w:cs="Times New Roman"/>
          <w:sz w:val="28"/>
          <w:szCs w:val="28"/>
          <w:lang w:val="uk-UA" w:eastAsia="en-US"/>
        </w:rPr>
        <w:t xml:space="preserve">яли участь в конкурсі грантів від Німецького товариства GIZ щодо системної підтримки </w:t>
      </w:r>
      <w:r w:rsidR="00E22D4A" w:rsidRPr="001B5DE3">
        <w:rPr>
          <w:rFonts w:ascii="Times New Roman" w:eastAsia="Calibri" w:hAnsi="Times New Roman" w:cs="Times New Roman"/>
          <w:sz w:val="28"/>
          <w:szCs w:val="28"/>
          <w:lang w:val="uk-UA" w:eastAsia="en-US"/>
        </w:rPr>
        <w:t>малого та середнього підприємництва</w:t>
      </w:r>
      <w:r w:rsidRPr="001B5DE3">
        <w:rPr>
          <w:rFonts w:ascii="Times New Roman" w:eastAsia="Calibri" w:hAnsi="Times New Roman" w:cs="Times New Roman"/>
          <w:sz w:val="28"/>
          <w:szCs w:val="28"/>
          <w:lang w:val="uk-UA" w:eastAsia="en-US"/>
        </w:rPr>
        <w:t xml:space="preserve"> під час пандемії COVID-19. Планується реалізувати проєкт “Впровадження сучасних digital-технологій на розвиток та підтримку </w:t>
      </w:r>
      <w:r w:rsidR="00E22D4A" w:rsidRPr="001B5DE3">
        <w:rPr>
          <w:rFonts w:ascii="Times New Roman" w:eastAsia="Calibri" w:hAnsi="Times New Roman" w:cs="Times New Roman"/>
          <w:sz w:val="28"/>
          <w:szCs w:val="28"/>
          <w:lang w:val="uk-UA" w:eastAsia="en-US"/>
        </w:rPr>
        <w:t>малого та середнього підприємництва</w:t>
      </w:r>
      <w:r w:rsidRPr="001B5DE3">
        <w:rPr>
          <w:rFonts w:ascii="Times New Roman" w:eastAsia="Calibri" w:hAnsi="Times New Roman" w:cs="Times New Roman"/>
          <w:sz w:val="28"/>
          <w:szCs w:val="28"/>
          <w:lang w:val="uk-UA" w:eastAsia="en-US"/>
        </w:rPr>
        <w:t xml:space="preserve"> </w:t>
      </w:r>
      <w:r w:rsidR="00E22D4A" w:rsidRPr="001B5DE3">
        <w:rPr>
          <w:rFonts w:ascii="Times New Roman" w:eastAsia="Calibri" w:hAnsi="Times New Roman" w:cs="Times New Roman"/>
          <w:sz w:val="28"/>
          <w:szCs w:val="28"/>
          <w:lang w:val="uk-UA" w:eastAsia="en-US"/>
        </w:rPr>
        <w:br/>
      </w:r>
      <w:r w:rsidRPr="001B5DE3">
        <w:rPr>
          <w:rFonts w:ascii="Times New Roman" w:eastAsia="Calibri" w:hAnsi="Times New Roman" w:cs="Times New Roman"/>
          <w:sz w:val="28"/>
          <w:szCs w:val="28"/>
          <w:lang w:val="uk-UA" w:eastAsia="en-US"/>
        </w:rPr>
        <w:t>м. Нікополь Дніпропетровської області”. Зараз проєктна заявка проходить другий тур відбору у Німецького товариства GIZ.</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м. Синельникове з метою надання консультаційної підтримки з питань організації підприємницької д</w:t>
      </w:r>
      <w:r w:rsidR="00EC41EC" w:rsidRPr="001B5DE3">
        <w:rPr>
          <w:rFonts w:ascii="Times New Roman" w:eastAsia="Calibri" w:hAnsi="Times New Roman" w:cs="Times New Roman"/>
          <w:sz w:val="28"/>
          <w:szCs w:val="28"/>
          <w:lang w:val="uk-UA" w:eastAsia="en-US"/>
        </w:rPr>
        <w:t>іяльності</w:t>
      </w:r>
      <w:r w:rsidRPr="001B5DE3">
        <w:rPr>
          <w:rFonts w:ascii="Times New Roman" w:eastAsia="Calibri" w:hAnsi="Times New Roman" w:cs="Times New Roman"/>
          <w:sz w:val="28"/>
          <w:szCs w:val="28"/>
          <w:lang w:val="uk-UA" w:eastAsia="en-US"/>
        </w:rPr>
        <w:t xml:space="preserve"> проведено семінар “Генеруй бізнес-ідею та розпочни свій бізнес”.</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м. Покрові протягом звітного періоду проведено 13 консультацій з питань організації та впровадження підприємницької діяльності.</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У Дніпровському районі </w:t>
      </w:r>
      <w:r w:rsidR="005A4C81" w:rsidRPr="001B5DE3">
        <w:rPr>
          <w:rFonts w:ascii="Times New Roman" w:eastAsia="Calibri" w:hAnsi="Times New Roman" w:cs="Times New Roman"/>
          <w:sz w:val="28"/>
          <w:szCs w:val="28"/>
          <w:lang w:val="uk-UA" w:eastAsia="en-US"/>
        </w:rPr>
        <w:t>проведено 150 семінарів, онлайн-</w:t>
      </w:r>
      <w:r w:rsidRPr="001B5DE3">
        <w:rPr>
          <w:rFonts w:ascii="Times New Roman" w:eastAsia="Calibri" w:hAnsi="Times New Roman" w:cs="Times New Roman"/>
          <w:sz w:val="28"/>
          <w:szCs w:val="28"/>
          <w:lang w:val="uk-UA" w:eastAsia="en-US"/>
        </w:rPr>
        <w:t>вебінарів та мінісемінарів стосовно роботи з суб’єктами господарювання щодо сприяння зайнятості населення в районі. Основними темам</w:t>
      </w:r>
      <w:r w:rsidR="00B91758" w:rsidRPr="001B5DE3">
        <w:rPr>
          <w:rFonts w:ascii="Times New Roman" w:eastAsia="Calibri" w:hAnsi="Times New Roman" w:cs="Times New Roman"/>
          <w:sz w:val="28"/>
          <w:szCs w:val="28"/>
          <w:lang w:val="uk-UA" w:eastAsia="en-US"/>
        </w:rPr>
        <w:t>и були: “Техніка пошуку роботи”,</w:t>
      </w:r>
      <w:r w:rsidRPr="001B5DE3">
        <w:rPr>
          <w:rFonts w:ascii="Times New Roman" w:eastAsia="Calibri" w:hAnsi="Times New Roman" w:cs="Times New Roman"/>
          <w:sz w:val="28"/>
          <w:szCs w:val="28"/>
          <w:lang w:val="uk-UA" w:eastAsia="en-US"/>
        </w:rPr>
        <w:t xml:space="preserve"> “Презентація професійног</w:t>
      </w:r>
      <w:r w:rsidR="00B91758" w:rsidRPr="001B5DE3">
        <w:rPr>
          <w:rFonts w:ascii="Times New Roman" w:eastAsia="Calibri" w:hAnsi="Times New Roman" w:cs="Times New Roman"/>
          <w:sz w:val="28"/>
          <w:szCs w:val="28"/>
          <w:lang w:val="uk-UA" w:eastAsia="en-US"/>
        </w:rPr>
        <w:t>о навчання, в т.ч. послуг ЦПТО”, “Як розпочати свій бізнес?”,</w:t>
      </w:r>
      <w:r w:rsidRPr="001B5DE3">
        <w:rPr>
          <w:rFonts w:ascii="Times New Roman" w:eastAsia="Calibri" w:hAnsi="Times New Roman" w:cs="Times New Roman"/>
          <w:sz w:val="28"/>
          <w:szCs w:val="28"/>
          <w:lang w:val="uk-UA" w:eastAsia="en-US"/>
        </w:rPr>
        <w:t xml:space="preserve"> “Інформаційний семінар </w:t>
      </w:r>
      <w:r w:rsidR="00B91758" w:rsidRPr="001B5DE3">
        <w:rPr>
          <w:rFonts w:ascii="Times New Roman" w:eastAsia="Calibri" w:hAnsi="Times New Roman" w:cs="Times New Roman"/>
          <w:sz w:val="28"/>
          <w:szCs w:val="28"/>
          <w:lang w:val="uk-UA" w:eastAsia="en-US"/>
        </w:rPr>
        <w:t>із загальних питань зайнятості”,</w:t>
      </w:r>
      <w:r w:rsidRPr="001B5DE3">
        <w:rPr>
          <w:rFonts w:ascii="Times New Roman" w:eastAsia="Calibri" w:hAnsi="Times New Roman" w:cs="Times New Roman"/>
          <w:sz w:val="28"/>
          <w:szCs w:val="28"/>
          <w:lang w:val="uk-UA" w:eastAsia="en-US"/>
        </w:rPr>
        <w:t xml:space="preserve"> “Соціальне партнерство і його роль в регул</w:t>
      </w:r>
      <w:r w:rsidR="00B91758" w:rsidRPr="001B5DE3">
        <w:rPr>
          <w:rFonts w:ascii="Times New Roman" w:eastAsia="Calibri" w:hAnsi="Times New Roman" w:cs="Times New Roman"/>
          <w:sz w:val="28"/>
          <w:szCs w:val="28"/>
          <w:lang w:val="uk-UA" w:eastAsia="en-US"/>
        </w:rPr>
        <w:t>юванні процесів на ринку праці”,</w:t>
      </w:r>
      <w:r w:rsidRPr="001B5DE3">
        <w:rPr>
          <w:rFonts w:ascii="Times New Roman" w:eastAsia="Calibri" w:hAnsi="Times New Roman" w:cs="Times New Roman"/>
          <w:sz w:val="28"/>
          <w:szCs w:val="28"/>
          <w:lang w:val="uk-UA" w:eastAsia="en-US"/>
        </w:rPr>
        <w:t xml:space="preserve"> “Стимулювання роботодавців для</w:t>
      </w:r>
      <w:r w:rsidR="00B91758" w:rsidRPr="001B5DE3">
        <w:rPr>
          <w:rFonts w:ascii="Times New Roman" w:eastAsia="Calibri" w:hAnsi="Times New Roman" w:cs="Times New Roman"/>
          <w:sz w:val="28"/>
          <w:szCs w:val="28"/>
          <w:lang w:val="uk-UA" w:eastAsia="en-US"/>
        </w:rPr>
        <w:t xml:space="preserve"> створення нових робочих місць”,</w:t>
      </w:r>
      <w:r w:rsidRPr="001B5DE3">
        <w:rPr>
          <w:rFonts w:ascii="Times New Roman" w:eastAsia="Calibri" w:hAnsi="Times New Roman" w:cs="Times New Roman"/>
          <w:sz w:val="28"/>
          <w:szCs w:val="28"/>
          <w:lang w:val="uk-UA" w:eastAsia="en-US"/>
        </w:rPr>
        <w:t xml:space="preserve"> “Трудова адаптація працівників, у тому числі осіб з особливими</w:t>
      </w:r>
      <w:r w:rsidR="00B91758" w:rsidRPr="001B5DE3">
        <w:rPr>
          <w:rFonts w:ascii="Times New Roman" w:eastAsia="Calibri" w:hAnsi="Times New Roman" w:cs="Times New Roman"/>
          <w:sz w:val="28"/>
          <w:szCs w:val="28"/>
          <w:lang w:val="uk-UA" w:eastAsia="en-US"/>
        </w:rPr>
        <w:t xml:space="preserve"> потребами, шляхом стажування”,</w:t>
      </w:r>
      <w:r w:rsidRPr="001B5DE3">
        <w:rPr>
          <w:rFonts w:ascii="Times New Roman" w:eastAsia="Calibri" w:hAnsi="Times New Roman" w:cs="Times New Roman"/>
          <w:sz w:val="28"/>
          <w:szCs w:val="28"/>
          <w:lang w:val="uk-UA" w:eastAsia="en-US"/>
        </w:rPr>
        <w:t xml:space="preserve"> “Легалізація зайнятості  – крок на зустріч Вашим працівникам”</w:t>
      </w:r>
      <w:r w:rsidR="00B91758" w:rsidRPr="001B5DE3">
        <w:rPr>
          <w:rFonts w:ascii="Times New Roman" w:eastAsia="Calibri" w:hAnsi="Times New Roman" w:cs="Times New Roman"/>
          <w:sz w:val="28"/>
          <w:szCs w:val="28"/>
          <w:lang w:val="uk-UA" w:eastAsia="en-US"/>
        </w:rPr>
        <w:t>, у</w:t>
      </w:r>
      <w:r w:rsidRPr="001B5DE3">
        <w:rPr>
          <w:rFonts w:ascii="Times New Roman" w:eastAsia="Calibri" w:hAnsi="Times New Roman" w:cs="Times New Roman"/>
          <w:sz w:val="28"/>
          <w:szCs w:val="28"/>
          <w:lang w:val="uk-UA" w:eastAsia="en-US"/>
        </w:rPr>
        <w:t xml:space="preserve"> заходах </w:t>
      </w:r>
      <w:r w:rsidR="00E14E76" w:rsidRPr="001B5DE3">
        <w:rPr>
          <w:rFonts w:ascii="Times New Roman" w:eastAsia="Calibri" w:hAnsi="Times New Roman" w:cs="Times New Roman"/>
          <w:sz w:val="28"/>
          <w:szCs w:val="28"/>
          <w:lang w:val="uk-UA" w:eastAsia="en-US"/>
        </w:rPr>
        <w:t>взяли</w:t>
      </w:r>
      <w:r w:rsidRPr="001B5DE3">
        <w:rPr>
          <w:rFonts w:ascii="Times New Roman" w:eastAsia="Calibri" w:hAnsi="Times New Roman" w:cs="Times New Roman"/>
          <w:sz w:val="28"/>
          <w:szCs w:val="28"/>
          <w:lang w:val="uk-UA" w:eastAsia="en-US"/>
        </w:rPr>
        <w:t xml:space="preserve"> участь </w:t>
      </w:r>
      <w:r w:rsidR="00E14E76" w:rsidRPr="001B5DE3">
        <w:rPr>
          <w:rFonts w:ascii="Times New Roman" w:eastAsia="Calibri" w:hAnsi="Times New Roman" w:cs="Times New Roman"/>
          <w:sz w:val="28"/>
          <w:szCs w:val="28"/>
          <w:lang w:val="uk-UA" w:eastAsia="en-US"/>
        </w:rPr>
        <w:t>майже</w:t>
      </w:r>
      <w:r w:rsidRPr="001B5DE3">
        <w:rPr>
          <w:rFonts w:ascii="Times New Roman" w:eastAsia="Calibri" w:hAnsi="Times New Roman" w:cs="Times New Roman"/>
          <w:sz w:val="28"/>
          <w:szCs w:val="28"/>
          <w:lang w:val="uk-UA" w:eastAsia="en-US"/>
        </w:rPr>
        <w:t xml:space="preserve"> 1300 осіб.</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Новомосковському ра</w:t>
      </w:r>
      <w:r w:rsidR="005A4C81" w:rsidRPr="001B5DE3">
        <w:rPr>
          <w:rFonts w:ascii="Times New Roman" w:eastAsia="Calibri" w:hAnsi="Times New Roman" w:cs="Times New Roman"/>
          <w:sz w:val="28"/>
          <w:szCs w:val="28"/>
          <w:lang w:val="uk-UA" w:eastAsia="en-US"/>
        </w:rPr>
        <w:t>йоні 10 лютого проведено онлайн-</w:t>
      </w:r>
      <w:r w:rsidRPr="001B5DE3">
        <w:rPr>
          <w:rFonts w:ascii="Times New Roman" w:eastAsia="Calibri" w:hAnsi="Times New Roman" w:cs="Times New Roman"/>
          <w:sz w:val="28"/>
          <w:szCs w:val="28"/>
          <w:lang w:val="uk-UA" w:eastAsia="en-US"/>
        </w:rPr>
        <w:t>вебінар для представників бі</w:t>
      </w:r>
      <w:r w:rsidR="00E14E76" w:rsidRPr="001B5DE3">
        <w:rPr>
          <w:rFonts w:ascii="Times New Roman" w:eastAsia="Calibri" w:hAnsi="Times New Roman" w:cs="Times New Roman"/>
          <w:sz w:val="28"/>
          <w:szCs w:val="28"/>
          <w:lang w:val="uk-UA" w:eastAsia="en-US"/>
        </w:rPr>
        <w:t>знесу, на якому було розглянуто</w:t>
      </w:r>
      <w:r w:rsidRPr="001B5DE3">
        <w:rPr>
          <w:rFonts w:ascii="Times New Roman" w:eastAsia="Calibri" w:hAnsi="Times New Roman" w:cs="Times New Roman"/>
          <w:sz w:val="28"/>
          <w:szCs w:val="28"/>
          <w:lang w:val="uk-UA" w:eastAsia="en-US"/>
        </w:rPr>
        <w:t xml:space="preserve"> податкові та митні питання, дії правоохоронних органів, державних регуляторів та місцевих органів влади. </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У Юр’ївс</w:t>
      </w:r>
      <w:r w:rsidR="00E14E76" w:rsidRPr="001B5DE3">
        <w:rPr>
          <w:rFonts w:ascii="Times New Roman" w:eastAsia="Calibri" w:hAnsi="Times New Roman" w:cs="Times New Roman"/>
          <w:sz w:val="28"/>
          <w:szCs w:val="28"/>
          <w:lang w:val="uk-UA" w:eastAsia="en-US"/>
        </w:rPr>
        <w:t>ькому районі проводилась робота</w:t>
      </w:r>
      <w:r w:rsidRPr="001B5DE3">
        <w:rPr>
          <w:rFonts w:ascii="Times New Roman" w:eastAsia="Calibri" w:hAnsi="Times New Roman" w:cs="Times New Roman"/>
          <w:sz w:val="28"/>
          <w:szCs w:val="28"/>
          <w:lang w:val="uk-UA" w:eastAsia="en-US"/>
        </w:rPr>
        <w:t xml:space="preserve"> щодо орієнтації безробітних на відкриття власної справи, проведено 8 інформаційних семінарів, 31 семінар із загальних питань зайнятості та 25 вебінарів. </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Криничанською селищною радою проведено засідання робочої групи за участю представників малого підприємництва з вивчення та визначення обґрунтованих розмірів ставок місцевих податків і зборів на території громади.</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Девладівською, Глеюватською та Лозуватською сільськими радами проведено зустріч з підприємцями стосовно нововведень у сфері законодавства, та круг</w:t>
      </w:r>
      <w:r w:rsidR="00E14E76" w:rsidRPr="001B5DE3">
        <w:rPr>
          <w:rFonts w:ascii="Times New Roman" w:eastAsia="Calibri" w:hAnsi="Times New Roman" w:cs="Times New Roman"/>
          <w:sz w:val="28"/>
          <w:szCs w:val="28"/>
          <w:lang w:val="uk-UA" w:eastAsia="en-US"/>
        </w:rPr>
        <w:t>лий стіл з питань оподаткування</w:t>
      </w:r>
      <w:r w:rsidRPr="001B5DE3">
        <w:rPr>
          <w:rFonts w:ascii="Times New Roman" w:eastAsia="Calibri" w:hAnsi="Times New Roman" w:cs="Times New Roman"/>
          <w:sz w:val="28"/>
          <w:szCs w:val="28"/>
          <w:lang w:val="uk-UA" w:eastAsia="en-US"/>
        </w:rPr>
        <w:t xml:space="preserve"> та роботи електронних сервісів податкової служби.</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У Дубовиківській сільській раді за участі керівництва виконавчого комітету проведено 2 засідання з представниками бджолярства з </w:t>
      </w:r>
      <w:r w:rsidR="00E14E76" w:rsidRPr="001B5DE3">
        <w:rPr>
          <w:rFonts w:ascii="Times New Roman" w:eastAsia="Calibri" w:hAnsi="Times New Roman" w:cs="Times New Roman"/>
          <w:sz w:val="28"/>
          <w:szCs w:val="28"/>
          <w:lang w:val="uk-UA" w:eastAsia="en-US"/>
        </w:rPr>
        <w:t xml:space="preserve">таких </w:t>
      </w:r>
      <w:r w:rsidRPr="001B5DE3">
        <w:rPr>
          <w:rFonts w:ascii="Times New Roman" w:eastAsia="Calibri" w:hAnsi="Times New Roman" w:cs="Times New Roman"/>
          <w:sz w:val="28"/>
          <w:szCs w:val="28"/>
          <w:lang w:val="uk-UA" w:eastAsia="en-US"/>
        </w:rPr>
        <w:t>питань: створення Асоціації бджолярів; взаємодії бджолярів з представниками фермерських господарств під час обприскування гербіцидами полів. Також проведено круглий стіл з метою роз’яснення щодо державної підтримки бджолярів та надання субвенції з державного бюджету.</w:t>
      </w:r>
    </w:p>
    <w:p w:rsidR="002400E1" w:rsidRPr="001B5DE3" w:rsidRDefault="002400E1" w:rsidP="00C4090D">
      <w:pPr>
        <w:spacing w:after="0" w:line="235"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У Вишнівській та Саксаганській сільських радах було проведено </w:t>
      </w:r>
      <w:r w:rsidRPr="001B5DE3">
        <w:rPr>
          <w:rFonts w:ascii="Times New Roman" w:eastAsia="Calibri" w:hAnsi="Times New Roman" w:cs="Times New Roman"/>
          <w:sz w:val="28"/>
          <w:szCs w:val="28"/>
          <w:lang w:val="uk-UA" w:eastAsia="en-US"/>
        </w:rPr>
        <w:br/>
        <w:t>6 зустрічей з представниками малого бізнесу (переважно сільсько</w:t>
      </w:r>
      <w:r w:rsidR="00C4090D">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господарського напряму), метою яких було їх залучення до фінансування об’єктів інфраструктури. </w:t>
      </w:r>
    </w:p>
    <w:p w:rsidR="002400E1" w:rsidRPr="001B5DE3" w:rsidRDefault="002400E1" w:rsidP="001B5DE3">
      <w:pPr>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lastRenderedPageBreak/>
        <w:t>У Черв</w:t>
      </w:r>
      <w:r w:rsidR="00AD33A7" w:rsidRPr="001B5DE3">
        <w:rPr>
          <w:rFonts w:ascii="Times New Roman" w:eastAsia="Calibri" w:hAnsi="Times New Roman" w:cs="Times New Roman"/>
          <w:sz w:val="28"/>
          <w:szCs w:val="28"/>
          <w:lang w:val="uk-UA" w:eastAsia="en-US"/>
        </w:rPr>
        <w:t>оногригорівській сільській раді</w:t>
      </w:r>
      <w:r w:rsidRPr="001B5DE3">
        <w:rPr>
          <w:rFonts w:ascii="Times New Roman" w:eastAsia="Calibri" w:hAnsi="Times New Roman" w:cs="Times New Roman"/>
          <w:sz w:val="28"/>
          <w:szCs w:val="28"/>
          <w:lang w:val="uk-UA" w:eastAsia="en-US"/>
        </w:rPr>
        <w:t xml:space="preserve"> з метою забезпечення конкурентоспроможності підприємців систематично проводяться семінари та тренінги за участю профільних фахівців для представників підприємств, організацій, установ, які знаходяться на території громади. Також у звітному кварталі затверджено перелік об’єктів оренди комунальної власності, які підлягають передачі в оренду на аукціоні для заняття підприємницькою діяльністю.</w:t>
      </w:r>
    </w:p>
    <w:p w:rsidR="002400E1" w:rsidRPr="001B5DE3" w:rsidRDefault="00AD33A7" w:rsidP="001B5DE3">
      <w:pPr>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03 березня </w:t>
      </w:r>
      <w:r w:rsidR="002400E1" w:rsidRPr="001B5DE3">
        <w:rPr>
          <w:rFonts w:ascii="Times New Roman" w:eastAsia="Calibri" w:hAnsi="Times New Roman" w:cs="Times New Roman"/>
          <w:sz w:val="28"/>
          <w:szCs w:val="28"/>
          <w:lang w:val="uk-UA" w:eastAsia="en-US"/>
        </w:rPr>
        <w:t xml:space="preserve">проведено семінар за участю представників Держпродспоживслужби, сільськогосподарських підприємств та бджолярів, під </w:t>
      </w:r>
      <w:r w:rsidRPr="001B5DE3">
        <w:rPr>
          <w:rFonts w:ascii="Times New Roman" w:eastAsia="Calibri" w:hAnsi="Times New Roman" w:cs="Times New Roman"/>
          <w:sz w:val="28"/>
          <w:szCs w:val="28"/>
          <w:lang w:val="uk-UA" w:eastAsia="en-US"/>
        </w:rPr>
        <w:t>час якого обговорено інформацію</w:t>
      </w:r>
      <w:r w:rsidR="002400E1" w:rsidRPr="001B5DE3">
        <w:rPr>
          <w:rFonts w:ascii="Times New Roman" w:eastAsia="Calibri" w:hAnsi="Times New Roman" w:cs="Times New Roman"/>
          <w:sz w:val="28"/>
          <w:szCs w:val="28"/>
          <w:lang w:val="uk-UA" w:eastAsia="en-US"/>
        </w:rPr>
        <w:t xml:space="preserve"> щодо дотримання чинного законодавства в частині застосування засобів захисту рослин, вимоги до проведення паспортизації складів для зберігання пестицидів та агрохімікатів та надано роз’яснення, щодо вимог законодавства у сфері насінництва та розсадництва.</w:t>
      </w:r>
    </w:p>
    <w:p w:rsidR="002400E1" w:rsidRPr="001B5DE3" w:rsidRDefault="00727718" w:rsidP="001B5DE3">
      <w:pPr>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В</w:t>
      </w:r>
      <w:r w:rsidR="00AD33A7" w:rsidRPr="001B5DE3">
        <w:rPr>
          <w:rFonts w:ascii="Times New Roman" w:eastAsia="Calibri" w:hAnsi="Times New Roman" w:cs="Times New Roman"/>
          <w:sz w:val="28"/>
          <w:szCs w:val="28"/>
          <w:lang w:val="uk-UA" w:eastAsia="en-US"/>
        </w:rPr>
        <w:t xml:space="preserve"> Іларіонівській селищній раді</w:t>
      </w:r>
      <w:r w:rsidR="002400E1" w:rsidRPr="001B5DE3">
        <w:rPr>
          <w:rFonts w:ascii="Times New Roman" w:eastAsia="Calibri" w:hAnsi="Times New Roman" w:cs="Times New Roman"/>
          <w:sz w:val="28"/>
          <w:szCs w:val="28"/>
          <w:lang w:val="uk-UA" w:eastAsia="en-US"/>
        </w:rPr>
        <w:t xml:space="preserve"> з метою забезпечення більш плідної взаємодії та за ініціативою виконавчого комітету і бізнес-партнерів створена Рада підприємців, яка активно </w:t>
      </w:r>
      <w:r w:rsidR="00AD33A7" w:rsidRPr="001B5DE3">
        <w:rPr>
          <w:rFonts w:ascii="Times New Roman" w:eastAsia="Calibri" w:hAnsi="Times New Roman" w:cs="Times New Roman"/>
          <w:sz w:val="28"/>
          <w:szCs w:val="28"/>
          <w:lang w:val="uk-UA" w:eastAsia="en-US"/>
        </w:rPr>
        <w:t>б</w:t>
      </w:r>
      <w:r w:rsidR="0098440A" w:rsidRPr="001B5DE3">
        <w:rPr>
          <w:rFonts w:ascii="Times New Roman" w:eastAsia="Calibri" w:hAnsi="Times New Roman" w:cs="Times New Roman"/>
          <w:sz w:val="28"/>
          <w:szCs w:val="28"/>
          <w:lang w:val="uk-UA" w:eastAsia="en-US"/>
        </w:rPr>
        <w:t>ере</w:t>
      </w:r>
      <w:r w:rsidR="00AD33A7" w:rsidRPr="001B5DE3">
        <w:rPr>
          <w:rFonts w:ascii="Times New Roman" w:eastAsia="Calibri" w:hAnsi="Times New Roman" w:cs="Times New Roman"/>
          <w:sz w:val="28"/>
          <w:szCs w:val="28"/>
          <w:lang w:val="uk-UA" w:eastAsia="en-US"/>
        </w:rPr>
        <w:t xml:space="preserve"> участь в обговореннях питань</w:t>
      </w:r>
      <w:r w:rsidR="002400E1" w:rsidRPr="001B5DE3">
        <w:rPr>
          <w:rFonts w:ascii="Times New Roman" w:eastAsia="Calibri" w:hAnsi="Times New Roman" w:cs="Times New Roman"/>
          <w:sz w:val="28"/>
          <w:szCs w:val="28"/>
          <w:lang w:val="uk-UA" w:eastAsia="en-US"/>
        </w:rPr>
        <w:t xml:space="preserve"> щодо розвитку малого і середнього підприємництва, зменшення податкового навантаження, та сприяє реа</w:t>
      </w:r>
      <w:r w:rsidR="00D2237C" w:rsidRPr="001B5DE3">
        <w:rPr>
          <w:rFonts w:ascii="Times New Roman" w:eastAsia="Calibri" w:hAnsi="Times New Roman" w:cs="Times New Roman"/>
          <w:sz w:val="28"/>
          <w:szCs w:val="28"/>
          <w:lang w:val="uk-UA" w:eastAsia="en-US"/>
        </w:rPr>
        <w:t>лізації багатьох соціальних проє</w:t>
      </w:r>
      <w:r w:rsidR="002400E1" w:rsidRPr="001B5DE3">
        <w:rPr>
          <w:rFonts w:ascii="Times New Roman" w:eastAsia="Calibri" w:hAnsi="Times New Roman" w:cs="Times New Roman"/>
          <w:sz w:val="28"/>
          <w:szCs w:val="28"/>
          <w:lang w:val="uk-UA" w:eastAsia="en-US"/>
        </w:rPr>
        <w:t>ктів.</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В області створено розвинену інституційну мережу супроводу інвестора:</w:t>
      </w:r>
      <w:r w:rsidR="00432821" w:rsidRPr="001B5DE3">
        <w:rPr>
          <w:rFonts w:ascii="Times New Roman" w:eastAsia="Times New Roman" w:hAnsi="Times New Roman" w:cs="Times New Roman"/>
          <w:sz w:val="28"/>
          <w:szCs w:val="28"/>
          <w:lang w:val="uk-UA"/>
        </w:rPr>
        <w:t xml:space="preserve"> </w:t>
      </w:r>
      <w:r w:rsidR="00DE427C" w:rsidRPr="001B5DE3">
        <w:rPr>
          <w:rFonts w:ascii="Times New Roman" w:eastAsia="Times New Roman" w:hAnsi="Times New Roman" w:cs="Times New Roman"/>
          <w:sz w:val="28"/>
          <w:szCs w:val="28"/>
          <w:lang w:val="uk-UA"/>
        </w:rPr>
        <w:t>Д</w:t>
      </w:r>
      <w:r w:rsidR="00603B6B" w:rsidRPr="001B5DE3">
        <w:rPr>
          <w:rFonts w:ascii="Times New Roman" w:eastAsia="Times New Roman" w:hAnsi="Times New Roman" w:cs="Times New Roman"/>
          <w:sz w:val="28"/>
          <w:szCs w:val="28"/>
          <w:lang w:val="uk-UA"/>
        </w:rPr>
        <w:t>ержавне підп</w:t>
      </w:r>
      <w:r w:rsidR="00DE427C" w:rsidRPr="001B5DE3">
        <w:rPr>
          <w:rFonts w:ascii="Times New Roman" w:eastAsia="Times New Roman" w:hAnsi="Times New Roman" w:cs="Times New Roman"/>
          <w:sz w:val="28"/>
          <w:szCs w:val="28"/>
          <w:lang w:val="uk-UA"/>
        </w:rPr>
        <w:t>р</w:t>
      </w:r>
      <w:r w:rsidR="00603B6B" w:rsidRPr="001B5DE3">
        <w:rPr>
          <w:rFonts w:ascii="Times New Roman" w:eastAsia="Times New Roman" w:hAnsi="Times New Roman" w:cs="Times New Roman"/>
          <w:sz w:val="28"/>
          <w:szCs w:val="28"/>
          <w:lang w:val="uk-UA"/>
        </w:rPr>
        <w:t>иємство</w:t>
      </w:r>
      <w:r w:rsidRPr="001B5DE3">
        <w:rPr>
          <w:rFonts w:ascii="Times New Roman" w:eastAsia="Times New Roman" w:hAnsi="Times New Roman" w:cs="Times New Roman"/>
          <w:sz w:val="28"/>
          <w:szCs w:val="28"/>
          <w:lang w:val="uk-UA"/>
        </w:rPr>
        <w:t xml:space="preserve"> “</w:t>
      </w:r>
      <w:r w:rsidR="00603B6B" w:rsidRPr="001B5DE3">
        <w:rPr>
          <w:rFonts w:ascii="Times New Roman" w:eastAsia="Times New Roman" w:hAnsi="Times New Roman" w:cs="Times New Roman"/>
          <w:sz w:val="28"/>
          <w:szCs w:val="28"/>
          <w:lang w:val="uk-UA"/>
        </w:rPr>
        <w:t>І</w:t>
      </w:r>
      <w:r w:rsidRPr="001B5DE3">
        <w:rPr>
          <w:rFonts w:ascii="Times New Roman" w:eastAsia="Times New Roman" w:hAnsi="Times New Roman" w:cs="Times New Roman"/>
          <w:sz w:val="28"/>
          <w:szCs w:val="28"/>
          <w:lang w:val="uk-UA"/>
        </w:rPr>
        <w:t>н</w:t>
      </w:r>
      <w:r w:rsidR="00376A14" w:rsidRPr="001B5DE3">
        <w:rPr>
          <w:rFonts w:ascii="Times New Roman" w:eastAsia="Times New Roman" w:hAnsi="Times New Roman" w:cs="Times New Roman"/>
          <w:sz w:val="28"/>
          <w:szCs w:val="28"/>
          <w:lang w:val="uk-UA"/>
        </w:rPr>
        <w:t xml:space="preserve">вестиційно-інноваційний центр”, </w:t>
      </w:r>
      <w:r w:rsidR="00DE427C" w:rsidRPr="001B5DE3">
        <w:rPr>
          <w:rFonts w:ascii="Times New Roman" w:eastAsia="Times New Roman" w:hAnsi="Times New Roman" w:cs="Times New Roman"/>
          <w:sz w:val="28"/>
          <w:szCs w:val="28"/>
          <w:lang w:val="uk-UA"/>
        </w:rPr>
        <w:t>К</w:t>
      </w:r>
      <w:r w:rsidR="00376A14" w:rsidRPr="001B5DE3">
        <w:rPr>
          <w:rFonts w:ascii="Times New Roman" w:eastAsia="Times New Roman" w:hAnsi="Times New Roman" w:cs="Times New Roman"/>
          <w:sz w:val="28"/>
          <w:szCs w:val="28"/>
          <w:lang w:val="uk-UA"/>
        </w:rPr>
        <w:t>омунальний заклад</w:t>
      </w:r>
      <w:r w:rsidRPr="001B5DE3">
        <w:rPr>
          <w:rFonts w:ascii="Times New Roman" w:eastAsia="Times New Roman" w:hAnsi="Times New Roman" w:cs="Times New Roman"/>
          <w:sz w:val="28"/>
          <w:szCs w:val="28"/>
          <w:lang w:val="uk-UA"/>
        </w:rPr>
        <w:t xml:space="preserve"> “Дніпропетровське регіональне інвестиційне агентство” </w:t>
      </w:r>
      <w:r w:rsidR="000F6308" w:rsidRPr="001B5DE3">
        <w:rPr>
          <w:rFonts w:ascii="Times New Roman" w:eastAsia="Times New Roman" w:hAnsi="Times New Roman" w:cs="Times New Roman"/>
          <w:sz w:val="28"/>
          <w:szCs w:val="28"/>
          <w:lang w:val="uk-UA"/>
        </w:rPr>
        <w:t>Дніпро</w:t>
      </w:r>
      <w:r w:rsidR="008E2DC3">
        <w:rPr>
          <w:rFonts w:ascii="Times New Roman" w:eastAsia="Times New Roman" w:hAnsi="Times New Roman" w:cs="Times New Roman"/>
          <w:sz w:val="28"/>
          <w:szCs w:val="28"/>
          <w:lang w:val="uk-UA"/>
        </w:rPr>
        <w:t>-</w:t>
      </w:r>
      <w:r w:rsidR="000F6308" w:rsidRPr="001B5DE3">
        <w:rPr>
          <w:rFonts w:ascii="Times New Roman" w:eastAsia="Times New Roman" w:hAnsi="Times New Roman" w:cs="Times New Roman"/>
          <w:sz w:val="28"/>
          <w:szCs w:val="28"/>
          <w:lang w:val="uk-UA"/>
        </w:rPr>
        <w:t xml:space="preserve">петровської </w:t>
      </w:r>
      <w:r w:rsidRPr="001B5DE3">
        <w:rPr>
          <w:rFonts w:ascii="Times New Roman" w:eastAsia="Times New Roman" w:hAnsi="Times New Roman" w:cs="Times New Roman"/>
          <w:sz w:val="28"/>
          <w:szCs w:val="28"/>
          <w:lang w:val="uk-UA"/>
        </w:rPr>
        <w:t>обласної ради,</w:t>
      </w:r>
      <w:r w:rsidR="00376A14" w:rsidRPr="001B5DE3">
        <w:rPr>
          <w:rFonts w:ascii="Times New Roman" w:eastAsia="Times New Roman" w:hAnsi="Times New Roman" w:cs="Times New Roman"/>
          <w:sz w:val="28"/>
          <w:szCs w:val="28"/>
          <w:lang w:val="uk-UA"/>
        </w:rPr>
        <w:t xml:space="preserve"> </w:t>
      </w:r>
      <w:r w:rsidR="00DE427C" w:rsidRPr="001B5DE3">
        <w:rPr>
          <w:rFonts w:ascii="Times New Roman" w:eastAsia="Times New Roman" w:hAnsi="Times New Roman" w:cs="Times New Roman"/>
          <w:sz w:val="28"/>
          <w:szCs w:val="28"/>
          <w:lang w:val="uk-UA"/>
        </w:rPr>
        <w:t>К</w:t>
      </w:r>
      <w:r w:rsidR="000F6308" w:rsidRPr="001B5DE3">
        <w:rPr>
          <w:rFonts w:ascii="Times New Roman" w:eastAsia="Times New Roman" w:hAnsi="Times New Roman" w:cs="Times New Roman"/>
          <w:sz w:val="28"/>
          <w:szCs w:val="28"/>
          <w:lang w:val="uk-UA"/>
        </w:rPr>
        <w:t>омунальне підприємство</w:t>
      </w:r>
      <w:r w:rsidR="00DE427C"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lang w:val="uk-UA"/>
        </w:rPr>
        <w:t>“Агентство розвитку Дніпра”</w:t>
      </w:r>
      <w:r w:rsidR="006E774A" w:rsidRPr="001B5DE3">
        <w:rPr>
          <w:rFonts w:ascii="Times New Roman" w:eastAsia="Times New Roman" w:hAnsi="Times New Roman" w:cs="Times New Roman"/>
          <w:sz w:val="28"/>
          <w:szCs w:val="28"/>
          <w:lang w:val="uk-UA"/>
        </w:rPr>
        <w:t xml:space="preserve"> Дніпровської міської ради</w:t>
      </w:r>
      <w:r w:rsidRPr="001B5DE3">
        <w:rPr>
          <w:rFonts w:ascii="Times New Roman" w:eastAsia="Times New Roman" w:hAnsi="Times New Roman" w:cs="Times New Roman"/>
          <w:sz w:val="28"/>
          <w:szCs w:val="28"/>
          <w:lang w:val="uk-UA"/>
        </w:rPr>
        <w:t xml:space="preserve">, місцеві інвестиційні інституції у містах Павлоград, Нікополь, Кривий Ріг та інших. При Дніпропетровській облдержадміністрації створені інвестиційний центр та гаряча лінія з питань захисту прав інвесторів, протидії незаконному поглинанню та захопленню підприємств. </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На офіційному вебсайті облдержадміністрації (</w:t>
      </w:r>
      <w:hyperlink r:id="rId9">
        <w:r w:rsidRPr="001B5DE3">
          <w:rPr>
            <w:rFonts w:ascii="Times New Roman" w:eastAsia="Times New Roman" w:hAnsi="Times New Roman" w:cs="Times New Roman"/>
            <w:sz w:val="28"/>
            <w:szCs w:val="28"/>
            <w:lang w:val="uk-UA"/>
          </w:rPr>
          <w:t>www.adm.dp.gov.ua</w:t>
        </w:r>
      </w:hyperlink>
      <w:r w:rsidRPr="001B5DE3">
        <w:rPr>
          <w:rFonts w:ascii="Times New Roman" w:eastAsia="Times New Roman" w:hAnsi="Times New Roman" w:cs="Times New Roman"/>
          <w:sz w:val="28"/>
          <w:szCs w:val="28"/>
          <w:lang w:val="uk-UA"/>
        </w:rPr>
        <w:t>) створено окремий інформаційний ресурс для бізнесу, інвесторів, експортерів.</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Заходи підтримки малого та середнього бізнесу регіону спрямовані на створення нових робочих місць, зростання валового внутрішнього продукту, стимулювання розвитку конкурентоспроможності та інноваційного потенціалу регіональної економіки.</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Діяльність щодо реалізації державної регуляторної політики та дерегуляції господарської діяльності на території Дніпропетровської області спрямована на вдосконалення правового регулювання господарських та адміністративних відносин між органами державної влади та суб’єктами господарювання у різних сферах, покращення бізнес-клімату в регіоні, усунення перешкод для розвитку підприємництва, підвищення рівня нормотворчої діяльності тощо.</w:t>
      </w:r>
    </w:p>
    <w:p w:rsidR="002400E1" w:rsidRPr="001B5DE3" w:rsidRDefault="002400E1" w:rsidP="001B5DE3">
      <w:pPr>
        <w:spacing w:after="0" w:line="240"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У червні при Державній регуляторній службі України створено міжрегіональну робочу групу з питань здійснення державної регуляторної політики та проведення дерегуляції господарської діяльності. </w:t>
      </w:r>
      <w:r w:rsidR="00432821" w:rsidRPr="001B5DE3">
        <w:rPr>
          <w:rFonts w:ascii="Times New Roman" w:eastAsia="Times New Roman" w:hAnsi="Times New Roman" w:cs="Times New Roman"/>
          <w:sz w:val="28"/>
          <w:szCs w:val="28"/>
          <w:shd w:val="clear" w:color="auto" w:fill="FFFFFF"/>
          <w:lang w:val="uk-UA"/>
        </w:rPr>
        <w:br/>
      </w:r>
      <w:r w:rsidRPr="001B5DE3">
        <w:rPr>
          <w:rFonts w:ascii="Times New Roman" w:eastAsia="Times New Roman" w:hAnsi="Times New Roman" w:cs="Times New Roman"/>
          <w:sz w:val="28"/>
          <w:szCs w:val="28"/>
          <w:shd w:val="clear" w:color="auto" w:fill="FFFFFF"/>
          <w:lang w:val="uk-UA"/>
        </w:rPr>
        <w:t xml:space="preserve">08.07.2021 взято участь у засіданні міжрегіональної робочої групи у режимі онлайн на платформі </w:t>
      </w:r>
      <w:r w:rsidR="0098440A"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en-US"/>
        </w:rPr>
        <w:t>Zoom</w:t>
      </w:r>
      <w:r w:rsidR="0098440A"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w:t>
      </w:r>
    </w:p>
    <w:p w:rsidR="002400E1" w:rsidRPr="001B5DE3" w:rsidRDefault="002400E1" w:rsidP="008E2DC3">
      <w:pPr>
        <w:spacing w:after="0" w:line="226" w:lineRule="auto"/>
        <w:ind w:firstLine="709"/>
        <w:jc w:val="both"/>
        <w:rPr>
          <w:rFonts w:ascii="Times New Roman" w:eastAsia="Times New Roman" w:hAnsi="Times New Roman" w:cs="Times New Roman"/>
          <w:bCs/>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lastRenderedPageBreak/>
        <w:t xml:space="preserve">Для оптимізації процесу планування діяльності з підготовки проєктів регуляторних актів місцевими органами влади регіону затверджені плани діяльності з підготовки проєктів регуляторних актів. З метою реалізації принципу послідовності та передбачуваності державної регуляторної політики, на підставі пропозицій структурних підрозділів </w:t>
      </w:r>
      <w:r w:rsidRPr="001B5DE3">
        <w:rPr>
          <w:rFonts w:ascii="Times New Roman" w:eastAsia="Times New Roman" w:hAnsi="Times New Roman" w:cs="Times New Roman"/>
          <w:bCs/>
          <w:sz w:val="28"/>
          <w:szCs w:val="28"/>
          <w:shd w:val="clear" w:color="auto" w:fill="FFFFFF"/>
          <w:lang w:val="uk-UA"/>
        </w:rPr>
        <w:t>облдержадміністрації – розробників проєктів регуляторних актів, затверджено План діяльності з підготовки проєктів регуляторних актів облдержадміністрації на 2021 рік, який оприлюднений на офіційному вебсайті облдержадміністрації у рубриці “Регуляторна діяльність”</w:t>
      </w:r>
      <w:r w:rsidR="009536BF" w:rsidRPr="001B5DE3">
        <w:rPr>
          <w:rFonts w:ascii="Times New Roman" w:eastAsia="Times New Roman" w:hAnsi="Times New Roman" w:cs="Times New Roman"/>
          <w:bCs/>
          <w:sz w:val="28"/>
          <w:szCs w:val="28"/>
          <w:shd w:val="clear" w:color="auto" w:fill="FFFFFF"/>
          <w:lang w:val="uk-UA"/>
        </w:rPr>
        <w:t>:</w:t>
      </w:r>
      <w:r w:rsidR="00443407" w:rsidRPr="001B5DE3">
        <w:rPr>
          <w:rFonts w:ascii="Times New Roman" w:eastAsia="Times New Roman" w:hAnsi="Times New Roman" w:cs="Times New Roman"/>
          <w:bCs/>
          <w:sz w:val="28"/>
          <w:szCs w:val="28"/>
          <w:shd w:val="clear" w:color="auto" w:fill="FFFFFF"/>
          <w:lang w:val="uk-UA"/>
        </w:rPr>
        <w:t xml:space="preserve"> </w:t>
      </w:r>
      <w:hyperlink r:id="rId10" w:history="1">
        <w:r w:rsidR="00727718" w:rsidRPr="001B5DE3">
          <w:rPr>
            <w:rStyle w:val="afb"/>
            <w:rFonts w:ascii="Times New Roman" w:eastAsia="Times New Roman" w:hAnsi="Times New Roman" w:cs="Times New Roman"/>
            <w:bCs/>
            <w:color w:val="auto"/>
            <w:sz w:val="28"/>
            <w:szCs w:val="28"/>
            <w:shd w:val="clear" w:color="auto" w:fill="FFFFFF"/>
            <w:lang w:val="uk-UA"/>
          </w:rPr>
          <w:t>https://adm.dp.gov.ua/storage/app/media/uploaded-files/plan_diyalnosti_na_2021_reg_akti_.pdf</w:t>
        </w:r>
      </w:hyperlink>
      <w:r w:rsidRPr="001B5DE3">
        <w:rPr>
          <w:rFonts w:ascii="Times New Roman" w:eastAsia="Times New Roman" w:hAnsi="Times New Roman" w:cs="Times New Roman"/>
          <w:bCs/>
          <w:sz w:val="28"/>
          <w:szCs w:val="28"/>
          <w:shd w:val="clear" w:color="auto" w:fill="FFFFFF"/>
          <w:lang w:val="uk-UA"/>
        </w:rPr>
        <w:t xml:space="preserve">. До Плану діяльності з підготовки проєктів регуляторних актів облдержадміністрації на 2021 рік включено </w:t>
      </w:r>
      <w:r w:rsidR="00727718" w:rsidRPr="001B5DE3">
        <w:rPr>
          <w:rFonts w:ascii="Times New Roman" w:eastAsia="Times New Roman" w:hAnsi="Times New Roman" w:cs="Times New Roman"/>
          <w:bCs/>
          <w:sz w:val="28"/>
          <w:szCs w:val="28"/>
          <w:shd w:val="clear" w:color="auto" w:fill="FFFFFF"/>
          <w:lang w:val="uk-UA"/>
        </w:rPr>
        <w:br/>
      </w:r>
      <w:r w:rsidRPr="001B5DE3">
        <w:rPr>
          <w:rFonts w:ascii="Times New Roman" w:eastAsia="Times New Roman" w:hAnsi="Times New Roman" w:cs="Times New Roman"/>
          <w:bCs/>
          <w:sz w:val="28"/>
          <w:szCs w:val="28"/>
          <w:shd w:val="clear" w:color="auto" w:fill="FFFFFF"/>
          <w:lang w:val="uk-UA"/>
        </w:rPr>
        <w:t>1 пр</w:t>
      </w:r>
      <w:r w:rsidR="00295CFB" w:rsidRPr="001B5DE3">
        <w:rPr>
          <w:rFonts w:ascii="Times New Roman" w:eastAsia="Times New Roman" w:hAnsi="Times New Roman" w:cs="Times New Roman"/>
          <w:bCs/>
          <w:sz w:val="28"/>
          <w:szCs w:val="28"/>
          <w:shd w:val="clear" w:color="auto" w:fill="FFFFFF"/>
          <w:lang w:val="uk-UA"/>
        </w:rPr>
        <w:t>оєкт регуляторного акта. Всього</w:t>
      </w:r>
      <w:r w:rsidRPr="001B5DE3">
        <w:rPr>
          <w:rFonts w:ascii="Times New Roman" w:eastAsia="Times New Roman" w:hAnsi="Times New Roman" w:cs="Times New Roman"/>
          <w:bCs/>
          <w:sz w:val="28"/>
          <w:szCs w:val="28"/>
          <w:shd w:val="clear" w:color="auto" w:fill="FFFFFF"/>
          <w:lang w:val="uk-UA"/>
        </w:rPr>
        <w:t xml:space="preserve"> місцевими</w:t>
      </w:r>
      <w:r w:rsidR="00295CFB" w:rsidRPr="001B5DE3">
        <w:rPr>
          <w:rFonts w:ascii="Times New Roman" w:eastAsia="Times New Roman" w:hAnsi="Times New Roman" w:cs="Times New Roman"/>
          <w:bCs/>
          <w:sz w:val="28"/>
          <w:szCs w:val="28"/>
          <w:shd w:val="clear" w:color="auto" w:fill="FFFFFF"/>
          <w:lang w:val="uk-UA"/>
        </w:rPr>
        <w:t xml:space="preserve"> органами влади на поточний рік</w:t>
      </w:r>
      <w:r w:rsidRPr="001B5DE3">
        <w:rPr>
          <w:rFonts w:ascii="Times New Roman" w:eastAsia="Times New Roman" w:hAnsi="Times New Roman" w:cs="Times New Roman"/>
          <w:bCs/>
          <w:sz w:val="28"/>
          <w:szCs w:val="28"/>
          <w:shd w:val="clear" w:color="auto" w:fill="FFFFFF"/>
          <w:lang w:val="uk-UA"/>
        </w:rPr>
        <w:t xml:space="preserve"> заплановано 288 проєктів регуляторних актів, з них 118 – міськими радами.</w:t>
      </w:r>
    </w:p>
    <w:p w:rsidR="002400E1" w:rsidRPr="001B5DE3" w:rsidRDefault="002400E1" w:rsidP="008E2DC3">
      <w:pPr>
        <w:spacing w:after="0" w:line="226" w:lineRule="auto"/>
        <w:ind w:firstLine="709"/>
        <w:jc w:val="both"/>
        <w:rPr>
          <w:rFonts w:ascii="Times New Roman" w:eastAsia="Times New Roman" w:hAnsi="Times New Roman" w:cs="Times New Roman"/>
          <w:bCs/>
          <w:sz w:val="28"/>
          <w:szCs w:val="28"/>
          <w:shd w:val="clear" w:color="auto" w:fill="FFFFFF"/>
          <w:lang w:val="uk-UA"/>
        </w:rPr>
      </w:pPr>
      <w:r w:rsidRPr="001B5DE3">
        <w:rPr>
          <w:rFonts w:ascii="Times New Roman" w:eastAsia="Times New Roman" w:hAnsi="Times New Roman" w:cs="Times New Roman"/>
          <w:bCs/>
          <w:sz w:val="28"/>
          <w:szCs w:val="28"/>
          <w:shd w:val="clear" w:color="auto" w:fill="FFFFFF"/>
          <w:lang w:val="uk-UA"/>
        </w:rPr>
        <w:t>Місцевими радами (їх виконавчими органами) та райдержадміністраціями вживалися заходи щодо залучення бізнес-спільноти до регуляторних процесів, забезпечення участі підприємців у підготовці й обговоренні проєктів нормативно-правових актів місцевого рівня.</w:t>
      </w:r>
    </w:p>
    <w:p w:rsidR="002400E1" w:rsidRPr="001B5DE3" w:rsidRDefault="002400E1" w:rsidP="008E2DC3">
      <w:pPr>
        <w:spacing w:after="0" w:line="226" w:lineRule="auto"/>
        <w:ind w:firstLine="709"/>
        <w:jc w:val="both"/>
        <w:rPr>
          <w:rFonts w:ascii="Times New Roman" w:eastAsia="Times New Roman" w:hAnsi="Times New Roman" w:cs="Times New Roman"/>
          <w:bCs/>
          <w:sz w:val="28"/>
          <w:szCs w:val="28"/>
          <w:shd w:val="clear" w:color="auto" w:fill="FFFFFF"/>
          <w:lang w:val="uk-UA"/>
        </w:rPr>
      </w:pPr>
      <w:r w:rsidRPr="001B5DE3">
        <w:rPr>
          <w:rFonts w:ascii="Times New Roman" w:eastAsia="Times New Roman" w:hAnsi="Times New Roman" w:cs="Times New Roman"/>
          <w:bCs/>
          <w:sz w:val="28"/>
          <w:szCs w:val="28"/>
          <w:shd w:val="clear" w:color="auto" w:fill="FFFFFF"/>
          <w:lang w:val="uk-UA"/>
        </w:rPr>
        <w:t xml:space="preserve">Протягом І півріччя 2021 року місцевими регуляторними органами Дніпропетровської області проведено 177 публічних обговорень проєктів регуляторних актів, зокрема 53 громадських слухання, 57 круглих столів, </w:t>
      </w:r>
      <w:r w:rsidR="004314CA" w:rsidRPr="001B5DE3">
        <w:rPr>
          <w:rFonts w:ascii="Times New Roman" w:eastAsia="Times New Roman" w:hAnsi="Times New Roman" w:cs="Times New Roman"/>
          <w:bCs/>
          <w:sz w:val="28"/>
          <w:szCs w:val="28"/>
          <w:shd w:val="clear" w:color="auto" w:fill="FFFFFF"/>
          <w:lang w:val="uk-UA"/>
        </w:rPr>
        <w:br/>
      </w:r>
      <w:r w:rsidRPr="001B5DE3">
        <w:rPr>
          <w:rFonts w:ascii="Times New Roman" w:eastAsia="Times New Roman" w:hAnsi="Times New Roman" w:cs="Times New Roman"/>
          <w:bCs/>
          <w:sz w:val="28"/>
          <w:szCs w:val="28"/>
          <w:shd w:val="clear" w:color="auto" w:fill="FFFFFF"/>
          <w:lang w:val="uk-UA"/>
        </w:rPr>
        <w:t>1 семінар та 63 форуми і збори.</w:t>
      </w:r>
    </w:p>
    <w:p w:rsidR="002400E1" w:rsidRPr="001B5DE3" w:rsidRDefault="002400E1" w:rsidP="008E2DC3">
      <w:pPr>
        <w:spacing w:after="0" w:line="226" w:lineRule="auto"/>
        <w:ind w:firstLine="709"/>
        <w:jc w:val="both"/>
        <w:rPr>
          <w:rFonts w:ascii="Times New Roman" w:eastAsia="Times New Roman" w:hAnsi="Times New Roman" w:cs="Times New Roman"/>
          <w:bCs/>
          <w:sz w:val="28"/>
          <w:szCs w:val="28"/>
          <w:shd w:val="clear" w:color="auto" w:fill="FFFFFF"/>
          <w:lang w:val="uk-UA"/>
        </w:rPr>
      </w:pPr>
      <w:r w:rsidRPr="001B5DE3">
        <w:rPr>
          <w:rFonts w:ascii="Times New Roman" w:eastAsia="Times New Roman" w:hAnsi="Times New Roman" w:cs="Times New Roman"/>
          <w:bCs/>
          <w:sz w:val="28"/>
          <w:szCs w:val="28"/>
          <w:shd w:val="clear" w:color="auto" w:fill="FFFFFF"/>
          <w:lang w:val="uk-UA"/>
        </w:rPr>
        <w:t>У звітному періоді органами місцевого самоврядування області прийнято 122 регуляторних акти. Переважно зазначені рішення стосуються ставок сплати податку на нерухоме майно, ставок земельного податку, розміру орендної плати за землю, встановлення тарифів на транспортні послуги тощо.</w:t>
      </w:r>
    </w:p>
    <w:p w:rsidR="002400E1" w:rsidRPr="001B5DE3" w:rsidRDefault="002400E1" w:rsidP="008E2DC3">
      <w:pPr>
        <w:spacing w:after="0" w:line="226" w:lineRule="auto"/>
        <w:ind w:firstLine="709"/>
        <w:jc w:val="both"/>
        <w:rPr>
          <w:rFonts w:ascii="Times New Roman" w:eastAsia="Times New Roman" w:hAnsi="Times New Roman" w:cs="Times New Roman"/>
          <w:bCs/>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У з</w:t>
      </w:r>
      <w:r w:rsidR="00C6029F" w:rsidRPr="001B5DE3">
        <w:rPr>
          <w:rFonts w:ascii="Times New Roman" w:eastAsia="Times New Roman" w:hAnsi="Times New Roman" w:cs="Times New Roman"/>
          <w:sz w:val="28"/>
          <w:szCs w:val="28"/>
          <w:shd w:val="clear" w:color="auto" w:fill="FFFFFF"/>
          <w:lang w:val="uk-UA"/>
        </w:rPr>
        <w:t xml:space="preserve">в’язку </w:t>
      </w:r>
      <w:r w:rsidRPr="001B5DE3">
        <w:rPr>
          <w:rFonts w:ascii="Times New Roman" w:eastAsia="Times New Roman" w:hAnsi="Times New Roman" w:cs="Times New Roman"/>
          <w:sz w:val="28"/>
          <w:szCs w:val="28"/>
          <w:shd w:val="clear" w:color="auto" w:fill="FFFFFF"/>
          <w:lang w:val="uk-UA"/>
        </w:rPr>
        <w:t>з</w:t>
      </w:r>
      <w:r w:rsidR="00C6029F" w:rsidRPr="001B5DE3">
        <w:rPr>
          <w:rFonts w:ascii="Times New Roman" w:eastAsia="Times New Roman" w:hAnsi="Times New Roman" w:cs="Times New Roman"/>
          <w:sz w:val="28"/>
          <w:szCs w:val="28"/>
          <w:shd w:val="clear" w:color="auto" w:fill="FFFFFF"/>
          <w:lang w:val="uk-UA"/>
        </w:rPr>
        <w:t>і</w:t>
      </w:r>
      <w:r w:rsidRPr="001B5DE3">
        <w:rPr>
          <w:rFonts w:ascii="Times New Roman" w:eastAsia="Times New Roman" w:hAnsi="Times New Roman" w:cs="Times New Roman"/>
          <w:sz w:val="28"/>
          <w:szCs w:val="28"/>
          <w:shd w:val="clear" w:color="auto" w:fill="FFFFFF"/>
          <w:lang w:val="uk-UA"/>
        </w:rPr>
        <w:t xml:space="preserve"> змінами територіальних меж районів та виникненням нагальної необхідності приведення у відповідність до вимог законодавства </w:t>
      </w:r>
      <w:r w:rsidR="00C6029F" w:rsidRPr="001B5DE3">
        <w:rPr>
          <w:rFonts w:ascii="Times New Roman" w:eastAsia="Times New Roman" w:hAnsi="Times New Roman" w:cs="Times New Roman"/>
          <w:sz w:val="28"/>
          <w:szCs w:val="28"/>
          <w:shd w:val="clear" w:color="auto" w:fill="FFFFFF"/>
          <w:lang w:val="uk-UA"/>
        </w:rPr>
        <w:t>чинних</w:t>
      </w:r>
      <w:r w:rsidRPr="001B5DE3">
        <w:rPr>
          <w:rFonts w:ascii="Times New Roman" w:eastAsia="Times New Roman" w:hAnsi="Times New Roman" w:cs="Times New Roman"/>
          <w:sz w:val="28"/>
          <w:szCs w:val="28"/>
          <w:shd w:val="clear" w:color="auto" w:fill="FFFFFF"/>
          <w:lang w:val="uk-UA"/>
        </w:rPr>
        <w:t xml:space="preserve"> нормативно-правових актів розпочато роботу щодо організації в органах місцевого самоврядування інвентаризації наявних регуляторних актів. </w:t>
      </w:r>
      <w:r w:rsidRPr="001B5DE3">
        <w:rPr>
          <w:rFonts w:ascii="Times New Roman" w:eastAsia="Times New Roman" w:hAnsi="Times New Roman" w:cs="Times New Roman"/>
          <w:bCs/>
          <w:sz w:val="28"/>
          <w:szCs w:val="28"/>
          <w:shd w:val="clear" w:color="auto" w:fill="FFFFFF"/>
          <w:lang w:val="uk-UA"/>
        </w:rPr>
        <w:t xml:space="preserve">На сайті </w:t>
      </w:r>
      <w:r w:rsidR="00C6029F" w:rsidRPr="001B5DE3">
        <w:rPr>
          <w:rFonts w:ascii="Times New Roman" w:eastAsia="Times New Roman" w:hAnsi="Times New Roman" w:cs="Times New Roman"/>
          <w:bCs/>
          <w:sz w:val="28"/>
          <w:szCs w:val="28"/>
          <w:shd w:val="clear" w:color="auto" w:fill="FFFFFF"/>
          <w:lang w:val="uk-UA"/>
        </w:rPr>
        <w:t>облдержадміністрації</w:t>
      </w:r>
      <w:r w:rsidRPr="001B5DE3">
        <w:rPr>
          <w:rFonts w:ascii="Times New Roman" w:eastAsia="Times New Roman" w:hAnsi="Times New Roman" w:cs="Times New Roman"/>
          <w:bCs/>
          <w:sz w:val="28"/>
          <w:szCs w:val="28"/>
          <w:shd w:val="clear" w:color="auto" w:fill="FFFFFF"/>
          <w:lang w:val="uk-UA"/>
        </w:rPr>
        <w:t xml:space="preserve"> розміщений перелік </w:t>
      </w:r>
      <w:r w:rsidR="00C6029F" w:rsidRPr="001B5DE3">
        <w:rPr>
          <w:rFonts w:ascii="Times New Roman" w:eastAsia="Times New Roman" w:hAnsi="Times New Roman" w:cs="Times New Roman"/>
          <w:bCs/>
          <w:sz w:val="28"/>
          <w:szCs w:val="28"/>
          <w:shd w:val="clear" w:color="auto" w:fill="FFFFFF"/>
          <w:lang w:val="uk-UA"/>
        </w:rPr>
        <w:t>чинних</w:t>
      </w:r>
      <w:r w:rsidRPr="001B5DE3">
        <w:rPr>
          <w:rFonts w:ascii="Times New Roman" w:eastAsia="Times New Roman" w:hAnsi="Times New Roman" w:cs="Times New Roman"/>
          <w:bCs/>
          <w:sz w:val="28"/>
          <w:szCs w:val="28"/>
          <w:shd w:val="clear" w:color="auto" w:fill="FFFFFF"/>
          <w:lang w:val="uk-UA"/>
        </w:rPr>
        <w:t xml:space="preserve"> регуляторних актів структурних підрозділів облдержадміністрації станом на 01.07.2021, який містить 4 регуляторн</w:t>
      </w:r>
      <w:r w:rsidR="002D4937" w:rsidRPr="001B5DE3">
        <w:rPr>
          <w:rFonts w:ascii="Times New Roman" w:eastAsia="Times New Roman" w:hAnsi="Times New Roman" w:cs="Times New Roman"/>
          <w:bCs/>
          <w:sz w:val="28"/>
          <w:szCs w:val="28"/>
          <w:shd w:val="clear" w:color="auto" w:fill="FFFFFF"/>
          <w:lang w:val="uk-UA"/>
        </w:rPr>
        <w:t>их</w:t>
      </w:r>
      <w:r w:rsidRPr="001B5DE3">
        <w:rPr>
          <w:rFonts w:ascii="Times New Roman" w:eastAsia="Times New Roman" w:hAnsi="Times New Roman" w:cs="Times New Roman"/>
          <w:bCs/>
          <w:sz w:val="28"/>
          <w:szCs w:val="28"/>
          <w:shd w:val="clear" w:color="auto" w:fill="FFFFFF"/>
          <w:lang w:val="uk-UA"/>
        </w:rPr>
        <w:t xml:space="preserve"> акти. </w:t>
      </w:r>
      <w:r w:rsidR="002D4937" w:rsidRPr="001B5DE3">
        <w:rPr>
          <w:rFonts w:ascii="Times New Roman" w:eastAsia="Times New Roman" w:hAnsi="Times New Roman" w:cs="Times New Roman"/>
          <w:bCs/>
          <w:sz w:val="28"/>
          <w:szCs w:val="28"/>
          <w:shd w:val="clear" w:color="auto" w:fill="FFFFFF"/>
          <w:lang w:val="uk-UA"/>
        </w:rPr>
        <w:t>Як</w:t>
      </w:r>
      <w:r w:rsidRPr="001B5DE3">
        <w:rPr>
          <w:rFonts w:ascii="Times New Roman" w:eastAsia="Times New Roman" w:hAnsi="Times New Roman" w:cs="Times New Roman"/>
          <w:bCs/>
          <w:sz w:val="28"/>
          <w:szCs w:val="28"/>
          <w:shd w:val="clear" w:color="auto" w:fill="FFFFFF"/>
          <w:lang w:val="uk-UA"/>
        </w:rPr>
        <w:t xml:space="preserve"> підсум</w:t>
      </w:r>
      <w:r w:rsidR="002D4937" w:rsidRPr="001B5DE3">
        <w:rPr>
          <w:rFonts w:ascii="Times New Roman" w:eastAsia="Times New Roman" w:hAnsi="Times New Roman" w:cs="Times New Roman"/>
          <w:bCs/>
          <w:sz w:val="28"/>
          <w:szCs w:val="28"/>
          <w:shd w:val="clear" w:color="auto" w:fill="FFFFFF"/>
          <w:lang w:val="uk-UA"/>
        </w:rPr>
        <w:t>ок</w:t>
      </w:r>
      <w:r w:rsidR="00D918E4" w:rsidRPr="001B5DE3">
        <w:rPr>
          <w:rFonts w:ascii="Times New Roman" w:eastAsia="Times New Roman" w:hAnsi="Times New Roman" w:cs="Times New Roman"/>
          <w:bCs/>
          <w:sz w:val="28"/>
          <w:szCs w:val="28"/>
          <w:shd w:val="clear" w:color="auto" w:fill="FFFFFF"/>
          <w:lang w:val="uk-UA"/>
        </w:rPr>
        <w:t>,</w:t>
      </w:r>
      <w:r w:rsidR="00727718" w:rsidRPr="001B5DE3">
        <w:rPr>
          <w:rFonts w:ascii="Times New Roman" w:eastAsia="Times New Roman" w:hAnsi="Times New Roman" w:cs="Times New Roman"/>
          <w:bCs/>
          <w:sz w:val="28"/>
          <w:szCs w:val="28"/>
          <w:shd w:val="clear" w:color="auto" w:fill="FFFFFF"/>
          <w:lang w:val="uk-UA"/>
        </w:rPr>
        <w:t xml:space="preserve"> по області</w:t>
      </w:r>
      <w:r w:rsidRPr="001B5DE3">
        <w:rPr>
          <w:rFonts w:ascii="Times New Roman" w:eastAsia="Times New Roman" w:hAnsi="Times New Roman" w:cs="Times New Roman"/>
          <w:bCs/>
          <w:sz w:val="28"/>
          <w:szCs w:val="28"/>
          <w:shd w:val="clear" w:color="auto" w:fill="FFFFFF"/>
          <w:lang w:val="uk-UA"/>
        </w:rPr>
        <w:t xml:space="preserve"> до реєстрів чинних регуляторних актів міських, селищних, сільських рад та райдержадміністрацій внесено 461 регуляторний акт.</w:t>
      </w:r>
    </w:p>
    <w:p w:rsidR="002400E1" w:rsidRPr="001B5DE3" w:rsidRDefault="002400E1" w:rsidP="008E2DC3">
      <w:pPr>
        <w:spacing w:after="0" w:line="226"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Сформовано базу даних, що містить інформацію про наявність в органах місцевого самоврядування області постійних комісій з питань реалізації </w:t>
      </w:r>
      <w:r w:rsidR="00A43B49" w:rsidRPr="001B5DE3">
        <w:rPr>
          <w:rFonts w:ascii="Times New Roman" w:eastAsia="Times New Roman" w:hAnsi="Times New Roman" w:cs="Times New Roman"/>
          <w:sz w:val="28"/>
          <w:szCs w:val="28"/>
          <w:lang w:val="uk-UA"/>
        </w:rPr>
        <w:t>дерегуляції господарської діяльності</w:t>
      </w:r>
      <w:r w:rsidR="00D67A67" w:rsidRPr="001B5DE3">
        <w:rPr>
          <w:rFonts w:ascii="Times New Roman" w:eastAsia="Times New Roman" w:hAnsi="Times New Roman" w:cs="Times New Roman"/>
          <w:sz w:val="28"/>
          <w:szCs w:val="28"/>
          <w:lang w:val="uk-UA"/>
        </w:rPr>
        <w:t xml:space="preserve"> (далі – ДРП)</w:t>
      </w:r>
      <w:r w:rsidRPr="001B5DE3">
        <w:rPr>
          <w:rFonts w:ascii="Times New Roman" w:eastAsia="Times New Roman" w:hAnsi="Times New Roman" w:cs="Times New Roman"/>
          <w:sz w:val="28"/>
          <w:szCs w:val="28"/>
          <w:shd w:val="clear" w:color="auto" w:fill="FFFFFF"/>
          <w:lang w:val="uk-UA"/>
        </w:rPr>
        <w:t>, відповідального структурного підрозділу або посадової особи для реалізації ДРП у виконавчих комітетах органів місцевого самоврядування та у місцевих органах виконавчої влади.</w:t>
      </w:r>
    </w:p>
    <w:p w:rsidR="002400E1" w:rsidRPr="001B5DE3" w:rsidRDefault="002400E1" w:rsidP="008E2DC3">
      <w:pPr>
        <w:spacing w:after="0" w:line="226"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Проведено 2 онлайн-наради з головами територіальних громад області та посадовими особами, відповідальними за здійснення ДРП, місцевого регуляторного органу. </w:t>
      </w:r>
    </w:p>
    <w:p w:rsidR="002400E1" w:rsidRPr="001B5DE3" w:rsidRDefault="002400E1" w:rsidP="008E2DC3">
      <w:pPr>
        <w:spacing w:after="0" w:line="226"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 xml:space="preserve">Здійснено аналіз сайтів міських, селищних, сільських рад регіону на предмет їх наявності та наповненості інформацією з питань у сфері реалізації  ДРП (всі 86 громад мають офіційний сайт, де відповідно до законодавства оприлюднюються проєкти регуляторних актів; 69 сайтів громад мають окремий розділ </w:t>
      </w:r>
      <w:r w:rsidR="00C979DF" w:rsidRPr="001B5DE3">
        <w:rPr>
          <w:rFonts w:ascii="Times New Roman" w:eastAsia="Times New Roman" w:hAnsi="Times New Roman" w:cs="Times New Roman"/>
          <w:sz w:val="28"/>
          <w:szCs w:val="28"/>
          <w:shd w:val="clear" w:color="auto" w:fill="FFFFFF"/>
          <w:lang w:val="uk-UA"/>
        </w:rPr>
        <w:t>“</w:t>
      </w:r>
      <w:r w:rsidR="00D918E4" w:rsidRPr="001B5DE3">
        <w:rPr>
          <w:rFonts w:ascii="Times New Roman" w:eastAsia="Times New Roman" w:hAnsi="Times New Roman" w:cs="Times New Roman"/>
          <w:sz w:val="28"/>
          <w:szCs w:val="28"/>
          <w:shd w:val="clear" w:color="auto" w:fill="FFFFFF"/>
          <w:lang w:val="uk-UA"/>
        </w:rPr>
        <w:t>Р</w:t>
      </w:r>
      <w:r w:rsidRPr="001B5DE3">
        <w:rPr>
          <w:rFonts w:ascii="Times New Roman" w:eastAsia="Times New Roman" w:hAnsi="Times New Roman" w:cs="Times New Roman"/>
          <w:sz w:val="28"/>
          <w:szCs w:val="28"/>
          <w:shd w:val="clear" w:color="auto" w:fill="FFFFFF"/>
          <w:lang w:val="uk-UA"/>
        </w:rPr>
        <w:t>егуляторна діяльність</w:t>
      </w:r>
      <w:r w:rsidR="00C979DF"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w:t>
      </w:r>
    </w:p>
    <w:p w:rsidR="002400E1" w:rsidRPr="001B5DE3" w:rsidRDefault="002400E1" w:rsidP="004930B3">
      <w:pPr>
        <w:spacing w:after="0" w:line="235"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lastRenderedPageBreak/>
        <w:t>На головній сторінці офіцій</w:t>
      </w:r>
      <w:r w:rsidR="00933CC6" w:rsidRPr="001B5DE3">
        <w:rPr>
          <w:rFonts w:ascii="Times New Roman" w:eastAsia="Times New Roman" w:hAnsi="Times New Roman" w:cs="Times New Roman"/>
          <w:sz w:val="28"/>
          <w:szCs w:val="28"/>
          <w:shd w:val="clear" w:color="auto" w:fill="FFFFFF"/>
          <w:lang w:val="uk-UA"/>
        </w:rPr>
        <w:t>ного сайту облдержадміністрації</w:t>
      </w:r>
      <w:r w:rsidRPr="001B5DE3">
        <w:rPr>
          <w:rFonts w:ascii="Times New Roman" w:eastAsia="Times New Roman" w:hAnsi="Times New Roman" w:cs="Times New Roman"/>
          <w:sz w:val="28"/>
          <w:szCs w:val="28"/>
          <w:shd w:val="clear" w:color="auto" w:fill="FFFFFF"/>
          <w:lang w:val="uk-UA"/>
        </w:rPr>
        <w:t xml:space="preserve"> розміщено банер-посилання на сайт </w:t>
      </w:r>
      <w:r w:rsidR="00D72569" w:rsidRPr="001B5DE3">
        <w:rPr>
          <w:rFonts w:ascii="Times New Roman" w:eastAsia="Times New Roman" w:hAnsi="Times New Roman" w:cs="Times New Roman"/>
          <w:sz w:val="28"/>
          <w:szCs w:val="28"/>
          <w:shd w:val="clear" w:color="auto" w:fill="FFFFFF"/>
          <w:lang w:val="uk-UA"/>
        </w:rPr>
        <w:t>державної регуляторної служби</w:t>
      </w:r>
      <w:r w:rsidRPr="001B5DE3">
        <w:rPr>
          <w:rFonts w:ascii="Times New Roman" w:eastAsia="Times New Roman" w:hAnsi="Times New Roman" w:cs="Times New Roman"/>
          <w:sz w:val="28"/>
          <w:szCs w:val="28"/>
          <w:shd w:val="clear" w:color="auto" w:fill="FFFFFF"/>
          <w:lang w:val="uk-UA"/>
        </w:rPr>
        <w:t>. Розділ “Регуляторна діяльність”, що містить, встановлену чинним законодавством інформацію, доповнено рубрикою “Методичні рекомендації”, яка спрямована на допомогу органам місцевого самоврядування у здійсненні державної регуляторної політики.</w:t>
      </w:r>
    </w:p>
    <w:p w:rsidR="002400E1" w:rsidRPr="001B5DE3" w:rsidRDefault="002400E1" w:rsidP="004930B3">
      <w:pPr>
        <w:spacing w:after="0" w:line="235"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Забезпечено оприлюднення та оновлення інформації, визначеної законодавством</w:t>
      </w:r>
      <w:r w:rsidR="00753674" w:rsidRPr="001B5DE3">
        <w:rPr>
          <w:rFonts w:ascii="Times New Roman" w:eastAsia="Times New Roman" w:hAnsi="Times New Roman" w:cs="Times New Roman"/>
          <w:sz w:val="28"/>
          <w:szCs w:val="28"/>
          <w:shd w:val="clear" w:color="auto" w:fill="FFFFFF"/>
          <w:lang w:val="uk-UA"/>
        </w:rPr>
        <w:t>,</w:t>
      </w:r>
      <w:r w:rsidRPr="001B5DE3">
        <w:rPr>
          <w:rFonts w:ascii="Times New Roman" w:eastAsia="Times New Roman" w:hAnsi="Times New Roman" w:cs="Times New Roman"/>
          <w:sz w:val="28"/>
          <w:szCs w:val="28"/>
          <w:shd w:val="clear" w:color="auto" w:fill="FFFFFF"/>
          <w:lang w:val="uk-UA"/>
        </w:rPr>
        <w:t xml:space="preserve"> п</w:t>
      </w:r>
      <w:r w:rsidR="00753674" w:rsidRPr="001B5DE3">
        <w:rPr>
          <w:rFonts w:ascii="Times New Roman" w:eastAsia="Times New Roman" w:hAnsi="Times New Roman" w:cs="Times New Roman"/>
          <w:sz w:val="28"/>
          <w:szCs w:val="28"/>
          <w:shd w:val="clear" w:color="auto" w:fill="FFFFFF"/>
          <w:lang w:val="uk-UA"/>
        </w:rPr>
        <w:t>ро засади регуляторної політики</w:t>
      </w:r>
      <w:r w:rsidRPr="001B5DE3">
        <w:rPr>
          <w:rFonts w:ascii="Times New Roman" w:eastAsia="Times New Roman" w:hAnsi="Times New Roman" w:cs="Times New Roman"/>
          <w:sz w:val="28"/>
          <w:szCs w:val="28"/>
          <w:shd w:val="clear" w:color="auto" w:fill="FFFFFF"/>
          <w:lang w:val="uk-UA"/>
        </w:rPr>
        <w:t xml:space="preserve"> відповідно до Переліку наборів даних, які підлягають оприлюдненню у формі відкритих даних, затвердженого </w:t>
      </w:r>
      <w:r w:rsidR="00753674" w:rsidRPr="001B5DE3">
        <w:rPr>
          <w:rFonts w:ascii="Times New Roman" w:eastAsia="Times New Roman" w:hAnsi="Times New Roman" w:cs="Times New Roman"/>
          <w:sz w:val="28"/>
          <w:szCs w:val="28"/>
          <w:shd w:val="clear" w:color="auto" w:fill="FFFFFF"/>
          <w:lang w:val="uk-UA"/>
        </w:rPr>
        <w:t>п</w:t>
      </w:r>
      <w:r w:rsidRPr="001B5DE3">
        <w:rPr>
          <w:rFonts w:ascii="Times New Roman" w:eastAsia="Times New Roman" w:hAnsi="Times New Roman" w:cs="Times New Roman"/>
          <w:sz w:val="28"/>
          <w:szCs w:val="28"/>
          <w:shd w:val="clear" w:color="auto" w:fill="FFFFFF"/>
          <w:lang w:val="uk-UA"/>
        </w:rPr>
        <w:t xml:space="preserve">остановою Кабінету Міністрів України від 21.10.2015 № 835 </w:t>
      </w:r>
      <w:r w:rsidR="004930B3">
        <w:rPr>
          <w:rFonts w:ascii="Times New Roman" w:eastAsia="Times New Roman" w:hAnsi="Times New Roman" w:cs="Times New Roman"/>
          <w:sz w:val="28"/>
          <w:szCs w:val="28"/>
          <w:shd w:val="clear" w:color="auto" w:fill="FFFFFF"/>
          <w:lang w:val="uk-UA"/>
        </w:rPr>
        <w:t xml:space="preserve">            </w:t>
      </w:r>
      <w:r w:rsidRPr="001B5DE3">
        <w:rPr>
          <w:rFonts w:ascii="Times New Roman" w:eastAsia="Times New Roman" w:hAnsi="Times New Roman" w:cs="Times New Roman"/>
          <w:sz w:val="28"/>
          <w:szCs w:val="28"/>
          <w:shd w:val="clear" w:color="auto" w:fill="FFFFFF"/>
          <w:lang w:val="uk-UA"/>
        </w:rPr>
        <w:t>(</w:t>
      </w:r>
      <w:r w:rsidR="000B477A" w:rsidRPr="001B5DE3">
        <w:rPr>
          <w:rFonts w:ascii="Times New Roman" w:eastAsia="Times New Roman" w:hAnsi="Times New Roman" w:cs="Times New Roman"/>
          <w:sz w:val="28"/>
          <w:szCs w:val="28"/>
          <w:shd w:val="clear" w:color="auto" w:fill="FFFFFF"/>
          <w:lang w:val="uk-UA"/>
        </w:rPr>
        <w:t>із</w:t>
      </w:r>
      <w:r w:rsidRPr="001B5DE3">
        <w:rPr>
          <w:rFonts w:ascii="Times New Roman" w:eastAsia="Times New Roman" w:hAnsi="Times New Roman" w:cs="Times New Roman"/>
          <w:sz w:val="28"/>
          <w:szCs w:val="28"/>
          <w:shd w:val="clear" w:color="auto" w:fill="FFFFFF"/>
          <w:lang w:val="uk-UA"/>
        </w:rPr>
        <w:t xml:space="preserve"> змінами), на Єдиному державному вебпорталі відкритих даних data.gov.ua.</w:t>
      </w:r>
    </w:p>
    <w:p w:rsidR="002400E1" w:rsidRPr="001B5DE3" w:rsidRDefault="002400E1" w:rsidP="004930B3">
      <w:pPr>
        <w:spacing w:after="0" w:line="235"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Дніпро – перше українське місто, де 19.04.2021 підписано Меморандум про співробітництво між Дніпровською міською радою та Державною регуляторною службою України.</w:t>
      </w:r>
    </w:p>
    <w:p w:rsidR="002400E1" w:rsidRPr="001B5DE3" w:rsidRDefault="00753674" w:rsidP="004930B3">
      <w:pPr>
        <w:spacing w:after="0" w:line="235" w:lineRule="auto"/>
        <w:ind w:firstLine="709"/>
        <w:jc w:val="both"/>
        <w:rPr>
          <w:rFonts w:ascii="Times New Roman" w:eastAsia="Times New Roman" w:hAnsi="Times New Roman" w:cs="Times New Roman"/>
          <w:sz w:val="28"/>
          <w:szCs w:val="28"/>
          <w:shd w:val="clear" w:color="auto" w:fill="FFFFFF"/>
          <w:lang w:val="uk-UA"/>
        </w:rPr>
      </w:pPr>
      <w:r w:rsidRPr="001B5DE3">
        <w:rPr>
          <w:rFonts w:ascii="Times New Roman" w:eastAsia="Times New Roman" w:hAnsi="Times New Roman" w:cs="Times New Roman"/>
          <w:sz w:val="28"/>
          <w:szCs w:val="28"/>
          <w:shd w:val="clear" w:color="auto" w:fill="FFFFFF"/>
          <w:lang w:val="uk-UA"/>
        </w:rPr>
        <w:t>Загалом</w:t>
      </w:r>
      <w:r w:rsidR="002400E1" w:rsidRPr="001B5DE3">
        <w:rPr>
          <w:rFonts w:ascii="Times New Roman" w:eastAsia="Times New Roman" w:hAnsi="Times New Roman" w:cs="Times New Roman"/>
          <w:sz w:val="28"/>
          <w:szCs w:val="28"/>
          <w:shd w:val="clear" w:color="auto" w:fill="FFFFFF"/>
          <w:lang w:val="uk-UA"/>
        </w:rPr>
        <w:t xml:space="preserve"> органи державної влади Дніпропетровської області забезпечують дотримання основних вимог </w:t>
      </w:r>
      <w:r w:rsidR="002400E1" w:rsidRPr="001B5DE3">
        <w:rPr>
          <w:rFonts w:ascii="Times New Roman" w:eastAsia="Times New Roman" w:hAnsi="Times New Roman" w:cs="Times New Roman"/>
          <w:bCs/>
          <w:sz w:val="28"/>
          <w:szCs w:val="28"/>
          <w:shd w:val="clear" w:color="auto" w:fill="FFFFFF"/>
          <w:lang w:val="uk-UA"/>
        </w:rPr>
        <w:t>З</w:t>
      </w:r>
      <w:r w:rsidR="002400E1" w:rsidRPr="001B5DE3">
        <w:rPr>
          <w:rFonts w:ascii="Times New Roman" w:eastAsia="Times New Roman" w:hAnsi="Times New Roman" w:cs="Times New Roman"/>
          <w:sz w:val="28"/>
          <w:szCs w:val="28"/>
          <w:shd w:val="clear" w:color="auto" w:fill="FFFFFF"/>
          <w:lang w:val="uk-UA"/>
        </w:rPr>
        <w:t>акону</w:t>
      </w:r>
      <w:r w:rsidR="00625C74" w:rsidRPr="001B5DE3">
        <w:rPr>
          <w:rFonts w:ascii="Times New Roman" w:eastAsia="Times New Roman" w:hAnsi="Times New Roman" w:cs="Times New Roman"/>
          <w:sz w:val="28"/>
          <w:szCs w:val="28"/>
          <w:shd w:val="clear" w:color="auto" w:fill="FFFFFF"/>
          <w:lang w:val="uk-UA"/>
        </w:rPr>
        <w:t xml:space="preserve"> України </w:t>
      </w:r>
      <w:r w:rsidR="00D918E4" w:rsidRPr="001B5DE3">
        <w:rPr>
          <w:rFonts w:ascii="Times New Roman" w:eastAsia="Times New Roman" w:hAnsi="Times New Roman" w:cs="Times New Roman"/>
          <w:sz w:val="28"/>
          <w:szCs w:val="28"/>
          <w:shd w:val="clear" w:color="auto" w:fill="FFFFFF"/>
          <w:lang w:val="uk-UA"/>
        </w:rPr>
        <w:t>“</w:t>
      </w:r>
      <w:r w:rsidR="00EF48E6" w:rsidRPr="001B5DE3">
        <w:rPr>
          <w:rFonts w:ascii="Times New Roman" w:eastAsia="Times New Roman" w:hAnsi="Times New Roman" w:cs="Times New Roman"/>
          <w:sz w:val="28"/>
          <w:szCs w:val="28"/>
          <w:shd w:val="clear" w:color="auto" w:fill="FFFFFF"/>
          <w:lang w:val="uk-UA"/>
        </w:rPr>
        <w:t>Про засади державної регуляторної політики у сфері господарської діяльності</w:t>
      </w:r>
      <w:r w:rsidR="00D918E4" w:rsidRPr="001B5DE3">
        <w:rPr>
          <w:rFonts w:ascii="Times New Roman" w:eastAsia="Times New Roman" w:hAnsi="Times New Roman" w:cs="Times New Roman"/>
          <w:sz w:val="28"/>
          <w:szCs w:val="28"/>
          <w:shd w:val="clear" w:color="auto" w:fill="FFFFFF"/>
          <w:lang w:val="uk-UA"/>
        </w:rPr>
        <w:t>”</w:t>
      </w:r>
      <w:r w:rsidR="002400E1" w:rsidRPr="001B5DE3">
        <w:rPr>
          <w:rFonts w:ascii="Times New Roman" w:eastAsia="Times New Roman" w:hAnsi="Times New Roman" w:cs="Times New Roman"/>
          <w:sz w:val="28"/>
          <w:szCs w:val="28"/>
          <w:shd w:val="clear" w:color="auto" w:fill="FFFFFF"/>
          <w:lang w:val="uk-UA"/>
        </w:rPr>
        <w:t xml:space="preserve"> інформаційну відкритість регуляторних процедур під час підготовки регуляторних актів, що сприяє вдосконаленню процесу правового регулювання господарських відносин.</w:t>
      </w:r>
    </w:p>
    <w:p w:rsidR="001874F4" w:rsidRPr="001B5DE3" w:rsidRDefault="001874F4" w:rsidP="004930B3">
      <w:pPr>
        <w:spacing w:after="0" w:line="235" w:lineRule="auto"/>
        <w:rPr>
          <w:rFonts w:ascii="Times New Roman" w:hAnsi="Times New Roman" w:cs="Times New Roman"/>
          <w:b/>
          <w:sz w:val="28"/>
          <w:szCs w:val="28"/>
          <w:lang w:val="uk-UA"/>
        </w:rPr>
      </w:pPr>
    </w:p>
    <w:p w:rsidR="00CC3037" w:rsidRPr="001B5DE3" w:rsidRDefault="00CC3037" w:rsidP="004930B3">
      <w:pPr>
        <w:spacing w:after="0" w:line="235"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Інвестиційна діяльність</w:t>
      </w:r>
    </w:p>
    <w:p w:rsidR="00AF6EC2" w:rsidRPr="001B5DE3" w:rsidRDefault="00AF6EC2" w:rsidP="004930B3">
      <w:pPr>
        <w:spacing w:after="0" w:line="235" w:lineRule="auto"/>
        <w:rPr>
          <w:rFonts w:ascii="Times New Roman" w:hAnsi="Times New Roman" w:cs="Times New Roman"/>
          <w:sz w:val="28"/>
          <w:szCs w:val="28"/>
          <w:lang w:val="uk-UA"/>
        </w:rPr>
      </w:pPr>
    </w:p>
    <w:p w:rsidR="00AF6EC2" w:rsidRPr="001B5DE3" w:rsidRDefault="00AF6EC2" w:rsidP="004930B3">
      <w:pPr>
        <w:spacing w:after="0" w:line="235"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У січні – березні 2021 року  за рахунок усіх джерел фінансування освоєно 9,1 млрд грн капітальних інвестицій (80,3% проти відповідного періоду 2020 року, по Україні – 90,5%). Питома вага в загальнодержавному обсязі становить 12%, за обсягами Дніпропетровщина посідає 1 місце серед областей України.</w:t>
      </w:r>
    </w:p>
    <w:p w:rsidR="00AF6EC2" w:rsidRPr="001B5DE3" w:rsidRDefault="00AF6EC2" w:rsidP="004930B3">
      <w:pPr>
        <w:spacing w:after="0" w:line="235"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До кінця 2021 року за рахунок усіх джерел фінансування очікується освоєння капітальних інвестицій в обсязі 62,0 млрд грн.</w:t>
      </w:r>
    </w:p>
    <w:p w:rsidR="00AF6EC2" w:rsidRPr="001B5DE3" w:rsidRDefault="00AF6EC2" w:rsidP="004930B3">
      <w:pPr>
        <w:spacing w:after="0" w:line="235"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 xml:space="preserve">Головним джерелом капітальних інвестицій залишаються власні кошти підприємств та організацій, за рахунок яких освоєно 87,9% загального обсягу. </w:t>
      </w:r>
    </w:p>
    <w:p w:rsidR="00AF6EC2" w:rsidRPr="001B5DE3" w:rsidRDefault="00AF6EC2" w:rsidP="004930B3">
      <w:pPr>
        <w:spacing w:after="0" w:line="235" w:lineRule="auto"/>
        <w:ind w:firstLine="709"/>
        <w:jc w:val="both"/>
        <w:rPr>
          <w:rFonts w:ascii="Times New Roman" w:hAnsi="Times New Roman" w:cs="Times New Roman"/>
          <w:bCs/>
          <w:iCs/>
          <w:sz w:val="28"/>
          <w:szCs w:val="28"/>
          <w:lang w:val="uk-UA"/>
        </w:rPr>
      </w:pP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noProof/>
          <w:sz w:val="28"/>
          <w:szCs w:val="28"/>
        </w:rPr>
        <w:drawing>
          <wp:inline distT="0" distB="0" distL="0" distR="0" wp14:anchorId="0941E0C1" wp14:editId="3F58055C">
            <wp:extent cx="5429250" cy="2514600"/>
            <wp:effectExtent l="0" t="0" r="0" b="0"/>
            <wp:docPr id="15"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lastRenderedPageBreak/>
        <w:t>Більше половини капітальних вкладень (58,4%) складають інвестиції, освоєні промисловими підприємствами.</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 xml:space="preserve">Також значну частину капітальних інвестицій було спрямовано </w:t>
      </w:r>
      <w:r w:rsidR="0039026F" w:rsidRPr="001B5DE3">
        <w:rPr>
          <w:rFonts w:ascii="Times New Roman" w:hAnsi="Times New Roman" w:cs="Times New Roman"/>
          <w:bCs/>
          <w:iCs/>
          <w:sz w:val="28"/>
          <w:szCs w:val="28"/>
          <w:lang w:val="uk-UA"/>
        </w:rPr>
        <w:t xml:space="preserve">на </w:t>
      </w:r>
      <w:r w:rsidRPr="001B5DE3">
        <w:rPr>
          <w:rFonts w:ascii="Times New Roman" w:hAnsi="Times New Roman" w:cs="Times New Roman"/>
          <w:bCs/>
          <w:iCs/>
          <w:sz w:val="28"/>
          <w:szCs w:val="28"/>
          <w:lang w:val="uk-UA"/>
        </w:rPr>
        <w:t>розвиток підприємств, що здійснювали оптову та роздрібну торгівлю, ремонт автотранспортних засобів і мотоциклів (15,4% загального обсягу), операції з нерухомим майном (4,2%). Заклади державного управління й оборони, обов’язкового соціального страхування використали 7,2% усіх вкладень.</w:t>
      </w:r>
    </w:p>
    <w:p w:rsidR="00AF6EC2" w:rsidRPr="001B5DE3" w:rsidRDefault="00443407"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Протягом І півріччя</w:t>
      </w:r>
      <w:r w:rsidR="00AF6EC2" w:rsidRPr="001B5DE3">
        <w:rPr>
          <w:rFonts w:ascii="Times New Roman" w:hAnsi="Times New Roman" w:cs="Times New Roman"/>
          <w:bCs/>
          <w:iCs/>
          <w:sz w:val="28"/>
          <w:szCs w:val="28"/>
          <w:lang w:val="uk-UA"/>
        </w:rPr>
        <w:t xml:space="preserve"> поточного року триває: </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bCs/>
          <w:iCs/>
          <w:sz w:val="28"/>
          <w:szCs w:val="28"/>
          <w:lang w:val="uk-UA"/>
        </w:rPr>
        <w:t>реалізація інвестиційного проєкту “Завершення будівництва метрополітену у м. Дніпропетровську” за рахунок субвенції з державного бюджету міському бюджету міста Дніпра</w:t>
      </w:r>
      <w:r w:rsidRPr="001B5DE3">
        <w:rPr>
          <w:rFonts w:ascii="Times New Roman" w:hAnsi="Times New Roman" w:cs="Times New Roman"/>
          <w:sz w:val="28"/>
          <w:szCs w:val="28"/>
          <w:lang w:val="uk-UA"/>
        </w:rPr>
        <w:t>;</w:t>
      </w:r>
    </w:p>
    <w:p w:rsidR="00AF6EC2" w:rsidRPr="001B5DE3" w:rsidRDefault="00AF6EC2" w:rsidP="00B066B1">
      <w:pPr>
        <w:spacing w:after="0" w:line="240" w:lineRule="auto"/>
        <w:ind w:firstLine="709"/>
        <w:jc w:val="both"/>
        <w:rPr>
          <w:rFonts w:ascii="Times New Roman" w:hAnsi="Times New Roman" w:cs="Times New Roman"/>
          <w:b/>
          <w:bCs/>
          <w:sz w:val="28"/>
          <w:szCs w:val="28"/>
          <w:lang w:val="uk-UA"/>
        </w:rPr>
      </w:pPr>
      <w:r w:rsidRPr="001B5DE3">
        <w:rPr>
          <w:rFonts w:ascii="Times New Roman" w:hAnsi="Times New Roman" w:cs="Times New Roman"/>
          <w:bCs/>
          <w:iCs/>
          <w:sz w:val="28"/>
          <w:szCs w:val="28"/>
          <w:lang w:val="uk-UA"/>
        </w:rPr>
        <w:t>реалізація</w:t>
      </w:r>
      <w:r w:rsidRPr="001B5DE3">
        <w:rPr>
          <w:rFonts w:ascii="Times New Roman" w:hAnsi="Times New Roman" w:cs="Times New Roman"/>
          <w:sz w:val="28"/>
          <w:szCs w:val="28"/>
          <w:lang w:val="uk-UA"/>
        </w:rPr>
        <w:t xml:space="preserve"> проєкту “Проектування та будівництво аеродрому Міжнародного аеропорту “Дніпропетровськ” (1,4 млрд грн) – підготовчі роботи з будівництва стартували у березні;</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рамках проєкту “Надзвичайна кредитна програма для відновлення України” за рахунок кредитних коштів Європейського інвестиційного банку (59,0 млн грн) реалізація 9 інвестиційних проєктів у містах Кам’янське, Нікополь, у Межівській, Троїцькій та Софіївській територіальних громадах області;</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участю державного фонду регіонального розвитку (272,1 млн грн) реалізація 6 проєктів регіонального розвитку у містах Дніпро, Кривий Ріг, Нікополь, у Слобожанській та Петропавлівській територіальних громадах області;</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здійснення заходів за Державною цільовою програмою радіаційного і соціального захисту населення м. Жовті Води на 2013 – 2022 роки,</w:t>
      </w:r>
      <w:r w:rsidRPr="001B5DE3">
        <w:rPr>
          <w:rFonts w:ascii="Times New Roman" w:hAnsi="Times New Roman" w:cs="Times New Roman"/>
          <w:bCs/>
          <w:sz w:val="28"/>
          <w:szCs w:val="28"/>
          <w:lang w:val="uk-UA"/>
        </w:rPr>
        <w:t xml:space="preserve"> затвердженою постановою Кабінету Міністрів України від 25.06.2012 № 579 “Про затвердження Державної цільової програми радіаційного і соціального захисту населення м. Жовті Води на 2013 – 2022 роки” (із змінами) </w:t>
      </w:r>
      <w:r w:rsidRPr="001B5DE3">
        <w:rPr>
          <w:rFonts w:ascii="Times New Roman" w:hAnsi="Times New Roman" w:cs="Times New Roman"/>
          <w:bCs/>
          <w:sz w:val="28"/>
          <w:szCs w:val="28"/>
          <w:lang w:val="uk-UA"/>
        </w:rPr>
        <w:br/>
      </w:r>
      <w:r w:rsidRPr="001B5DE3">
        <w:rPr>
          <w:rFonts w:ascii="Times New Roman" w:hAnsi="Times New Roman" w:cs="Times New Roman"/>
          <w:sz w:val="28"/>
          <w:szCs w:val="28"/>
          <w:lang w:val="uk-UA"/>
        </w:rPr>
        <w:t>(8,5 млн грн).</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Крім того, передбачено субвенцію з державного бюджету обласному бюджету на реалізацію проєкту “Реконструкція спортивного комплексу “Металург” </w:t>
      </w:r>
      <w:r w:rsidR="0039026F"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омунального позашкільного навчального закладу “Дитячо-юнацька спортивна школа № 1” Криворізької міської ради на проспекті Металургів, 5 в м. Кривому Розі Дніпропетровської області” в обсязі 150,0 млн грн, які освоєні майже у повному обсязі та виконано будівельно-монтажні та про</w:t>
      </w:r>
      <w:r w:rsidR="001A0398" w:rsidRPr="001B5DE3">
        <w:rPr>
          <w:rFonts w:ascii="Times New Roman" w:hAnsi="Times New Roman" w:cs="Times New Roman"/>
          <w:sz w:val="28"/>
          <w:szCs w:val="28"/>
          <w:lang w:val="uk-UA"/>
        </w:rPr>
        <w:t>є</w:t>
      </w:r>
      <w:r w:rsidRPr="001B5DE3">
        <w:rPr>
          <w:rFonts w:ascii="Times New Roman" w:hAnsi="Times New Roman" w:cs="Times New Roman"/>
          <w:sz w:val="28"/>
          <w:szCs w:val="28"/>
          <w:lang w:val="uk-UA"/>
        </w:rPr>
        <w:t>ктні роботи.</w:t>
      </w:r>
    </w:p>
    <w:p w:rsidR="00AF6EC2" w:rsidRPr="001B5DE3" w:rsidRDefault="00AF6E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січні – березні 2021 року на території області було прийнято в експлуатацію нові житлові будинки загальною площею 91,4 тис. кв. метрів, що у 2,3 раз</w:t>
      </w:r>
      <w:r w:rsidR="001A0398" w:rsidRPr="001B5DE3">
        <w:rPr>
          <w:rFonts w:ascii="Times New Roman" w:hAnsi="Times New Roman" w:cs="Times New Roman"/>
          <w:sz w:val="28"/>
          <w:szCs w:val="28"/>
          <w:lang w:val="uk-UA"/>
        </w:rPr>
        <w:t>и</w:t>
      </w:r>
      <w:r w:rsidRPr="001B5DE3">
        <w:rPr>
          <w:rFonts w:ascii="Times New Roman" w:hAnsi="Times New Roman" w:cs="Times New Roman"/>
          <w:sz w:val="28"/>
          <w:szCs w:val="28"/>
          <w:lang w:val="uk-UA"/>
        </w:rPr>
        <w:t xml:space="preserve"> більше показника січня – березня попереднього року.</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Зросли обсяги введеного в експлуатацію</w:t>
      </w:r>
      <w:r w:rsidR="001874F4" w:rsidRPr="001B5DE3">
        <w:rPr>
          <w:rFonts w:ascii="Times New Roman" w:hAnsi="Times New Roman" w:cs="Times New Roman"/>
          <w:bCs/>
          <w:iCs/>
          <w:sz w:val="28"/>
          <w:szCs w:val="28"/>
          <w:lang w:val="uk-UA"/>
        </w:rPr>
        <w:t xml:space="preserve"> житла у трьох районах області:</w:t>
      </w:r>
      <w:r w:rsidRPr="001B5DE3">
        <w:rPr>
          <w:rFonts w:ascii="Times New Roman" w:hAnsi="Times New Roman" w:cs="Times New Roman"/>
          <w:bCs/>
          <w:iCs/>
          <w:sz w:val="28"/>
          <w:szCs w:val="28"/>
          <w:lang w:val="uk-UA"/>
        </w:rPr>
        <w:t xml:space="preserve"> Дніпровському (273,9%), Кам</w:t>
      </w:r>
      <w:r w:rsidRPr="001B5DE3">
        <w:rPr>
          <w:rFonts w:ascii="Times New Roman" w:hAnsi="Times New Roman" w:cs="Times New Roman"/>
          <w:bCs/>
          <w:iCs/>
          <w:sz w:val="28"/>
          <w:szCs w:val="28"/>
        </w:rPr>
        <w:t>’</w:t>
      </w:r>
      <w:r w:rsidRPr="001B5DE3">
        <w:rPr>
          <w:rFonts w:ascii="Times New Roman" w:hAnsi="Times New Roman" w:cs="Times New Roman"/>
          <w:bCs/>
          <w:iCs/>
          <w:sz w:val="28"/>
          <w:szCs w:val="28"/>
          <w:lang w:val="uk-UA"/>
        </w:rPr>
        <w:t xml:space="preserve">янському (141,3%) та Криворізькому (130,3%). </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В інших районах області спостерігається зниження обсягів введеного в експлуатацію житла: у Нікопольському – на 34,6% порівняно з відповідним періодом попереднього року, у Новомос</w:t>
      </w:r>
      <w:r w:rsidR="001A0398" w:rsidRPr="001B5DE3">
        <w:rPr>
          <w:rFonts w:ascii="Times New Roman" w:hAnsi="Times New Roman" w:cs="Times New Roman"/>
          <w:bCs/>
          <w:iCs/>
          <w:sz w:val="28"/>
          <w:szCs w:val="28"/>
          <w:lang w:val="uk-UA"/>
        </w:rPr>
        <w:t>к</w:t>
      </w:r>
      <w:r w:rsidRPr="001B5DE3">
        <w:rPr>
          <w:rFonts w:ascii="Times New Roman" w:hAnsi="Times New Roman" w:cs="Times New Roman"/>
          <w:bCs/>
          <w:iCs/>
          <w:sz w:val="28"/>
          <w:szCs w:val="28"/>
          <w:lang w:val="uk-UA"/>
        </w:rPr>
        <w:t>овському – на 48,1%, у Павлоградському – на 20,3%, у Синельниківському – на 33,9%.</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lastRenderedPageBreak/>
        <w:t>До кінця року очікується введення в експлуатацію 120,0 тис. кв. м, що дозволить поліпшити житлові умови майже 1700 сімей. Варто врахувати, що здача об’єктів в експлуатацію масово відбуватиметься у IV кварталі, тому до кінця поточного року планується вийти на очікуваний показник введення загальної площі житла.</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Протягом І піврічч</w:t>
      </w:r>
      <w:r w:rsidR="001A0398" w:rsidRPr="001B5DE3">
        <w:rPr>
          <w:rFonts w:ascii="Times New Roman" w:hAnsi="Times New Roman" w:cs="Times New Roman"/>
          <w:bCs/>
          <w:iCs/>
          <w:sz w:val="28"/>
          <w:szCs w:val="28"/>
          <w:lang w:val="uk-UA"/>
        </w:rPr>
        <w:t>я</w:t>
      </w:r>
      <w:r w:rsidRPr="001B5DE3">
        <w:rPr>
          <w:rFonts w:ascii="Times New Roman" w:hAnsi="Times New Roman" w:cs="Times New Roman"/>
          <w:bCs/>
          <w:iCs/>
          <w:sz w:val="28"/>
          <w:szCs w:val="28"/>
          <w:lang w:val="uk-UA"/>
        </w:rPr>
        <w:t xml:space="preserve"> 2021 року введено в дію малий груповий будинок для дітей-сиріт у с. Богданівка Павлоградського району, продовжуються роботи з будівництва малих групових житлових будинків для дітей-сиріт у місті Кам’янське та Глеюватській </w:t>
      </w:r>
      <w:r w:rsidR="005F483B" w:rsidRPr="001B5DE3">
        <w:rPr>
          <w:rFonts w:ascii="Times New Roman" w:hAnsi="Times New Roman" w:cs="Times New Roman"/>
          <w:bCs/>
          <w:iCs/>
          <w:sz w:val="28"/>
          <w:szCs w:val="28"/>
          <w:lang w:val="uk-UA"/>
        </w:rPr>
        <w:t xml:space="preserve">сільській </w:t>
      </w:r>
      <w:r w:rsidRPr="001B5DE3">
        <w:rPr>
          <w:rFonts w:ascii="Times New Roman" w:hAnsi="Times New Roman" w:cs="Times New Roman"/>
          <w:bCs/>
          <w:iCs/>
          <w:sz w:val="28"/>
          <w:szCs w:val="28"/>
          <w:lang w:val="uk-UA"/>
        </w:rPr>
        <w:t>територіальній громаді області.</w:t>
      </w:r>
    </w:p>
    <w:p w:rsidR="00AF6EC2" w:rsidRPr="001B5DE3" w:rsidRDefault="00AF6EC2" w:rsidP="00B066B1">
      <w:pPr>
        <w:spacing w:after="0" w:line="240" w:lineRule="auto"/>
        <w:ind w:firstLine="709"/>
        <w:jc w:val="center"/>
        <w:rPr>
          <w:rFonts w:ascii="Times New Roman" w:hAnsi="Times New Roman" w:cs="Times New Roman"/>
          <w:bCs/>
          <w:iCs/>
          <w:sz w:val="28"/>
          <w:szCs w:val="28"/>
          <w:lang w:val="uk-UA"/>
        </w:rPr>
      </w:pPr>
      <w:bookmarkStart w:id="1" w:name="_MON_1689072963"/>
      <w:bookmarkEnd w:id="1"/>
      <w:r w:rsidRPr="001B5DE3">
        <w:rPr>
          <w:rFonts w:ascii="Times New Roman" w:hAnsi="Times New Roman" w:cs="Times New Roman"/>
          <w:bCs/>
          <w:iCs/>
          <w:noProof/>
          <w:sz w:val="28"/>
          <w:szCs w:val="28"/>
        </w:rPr>
        <w:drawing>
          <wp:inline distT="0" distB="0" distL="0" distR="0" wp14:anchorId="2ED26B92" wp14:editId="59758F03">
            <wp:extent cx="4371975" cy="2409825"/>
            <wp:effectExtent l="0" t="0" r="0" b="0"/>
            <wp:docPr id="1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На фінансування майже 300 об’єктів будівництва та реконструкції соціальної інфраструктури та об’єктів капітального ремонту відповідно до рішення Дніпропетровсь</w:t>
      </w:r>
      <w:r w:rsidR="00F96A0E" w:rsidRPr="001B5DE3">
        <w:rPr>
          <w:rFonts w:ascii="Times New Roman" w:hAnsi="Times New Roman" w:cs="Times New Roman"/>
          <w:bCs/>
          <w:iCs/>
          <w:sz w:val="28"/>
          <w:szCs w:val="28"/>
          <w:lang w:val="uk-UA"/>
        </w:rPr>
        <w:t xml:space="preserve">кої обласної ради від 23.12.2020 </w:t>
      </w:r>
      <w:r w:rsidRPr="001B5DE3">
        <w:rPr>
          <w:rFonts w:ascii="Times New Roman" w:hAnsi="Times New Roman" w:cs="Times New Roman"/>
          <w:bCs/>
          <w:iCs/>
          <w:sz w:val="28"/>
          <w:szCs w:val="28"/>
          <w:lang w:val="uk-UA"/>
        </w:rPr>
        <w:t xml:space="preserve">№ 11-3/VIІI “Про обласний бюджет на 2021 рік” (із змінами) виділено більш ніж 2,0 млрд грн з обласного бюджету розвитку. </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Протягом І піврічч</w:t>
      </w:r>
      <w:r w:rsidR="00F96A0E" w:rsidRPr="001B5DE3">
        <w:rPr>
          <w:rFonts w:ascii="Times New Roman" w:hAnsi="Times New Roman" w:cs="Times New Roman"/>
          <w:bCs/>
          <w:iCs/>
          <w:sz w:val="28"/>
          <w:szCs w:val="28"/>
          <w:lang w:val="uk-UA"/>
        </w:rPr>
        <w:t>я</w:t>
      </w:r>
      <w:r w:rsidRPr="001B5DE3">
        <w:rPr>
          <w:rFonts w:ascii="Times New Roman" w:hAnsi="Times New Roman" w:cs="Times New Roman"/>
          <w:bCs/>
          <w:iCs/>
          <w:sz w:val="28"/>
          <w:szCs w:val="28"/>
          <w:lang w:val="uk-UA"/>
        </w:rPr>
        <w:t xml:space="preserve"> 2021 року освоєно 42% річного обсягу та реалізовувалися проєкти з:</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забезпечення населення області якісним питним водопостачанням – тривають роботи по 8 об’єкта</w:t>
      </w:r>
      <w:r w:rsidR="00F96A0E" w:rsidRPr="001B5DE3">
        <w:rPr>
          <w:rFonts w:ascii="Times New Roman" w:hAnsi="Times New Roman" w:cs="Times New Roman"/>
          <w:bCs/>
          <w:iCs/>
          <w:sz w:val="28"/>
          <w:szCs w:val="28"/>
          <w:lang w:val="uk-UA"/>
        </w:rPr>
        <w:t>х</w:t>
      </w:r>
      <w:r w:rsidRPr="001B5DE3">
        <w:rPr>
          <w:rFonts w:ascii="Times New Roman" w:hAnsi="Times New Roman" w:cs="Times New Roman"/>
          <w:bCs/>
          <w:iCs/>
          <w:sz w:val="28"/>
          <w:szCs w:val="28"/>
          <w:lang w:val="uk-UA"/>
        </w:rPr>
        <w:t xml:space="preserve"> на територіях Дніпровського, Нікопольського, Новомосковського та Синельниківського районів, зокрема такі проєкти: “Реконструкція водогону від смт Гвардійське до смт Губиниха Новомосковського району Дніпропетровської області”, “Реконструкція водогону від м. Новомосковськ до с. Орлівщина Новомосковського району Дніпропетровської області”, “Нове будівництво системи водопостачання для  с.Борисівка та с. Дмитрівка Нікопольського району Дніпропетровської області”;</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підвищення рівня надання медичних послуг – введено в експлуатацію: 9 амбулаторій у Богданівській, Девладівській, Могилівській, Першотравневській, Слов’янській, Чумаківській сільських територіальних громад</w:t>
      </w:r>
      <w:r w:rsidR="00F96A0E" w:rsidRPr="001B5DE3">
        <w:rPr>
          <w:rFonts w:ascii="Times New Roman" w:hAnsi="Times New Roman" w:cs="Times New Roman"/>
          <w:bCs/>
          <w:iCs/>
          <w:sz w:val="28"/>
          <w:szCs w:val="28"/>
          <w:lang w:val="uk-UA"/>
        </w:rPr>
        <w:t xml:space="preserve">ах та Межівській, Петриківській, </w:t>
      </w:r>
      <w:r w:rsidRPr="001B5DE3">
        <w:rPr>
          <w:rFonts w:ascii="Times New Roman" w:hAnsi="Times New Roman" w:cs="Times New Roman"/>
          <w:bCs/>
          <w:iCs/>
          <w:sz w:val="28"/>
          <w:szCs w:val="28"/>
          <w:lang w:val="uk-UA"/>
        </w:rPr>
        <w:t>Покровській селищних територіальних громадах; 6 відділень екстреної медичної допомоги у Дніпровській, Першо</w:t>
      </w:r>
      <w:r w:rsidR="00DC799D" w:rsidRPr="001B5DE3">
        <w:rPr>
          <w:rFonts w:ascii="Times New Roman" w:hAnsi="Times New Roman" w:cs="Times New Roman"/>
          <w:bCs/>
          <w:iCs/>
          <w:sz w:val="28"/>
          <w:szCs w:val="28"/>
          <w:lang w:val="uk-UA"/>
        </w:rPr>
        <w:t xml:space="preserve">травенській, Новомосковській, </w:t>
      </w:r>
      <w:r w:rsidRPr="001B5DE3">
        <w:rPr>
          <w:rFonts w:ascii="Times New Roman" w:hAnsi="Times New Roman" w:cs="Times New Roman"/>
          <w:bCs/>
          <w:iCs/>
          <w:sz w:val="28"/>
          <w:szCs w:val="28"/>
          <w:lang w:val="uk-UA"/>
        </w:rPr>
        <w:t>Марганецькій міських територіальних громадах та 3 амбулаторії загальної практики сімейної медицини у місті Дніпро;</w:t>
      </w:r>
    </w:p>
    <w:p w:rsidR="00AF6EC2" w:rsidRPr="001B5DE3" w:rsidRDefault="00AF6EC2"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lastRenderedPageBreak/>
        <w:t>фізичного розвитку людини, насамперед дітей –</w:t>
      </w:r>
      <w:r w:rsidR="00DC799D" w:rsidRPr="001B5DE3">
        <w:rPr>
          <w:rFonts w:ascii="Times New Roman" w:hAnsi="Times New Roman" w:cs="Times New Roman"/>
          <w:bCs/>
          <w:iCs/>
          <w:sz w:val="28"/>
          <w:szCs w:val="28"/>
          <w:lang w:val="uk-UA"/>
        </w:rPr>
        <w:t xml:space="preserve"> </w:t>
      </w:r>
      <w:r w:rsidRPr="001B5DE3">
        <w:rPr>
          <w:rFonts w:ascii="Times New Roman" w:hAnsi="Times New Roman" w:cs="Times New Roman"/>
          <w:bCs/>
          <w:iCs/>
          <w:sz w:val="28"/>
          <w:szCs w:val="28"/>
          <w:lang w:val="uk-UA"/>
        </w:rPr>
        <w:t xml:space="preserve">введено в дію 2 заклади фізичної культури та спорту у Дніпровському та Верхньодніпровському районах, тривають роботи на об’єктах: “Реконструкція спортивного комплексу “Металург” комунального позашкільного навчального закладу “Дитячо-юнацька спортивна школа № 1” Криворізької міської ради на пр-ті Металургів, 5 в м. Кривому Розі”, “Будівництво спортивно-оздоровчого комплексу на території парку Перемоги в м. Нікополь по вул. Херсонська”, “Реконструкція стадіону “Трудові резерви” м. Дніпропетровськ. Крита спортивно-демонстраційна споруда для спортивних ігор”, “Спортивно-оздоровчий комплекс в смт Слобожанське Дніпровського району Дніпропетровської області” (нове будівництво). Плавальний басейн”, “Будівництво стадіону в </w:t>
      </w:r>
      <w:r w:rsidR="00DC799D" w:rsidRPr="001B5DE3">
        <w:rPr>
          <w:rFonts w:ascii="Times New Roman" w:hAnsi="Times New Roman" w:cs="Times New Roman"/>
          <w:bCs/>
          <w:iCs/>
          <w:sz w:val="28"/>
          <w:szCs w:val="28"/>
          <w:lang w:val="uk-UA"/>
        </w:rPr>
        <w:br/>
      </w:r>
      <w:r w:rsidRPr="001B5DE3">
        <w:rPr>
          <w:rFonts w:ascii="Times New Roman" w:hAnsi="Times New Roman" w:cs="Times New Roman"/>
          <w:bCs/>
          <w:iCs/>
          <w:sz w:val="28"/>
          <w:szCs w:val="28"/>
          <w:lang w:val="uk-UA"/>
        </w:rPr>
        <w:t xml:space="preserve">с. Придніпровське Нікопольського району та інші. </w:t>
      </w:r>
    </w:p>
    <w:p w:rsidR="00AF6EC2" w:rsidRPr="001B5DE3" w:rsidRDefault="00D4413D" w:rsidP="00B066B1">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У</w:t>
      </w:r>
      <w:r w:rsidR="00AF6EC2" w:rsidRPr="001B5DE3">
        <w:rPr>
          <w:rFonts w:ascii="Times New Roman" w:hAnsi="Times New Roman" w:cs="Times New Roman"/>
          <w:bCs/>
          <w:iCs/>
          <w:sz w:val="28"/>
          <w:szCs w:val="28"/>
          <w:lang w:val="uk-UA"/>
        </w:rPr>
        <w:t xml:space="preserve"> рамках </w:t>
      </w:r>
      <w:r w:rsidRPr="001B5DE3">
        <w:rPr>
          <w:rFonts w:ascii="Times New Roman" w:hAnsi="Times New Roman" w:cs="Times New Roman"/>
          <w:bCs/>
          <w:iCs/>
          <w:sz w:val="28"/>
          <w:szCs w:val="28"/>
          <w:lang w:val="uk-UA"/>
        </w:rPr>
        <w:t>у</w:t>
      </w:r>
      <w:r w:rsidR="00AF6EC2" w:rsidRPr="001B5DE3">
        <w:rPr>
          <w:rFonts w:ascii="Times New Roman" w:hAnsi="Times New Roman" w:cs="Times New Roman"/>
          <w:bCs/>
          <w:iCs/>
          <w:sz w:val="28"/>
          <w:szCs w:val="28"/>
          <w:lang w:val="uk-UA"/>
        </w:rPr>
        <w:t>провадження нового освітнього простору та з метою ліквідації черг у дошкільних</w:t>
      </w:r>
      <w:r w:rsidRPr="001B5DE3">
        <w:rPr>
          <w:rFonts w:ascii="Times New Roman" w:hAnsi="Times New Roman" w:cs="Times New Roman"/>
          <w:bCs/>
          <w:iCs/>
          <w:sz w:val="28"/>
          <w:szCs w:val="28"/>
          <w:lang w:val="uk-UA"/>
        </w:rPr>
        <w:t xml:space="preserve"> навчальних закладах по області </w:t>
      </w:r>
      <w:r w:rsidR="00AF6EC2" w:rsidRPr="001B5DE3">
        <w:rPr>
          <w:rFonts w:ascii="Times New Roman" w:hAnsi="Times New Roman" w:cs="Times New Roman"/>
          <w:bCs/>
          <w:iCs/>
          <w:sz w:val="28"/>
          <w:szCs w:val="28"/>
          <w:lang w:val="uk-UA"/>
        </w:rPr>
        <w:t>введено в експлуатацію об’єкт “Будівництво ДНЗ на 115 місць, вул. І.Малки, м. Покров”, а також дитячі дошкільні заклади та навчально-виховні комплекси П’ятихатської міської територіальної громади, Васильківської, Ілларіонівської, Губиниської, Томаківської селищних територіальних громад та Новоолександрівської сільської територіальної громади, тривають роботи на інших об’єктах.</w:t>
      </w:r>
    </w:p>
    <w:p w:rsidR="009532CD" w:rsidRPr="001B5DE3" w:rsidRDefault="009532CD"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Станом на 31 березня обсяг прямих іноземних інвестицій, залучених в економіку регіону, склав 5 117,6 млн дол. США (109,8% до початку поточного року)</w:t>
      </w:r>
      <w:r w:rsidR="00B70473"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w:t>
      </w:r>
      <w:r w:rsidR="00B70473" w:rsidRPr="001B5DE3">
        <w:rPr>
          <w:rFonts w:ascii="Times New Roman" w:hAnsi="Times New Roman" w:cs="Times New Roman"/>
          <w:sz w:val="28"/>
          <w:szCs w:val="28"/>
          <w:lang w:val="uk-UA"/>
        </w:rPr>
        <w:t>Ц</w:t>
      </w:r>
      <w:r w:rsidRPr="001B5DE3">
        <w:rPr>
          <w:rFonts w:ascii="Times New Roman" w:hAnsi="Times New Roman" w:cs="Times New Roman"/>
          <w:sz w:val="28"/>
          <w:szCs w:val="28"/>
          <w:lang w:val="uk-UA"/>
        </w:rPr>
        <w:t>е перше місце серед областей України за обсягами іноземних інвестицій.</w:t>
      </w:r>
    </w:p>
    <w:p w:rsidR="009532CD" w:rsidRPr="001B5DE3" w:rsidRDefault="009532CD" w:rsidP="00B066B1">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Питома вага обсягу інвестиційних вкладень в економіку області складає 13,0% загального обсягу по Україні. </w:t>
      </w:r>
    </w:p>
    <w:p w:rsidR="009532CD" w:rsidRPr="001B5DE3" w:rsidRDefault="009532CD" w:rsidP="00B066B1">
      <w:pPr>
        <w:spacing w:after="0" w:line="240" w:lineRule="auto"/>
        <w:ind w:firstLine="708"/>
        <w:jc w:val="both"/>
        <w:rPr>
          <w:rFonts w:ascii="Times New Roman" w:hAnsi="Times New Roman" w:cs="Times New Roman"/>
          <w:sz w:val="28"/>
          <w:szCs w:val="28"/>
          <w:lang w:val="uk-UA"/>
        </w:rPr>
      </w:pPr>
    </w:p>
    <w:p w:rsidR="009532CD" w:rsidRPr="001B5DE3" w:rsidRDefault="009532C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0DFC512A" wp14:editId="23C28164">
            <wp:extent cx="5514975" cy="1933575"/>
            <wp:effectExtent l="0" t="0" r="0" b="0"/>
            <wp:docPr id="1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32CD" w:rsidRPr="001B5DE3" w:rsidRDefault="009532CD" w:rsidP="00B066B1">
      <w:pPr>
        <w:spacing w:after="0" w:line="240" w:lineRule="auto"/>
        <w:jc w:val="both"/>
        <w:rPr>
          <w:rFonts w:ascii="Times New Roman" w:hAnsi="Times New Roman" w:cs="Times New Roman"/>
          <w:sz w:val="28"/>
          <w:szCs w:val="28"/>
          <w:lang w:val="uk-UA"/>
        </w:rPr>
      </w:pPr>
    </w:p>
    <w:p w:rsidR="009532CD" w:rsidRPr="001B5DE3" w:rsidRDefault="009532CD"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Найбільші обсяги іноземних інвестицій вкладено у промисловість –</w:t>
      </w:r>
      <w:r w:rsidRPr="001B5DE3">
        <w:rPr>
          <w:rFonts w:ascii="Times New Roman" w:hAnsi="Times New Roman" w:cs="Times New Roman"/>
          <w:sz w:val="28"/>
          <w:szCs w:val="28"/>
          <w:lang w:val="uk-UA"/>
        </w:rPr>
        <w:br/>
        <w:t xml:space="preserve">3687,8 млн дол. США (72,1% </w:t>
      </w:r>
      <w:r w:rsidRPr="001B5DE3">
        <w:rPr>
          <w:rFonts w:ascii="Times New Roman" w:hAnsi="Times New Roman" w:cs="Times New Roman"/>
          <w:b/>
          <w:sz w:val="28"/>
          <w:szCs w:val="28"/>
          <w:lang w:val="uk-UA"/>
        </w:rPr>
        <w:t>з</w:t>
      </w:r>
      <w:r w:rsidRPr="001B5DE3">
        <w:rPr>
          <w:rFonts w:ascii="Times New Roman" w:hAnsi="Times New Roman" w:cs="Times New Roman"/>
          <w:sz w:val="28"/>
          <w:szCs w:val="28"/>
          <w:lang w:val="uk-UA"/>
        </w:rPr>
        <w:t>агального обсягу), торгівлю –</w:t>
      </w:r>
      <w:r w:rsidRPr="001B5DE3">
        <w:rPr>
          <w:rFonts w:ascii="Times New Roman" w:hAnsi="Times New Roman" w:cs="Times New Roman"/>
          <w:sz w:val="28"/>
          <w:szCs w:val="28"/>
          <w:lang w:val="uk-UA"/>
        </w:rPr>
        <w:br/>
        <w:t>695,6 млн дол. США (13,6%), операції з нерухомим майном –</w:t>
      </w:r>
      <w:r w:rsidRPr="001B5DE3">
        <w:rPr>
          <w:rFonts w:ascii="Times New Roman" w:hAnsi="Times New Roman" w:cs="Times New Roman"/>
          <w:sz w:val="28"/>
          <w:szCs w:val="28"/>
          <w:lang w:val="uk-UA"/>
        </w:rPr>
        <w:br/>
        <w:t>327,9 млн дол. США (6,4%), транспорт, складське господарство, пошту та кур’єрську діяльність – 266,2 млн дол. США (5,2%), діяльність у сфері адміністративного та допоміжного обслуговування – 45,0 млн дол. США (0,9%), професійну, наукову та технічну діяльність – 38,9 млн дол. США (0,8%) та в інші галузі.</w:t>
      </w:r>
    </w:p>
    <w:p w:rsidR="006F0555" w:rsidRPr="001B5DE3" w:rsidRDefault="001875C2"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noProof/>
          <w:sz w:val="28"/>
          <w:szCs w:val="28"/>
        </w:rPr>
        <w:lastRenderedPageBreak/>
        <w:drawing>
          <wp:inline distT="0" distB="0" distL="0" distR="0" wp14:anchorId="77EA9797" wp14:editId="7DC679E2">
            <wp:extent cx="5514975" cy="2400300"/>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75C2" w:rsidRPr="001B5DE3" w:rsidRDefault="001875C2" w:rsidP="00B066B1">
      <w:pPr>
        <w:spacing w:after="0" w:line="240" w:lineRule="auto"/>
        <w:ind w:firstLine="709"/>
        <w:jc w:val="both"/>
        <w:rPr>
          <w:rFonts w:ascii="Times New Roman" w:hAnsi="Times New Roman" w:cs="Times New Roman"/>
          <w:sz w:val="28"/>
          <w:szCs w:val="28"/>
          <w:lang w:val="uk-UA"/>
        </w:rPr>
      </w:pPr>
    </w:p>
    <w:p w:rsidR="009532CD" w:rsidRPr="001B5DE3" w:rsidRDefault="009532CD" w:rsidP="00B066B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Інвестиції надійшли з 62 країн світу.</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Основними країнами-інвесторами є: </w:t>
      </w:r>
      <w:r w:rsidR="00903BEE" w:rsidRPr="001B5DE3">
        <w:rPr>
          <w:rFonts w:ascii="Times New Roman" w:hAnsi="Times New Roman" w:cs="Times New Roman"/>
          <w:sz w:val="28"/>
          <w:szCs w:val="28"/>
          <w:lang w:val="uk-UA"/>
        </w:rPr>
        <w:t xml:space="preserve">о. </w:t>
      </w:r>
      <w:r w:rsidRPr="001B5DE3">
        <w:rPr>
          <w:rFonts w:ascii="Times New Roman" w:hAnsi="Times New Roman" w:cs="Times New Roman"/>
          <w:sz w:val="28"/>
          <w:szCs w:val="28"/>
          <w:lang w:val="uk-UA"/>
        </w:rPr>
        <w:t>Кіпр – 2 214,5 млн дол. США, Нідерланди – 1 873,5 млн дол. США, Німеччина – 599,7 млн дол. США.</w:t>
      </w:r>
    </w:p>
    <w:p w:rsidR="009532CD" w:rsidRPr="001B5DE3" w:rsidRDefault="009532CD" w:rsidP="00B066B1">
      <w:pPr>
        <w:spacing w:after="0" w:line="240" w:lineRule="auto"/>
        <w:rPr>
          <w:rFonts w:ascii="Times New Roman" w:hAnsi="Times New Roman" w:cs="Times New Roman"/>
          <w:b/>
          <w:sz w:val="28"/>
          <w:szCs w:val="28"/>
          <w:lang w:val="uk-UA"/>
        </w:rPr>
      </w:pPr>
    </w:p>
    <w:tbl>
      <w:tblPr>
        <w:tblW w:w="9511" w:type="dxa"/>
        <w:jc w:val="center"/>
        <w:tblInd w:w="-126" w:type="dxa"/>
        <w:tblLayout w:type="fixed"/>
        <w:tblCellMar>
          <w:left w:w="30" w:type="dxa"/>
          <w:right w:w="30" w:type="dxa"/>
        </w:tblCellMar>
        <w:tblLook w:val="0000" w:firstRow="0" w:lastRow="0" w:firstColumn="0" w:lastColumn="0" w:noHBand="0" w:noVBand="0"/>
      </w:tblPr>
      <w:tblGrid>
        <w:gridCol w:w="4323"/>
        <w:gridCol w:w="1701"/>
        <w:gridCol w:w="1701"/>
        <w:gridCol w:w="1786"/>
      </w:tblGrid>
      <w:tr w:rsidR="001B5DE3" w:rsidRPr="001B5DE3" w:rsidTr="009532CD">
        <w:trPr>
          <w:trHeight w:val="423"/>
          <w:jc w:val="center"/>
        </w:trPr>
        <w:tc>
          <w:tcPr>
            <w:tcW w:w="4323"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b/>
                <w:bCs/>
                <w:sz w:val="28"/>
                <w:szCs w:val="28"/>
                <w:lang w:val="uk-UA"/>
              </w:rPr>
            </w:pP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bCs/>
                <w:sz w:val="28"/>
                <w:szCs w:val="28"/>
                <w:lang w:val="uk-UA"/>
              </w:rPr>
            </w:pPr>
            <w:r w:rsidRPr="001B5DE3">
              <w:rPr>
                <w:rFonts w:ascii="Times New Roman" w:hAnsi="Times New Roman" w:cs="Times New Roman"/>
                <w:bCs/>
                <w:sz w:val="28"/>
                <w:szCs w:val="28"/>
                <w:lang w:val="uk-UA"/>
              </w:rPr>
              <w:t>2019 рік</w:t>
            </w: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bCs/>
                <w:sz w:val="28"/>
                <w:szCs w:val="28"/>
                <w:lang w:val="uk-UA"/>
              </w:rPr>
            </w:pPr>
            <w:r w:rsidRPr="001B5DE3">
              <w:rPr>
                <w:rFonts w:ascii="Times New Roman" w:hAnsi="Times New Roman" w:cs="Times New Roman"/>
                <w:bCs/>
                <w:sz w:val="28"/>
                <w:szCs w:val="28"/>
                <w:lang w:val="uk-UA"/>
              </w:rPr>
              <w:t>2020 рік</w:t>
            </w:r>
          </w:p>
        </w:tc>
        <w:tc>
          <w:tcPr>
            <w:tcW w:w="1786"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bCs/>
                <w:sz w:val="28"/>
                <w:szCs w:val="28"/>
                <w:lang w:val="uk-UA"/>
              </w:rPr>
            </w:pPr>
            <w:r w:rsidRPr="001B5DE3">
              <w:rPr>
                <w:rFonts w:ascii="Times New Roman" w:hAnsi="Times New Roman" w:cs="Times New Roman"/>
                <w:bCs/>
                <w:sz w:val="28"/>
                <w:szCs w:val="28"/>
                <w:lang w:val="uk-UA"/>
              </w:rPr>
              <w:t>31.03.2021</w:t>
            </w:r>
          </w:p>
        </w:tc>
      </w:tr>
      <w:tr w:rsidR="001B5DE3" w:rsidRPr="001B5DE3" w:rsidTr="009532CD">
        <w:trPr>
          <w:trHeight w:val="494"/>
          <w:jc w:val="center"/>
        </w:trPr>
        <w:tc>
          <w:tcPr>
            <w:tcW w:w="4323"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Обсяг залучених прямих іноземних інвестицій,</w:t>
            </w:r>
            <w:r w:rsidR="00903BE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млн дол. США</w:t>
            </w:r>
          </w:p>
          <w:p w:rsidR="009532CD" w:rsidRPr="001B5DE3" w:rsidRDefault="009532CD" w:rsidP="00B066B1">
            <w:pPr>
              <w:autoSpaceDE w:val="0"/>
              <w:autoSpaceDN w:val="0"/>
              <w:adjustRightInd w:val="0"/>
              <w:spacing w:after="0" w:line="240" w:lineRule="auto"/>
              <w:rPr>
                <w:rFonts w:ascii="Times New Roman" w:hAnsi="Times New Roman" w:cs="Times New Roman"/>
                <w:sz w:val="28"/>
                <w:szCs w:val="28"/>
                <w:lang w:val="uk-UA"/>
              </w:rPr>
            </w:pP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5430,3</w:t>
            </w: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4661,7</w:t>
            </w:r>
          </w:p>
        </w:tc>
        <w:tc>
          <w:tcPr>
            <w:tcW w:w="1786"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5117,6</w:t>
            </w:r>
          </w:p>
        </w:tc>
      </w:tr>
      <w:tr w:rsidR="001B5DE3" w:rsidRPr="001B5DE3" w:rsidTr="009532CD">
        <w:trPr>
          <w:trHeight w:val="842"/>
          <w:jc w:val="center"/>
        </w:trPr>
        <w:tc>
          <w:tcPr>
            <w:tcW w:w="4323"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Темп зростання/зменшенняобсягу прямих іноземних інвестицій, </w:t>
            </w:r>
          </w:p>
          <w:p w:rsidR="009532CD" w:rsidRPr="001B5DE3" w:rsidRDefault="009532CD" w:rsidP="00B066B1">
            <w:pPr>
              <w:autoSpaceDE w:val="0"/>
              <w:autoSpaceDN w:val="0"/>
              <w:adjustRightInd w:val="0"/>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до початку року</w:t>
            </w: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120,5</w:t>
            </w:r>
          </w:p>
        </w:tc>
        <w:tc>
          <w:tcPr>
            <w:tcW w:w="1701"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85,8</w:t>
            </w:r>
          </w:p>
        </w:tc>
        <w:tc>
          <w:tcPr>
            <w:tcW w:w="1786" w:type="dxa"/>
            <w:tcBorders>
              <w:top w:val="single" w:sz="6" w:space="0" w:color="000000"/>
              <w:left w:val="single" w:sz="6" w:space="0" w:color="000000"/>
              <w:bottom w:val="single" w:sz="6" w:space="0" w:color="000000"/>
              <w:right w:val="single" w:sz="6" w:space="0" w:color="000000"/>
            </w:tcBorders>
          </w:tcPr>
          <w:p w:rsidR="009532CD" w:rsidRPr="001B5DE3" w:rsidRDefault="009532CD" w:rsidP="00B066B1">
            <w:pPr>
              <w:autoSpaceDE w:val="0"/>
              <w:autoSpaceDN w:val="0"/>
              <w:adjustRightInd w:val="0"/>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109,8</w:t>
            </w:r>
          </w:p>
        </w:tc>
      </w:tr>
    </w:tbl>
    <w:p w:rsidR="009532CD" w:rsidRPr="001B5DE3" w:rsidRDefault="009532CD" w:rsidP="00B066B1">
      <w:pPr>
        <w:spacing w:after="0" w:line="240" w:lineRule="auto"/>
        <w:jc w:val="both"/>
        <w:rPr>
          <w:rFonts w:ascii="Times New Roman" w:hAnsi="Times New Roman" w:cs="Times New Roman"/>
          <w:sz w:val="28"/>
          <w:szCs w:val="28"/>
          <w:lang w:val="uk-UA"/>
        </w:rPr>
      </w:pP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 метою залучення іноземних інвестицій область веде активне багатостороннє співробітництво з регіонами країн світу та світовими й регіональними міжнародними організаціями. З початку року облдержадміністрацією організовано 25 візитів (у тому числі в онлайн</w:t>
      </w:r>
      <w:r w:rsidR="008C3CB4"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форматі) делегацій іноземних країн, представників дипломатичних установ, журналістів і міжнародних організацій до області, серед них:</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зустріч голови облдержадміністрації з Міністром закордонних справ України Дмитром Кулебою та Діюч</w:t>
      </w:r>
      <w:r w:rsidR="005C7C20" w:rsidRPr="001B5DE3">
        <w:rPr>
          <w:rFonts w:ascii="Times New Roman" w:hAnsi="Times New Roman" w:cs="Times New Roman"/>
          <w:sz w:val="28"/>
          <w:szCs w:val="28"/>
          <w:lang w:val="uk-UA"/>
        </w:rPr>
        <w:t>им</w:t>
      </w:r>
      <w:r w:rsidRPr="001B5DE3">
        <w:rPr>
          <w:rFonts w:ascii="Times New Roman" w:hAnsi="Times New Roman" w:cs="Times New Roman"/>
          <w:sz w:val="28"/>
          <w:szCs w:val="28"/>
          <w:lang w:val="uk-UA"/>
        </w:rPr>
        <w:t xml:space="preserve"> головою ОБСЄ, Міністром закордонних справ Швеції Анн Лінде та співробітниками офісу </w:t>
      </w:r>
      <w:r w:rsidR="005C7C20" w:rsidRPr="001B5DE3">
        <w:rPr>
          <w:rFonts w:ascii="Times New Roman" w:hAnsi="Times New Roman" w:cs="Times New Roman"/>
          <w:sz w:val="28"/>
          <w:szCs w:val="28"/>
          <w:lang w:val="uk-UA"/>
        </w:rPr>
        <w:t>С</w:t>
      </w:r>
      <w:r w:rsidR="004B3866" w:rsidRPr="001B5DE3">
        <w:rPr>
          <w:rFonts w:ascii="Times New Roman" w:hAnsi="Times New Roman" w:cs="Times New Roman"/>
          <w:sz w:val="28"/>
          <w:szCs w:val="28"/>
          <w:lang w:val="uk-UA"/>
        </w:rPr>
        <w:t>пеціальн</w:t>
      </w:r>
      <w:r w:rsidR="005C7C20" w:rsidRPr="001B5DE3">
        <w:rPr>
          <w:rFonts w:ascii="Times New Roman" w:hAnsi="Times New Roman" w:cs="Times New Roman"/>
          <w:sz w:val="28"/>
          <w:szCs w:val="28"/>
          <w:lang w:val="uk-UA"/>
        </w:rPr>
        <w:t>ої</w:t>
      </w:r>
      <w:r w:rsidR="004B3866" w:rsidRPr="001B5DE3">
        <w:rPr>
          <w:rFonts w:ascii="Times New Roman" w:hAnsi="Times New Roman" w:cs="Times New Roman"/>
          <w:sz w:val="28"/>
          <w:szCs w:val="28"/>
          <w:lang w:val="uk-UA"/>
        </w:rPr>
        <w:t xml:space="preserve"> моніторингов</w:t>
      </w:r>
      <w:r w:rsidR="005C7C20" w:rsidRPr="001B5DE3">
        <w:rPr>
          <w:rFonts w:ascii="Times New Roman" w:hAnsi="Times New Roman" w:cs="Times New Roman"/>
          <w:sz w:val="28"/>
          <w:szCs w:val="28"/>
          <w:lang w:val="uk-UA"/>
        </w:rPr>
        <w:t>ої</w:t>
      </w:r>
      <w:r w:rsidR="004B3866" w:rsidRPr="001B5DE3">
        <w:rPr>
          <w:rFonts w:ascii="Times New Roman" w:hAnsi="Times New Roman" w:cs="Times New Roman"/>
          <w:sz w:val="28"/>
          <w:szCs w:val="28"/>
          <w:lang w:val="uk-UA"/>
        </w:rPr>
        <w:t xml:space="preserve"> місі</w:t>
      </w:r>
      <w:r w:rsidR="005C7C20" w:rsidRPr="001B5DE3">
        <w:rPr>
          <w:rFonts w:ascii="Times New Roman" w:hAnsi="Times New Roman" w:cs="Times New Roman"/>
          <w:sz w:val="28"/>
          <w:szCs w:val="28"/>
          <w:lang w:val="uk-UA"/>
        </w:rPr>
        <w:t>ї</w:t>
      </w:r>
      <w:r w:rsidRPr="001B5DE3">
        <w:rPr>
          <w:rFonts w:ascii="Times New Roman" w:hAnsi="Times New Roman" w:cs="Times New Roman"/>
          <w:sz w:val="28"/>
          <w:szCs w:val="28"/>
          <w:lang w:val="uk-UA"/>
        </w:rPr>
        <w:t xml:space="preserve"> ОБСЄ в місті Дніпро;</w:t>
      </w:r>
    </w:p>
    <w:p w:rsidR="009532CD" w:rsidRPr="001B5DE3" w:rsidRDefault="005C7C20"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онлайн</w:t>
      </w:r>
      <w:r w:rsidR="008C3CB4" w:rsidRPr="001B5DE3">
        <w:rPr>
          <w:rFonts w:ascii="Times New Roman" w:hAnsi="Times New Roman" w:cs="Times New Roman"/>
          <w:sz w:val="28"/>
          <w:szCs w:val="28"/>
          <w:lang w:val="uk-UA"/>
        </w:rPr>
        <w:t>-</w:t>
      </w:r>
      <w:r w:rsidR="009532CD" w:rsidRPr="001B5DE3">
        <w:rPr>
          <w:rFonts w:ascii="Times New Roman" w:hAnsi="Times New Roman" w:cs="Times New Roman"/>
          <w:sz w:val="28"/>
          <w:szCs w:val="28"/>
          <w:lang w:val="uk-UA"/>
        </w:rPr>
        <w:t xml:space="preserve">зустріч з представниками </w:t>
      </w:r>
      <w:r w:rsidR="009A4F53" w:rsidRPr="001B5DE3">
        <w:rPr>
          <w:rFonts w:ascii="Times New Roman" w:hAnsi="Times New Roman" w:cs="Times New Roman"/>
          <w:sz w:val="28"/>
          <w:szCs w:val="28"/>
          <w:lang w:val="uk-UA"/>
        </w:rPr>
        <w:t>торгово</w:t>
      </w:r>
      <w:r w:rsidR="007E5AA8" w:rsidRPr="001B5DE3">
        <w:rPr>
          <w:rFonts w:ascii="Times New Roman" w:hAnsi="Times New Roman" w:cs="Times New Roman"/>
          <w:sz w:val="28"/>
          <w:szCs w:val="28"/>
          <w:lang w:val="uk-UA"/>
        </w:rPr>
        <w:t>-</w:t>
      </w:r>
      <w:r w:rsidR="009A4F53" w:rsidRPr="001B5DE3">
        <w:rPr>
          <w:rFonts w:ascii="Times New Roman" w:hAnsi="Times New Roman" w:cs="Times New Roman"/>
          <w:sz w:val="28"/>
          <w:szCs w:val="28"/>
          <w:lang w:val="uk-UA"/>
        </w:rPr>
        <w:t>промислов</w:t>
      </w:r>
      <w:r w:rsidR="007E5AA8" w:rsidRPr="001B5DE3">
        <w:rPr>
          <w:rFonts w:ascii="Times New Roman" w:hAnsi="Times New Roman" w:cs="Times New Roman"/>
          <w:sz w:val="28"/>
          <w:szCs w:val="28"/>
          <w:lang w:val="uk-UA"/>
        </w:rPr>
        <w:t>ої палати</w:t>
      </w:r>
      <w:r w:rsidRPr="001B5DE3">
        <w:rPr>
          <w:rFonts w:ascii="Times New Roman" w:hAnsi="Times New Roman" w:cs="Times New Roman"/>
          <w:sz w:val="28"/>
          <w:szCs w:val="28"/>
          <w:lang w:val="uk-UA"/>
        </w:rPr>
        <w:t xml:space="preserve"> Стамбула</w:t>
      </w:r>
      <w:r w:rsidR="009532CD" w:rsidRPr="001B5DE3">
        <w:rPr>
          <w:rFonts w:ascii="Times New Roman" w:hAnsi="Times New Roman" w:cs="Times New Roman"/>
          <w:sz w:val="28"/>
          <w:szCs w:val="28"/>
          <w:lang w:val="uk-UA"/>
        </w:rPr>
        <w:t xml:space="preserve"> Республіки Туреччини;</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зустріч першого заступника голови облдержадміністрації з Надзвичайним і Повноважним Послом Федеративної Республіки Бразилія в Україні Нортоном де Андраде Мелло;</w:t>
      </w:r>
    </w:p>
    <w:p w:rsidR="009532CD" w:rsidRPr="001B5DE3" w:rsidRDefault="008568CE"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онлайн</w:t>
      </w:r>
      <w:r w:rsidR="008C3CB4" w:rsidRPr="001B5DE3">
        <w:rPr>
          <w:rFonts w:ascii="Times New Roman" w:hAnsi="Times New Roman" w:cs="Times New Roman"/>
          <w:sz w:val="28"/>
          <w:szCs w:val="28"/>
          <w:lang w:val="uk-UA"/>
        </w:rPr>
        <w:t>-</w:t>
      </w:r>
      <w:r w:rsidR="009532CD" w:rsidRPr="001B5DE3">
        <w:rPr>
          <w:rFonts w:ascii="Times New Roman" w:hAnsi="Times New Roman" w:cs="Times New Roman"/>
          <w:sz w:val="28"/>
          <w:szCs w:val="28"/>
          <w:lang w:val="uk-UA"/>
        </w:rPr>
        <w:t>зустріч Надзвичайного і Повноважного Посла України в Республіці Естонія Маряни Беци, Надзвичайного і Повноважного Посла Республіки Естонія в Україні Каймо Кууска, організована перша зустріч естонських представників бізнесу з підприємцями Дніпропетровщини;</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візит Надзвичайного і Повноважного Посла Румунії в Україні Крістіан-Леона Цуркану до Дніпропетровської області.</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Онлайн-семінар з розробки стратегічного дизайну “Механізму стабілізації України”, який організовано Посольством Великої Британії в Україні у рамках розроблення нового Мультидонорського фонду (Механізму стабілізації України), створеного за участі дипломатичних представництв урядів Канади, Швеції, Великої Британії, Швейцарської Конфедерації та Сполучених Штатів Америки для підтримки громад, що постраждали від російсько-українського конфлікту.</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10 березня відбулася загальна зустріч очільників Дніпропетровської облдержадміністрації та Дніпропетровської обласної ради з керівниками регіональних членських компаній Європейської Бізнес Асоціації у Дніпрі</w:t>
      </w:r>
      <w:r w:rsidR="004B3866" w:rsidRPr="001B5DE3">
        <w:rPr>
          <w:rFonts w:ascii="Times New Roman" w:hAnsi="Times New Roman" w:cs="Times New Roman"/>
          <w:sz w:val="28"/>
          <w:szCs w:val="28"/>
          <w:lang w:val="uk-UA"/>
        </w:rPr>
        <w:t xml:space="preserve"> (далі – Асоціація)</w:t>
      </w:r>
      <w:r w:rsidRPr="001B5DE3">
        <w:rPr>
          <w:rFonts w:ascii="Times New Roman" w:hAnsi="Times New Roman" w:cs="Times New Roman"/>
          <w:sz w:val="28"/>
          <w:szCs w:val="28"/>
          <w:lang w:val="uk-UA"/>
        </w:rPr>
        <w:t xml:space="preserve">. Під час зустрічі учасники обговорили важливі питання інвестиційного клімату регіону, напрями його покращення та питання, які найбільше хвилюють бізнес у регіоні сьогодні, а саме: як відбувається процес вакцинації проти </w:t>
      </w:r>
      <w:r w:rsidR="008568CE" w:rsidRPr="001B5DE3">
        <w:rPr>
          <w:rFonts w:ascii="Times New Roman" w:hAnsi="Times New Roman" w:cs="Times New Roman"/>
          <w:sz w:val="28"/>
          <w:szCs w:val="28"/>
          <w:lang w:val="uk-UA"/>
        </w:rPr>
        <w:t>COVID</w:t>
      </w:r>
      <w:r w:rsidRPr="001B5DE3">
        <w:rPr>
          <w:rFonts w:ascii="Times New Roman" w:hAnsi="Times New Roman" w:cs="Times New Roman"/>
          <w:sz w:val="28"/>
          <w:szCs w:val="28"/>
          <w:lang w:val="uk-UA"/>
        </w:rPr>
        <w:t>-19; відновлення дорожньої інфраструктури та будівництва аеропорту; екологічна ситуація в області; розвиток індустріальних парків в області. </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Представники облдержадміністрації запросили керівників компаній-членів Асоціації, які сприяють залученню інвестицій, приєднатися до інвестиційної ради області. Крім того, компанії мали нагоду обговорити індивідуальні проблемні питання.</w:t>
      </w:r>
    </w:p>
    <w:p w:rsidR="009532CD" w:rsidRPr="001B5DE3" w:rsidRDefault="008568CE"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Наприкінці</w:t>
      </w:r>
      <w:r w:rsidR="00DA78D2" w:rsidRPr="001B5DE3">
        <w:rPr>
          <w:rFonts w:ascii="Times New Roman" w:hAnsi="Times New Roman" w:cs="Times New Roman"/>
          <w:sz w:val="28"/>
          <w:szCs w:val="28"/>
          <w:lang w:val="uk-UA"/>
        </w:rPr>
        <w:t xml:space="preserve"> травня – почат</w:t>
      </w:r>
      <w:r w:rsidR="009532CD" w:rsidRPr="001B5DE3">
        <w:rPr>
          <w:rFonts w:ascii="Times New Roman" w:hAnsi="Times New Roman" w:cs="Times New Roman"/>
          <w:sz w:val="28"/>
          <w:szCs w:val="28"/>
          <w:lang w:val="uk-UA"/>
        </w:rPr>
        <w:t>к</w:t>
      </w:r>
      <w:r w:rsidR="00DA78D2" w:rsidRPr="001B5DE3">
        <w:rPr>
          <w:rFonts w:ascii="Times New Roman" w:hAnsi="Times New Roman" w:cs="Times New Roman"/>
          <w:sz w:val="28"/>
          <w:szCs w:val="28"/>
          <w:lang w:val="uk-UA"/>
        </w:rPr>
        <w:t>у</w:t>
      </w:r>
      <w:r w:rsidR="009532CD" w:rsidRPr="001B5DE3">
        <w:rPr>
          <w:rFonts w:ascii="Times New Roman" w:hAnsi="Times New Roman" w:cs="Times New Roman"/>
          <w:sz w:val="28"/>
          <w:szCs w:val="28"/>
          <w:lang w:val="uk-UA"/>
        </w:rPr>
        <w:t xml:space="preserve"> червня </w:t>
      </w:r>
      <w:r w:rsidR="00D95AC0" w:rsidRPr="001B5DE3">
        <w:rPr>
          <w:rFonts w:ascii="Times New Roman" w:hAnsi="Times New Roman" w:cs="Times New Roman"/>
          <w:sz w:val="28"/>
          <w:szCs w:val="28"/>
          <w:lang w:val="uk-UA"/>
        </w:rPr>
        <w:t>відбулися</w:t>
      </w:r>
      <w:r w:rsidR="009532CD" w:rsidRPr="001B5DE3">
        <w:rPr>
          <w:rFonts w:ascii="Times New Roman" w:hAnsi="Times New Roman" w:cs="Times New Roman"/>
          <w:sz w:val="28"/>
          <w:szCs w:val="28"/>
          <w:lang w:val="uk-UA"/>
        </w:rPr>
        <w:t xml:space="preserve"> важливі інвестиційні події в регіоні.</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27 травня у м. Дніпро за участі Прем’єр-міністра України Дениса Шмигаля відбувся захід “UkraineInvest Talks: Dnipro”, організований урядовим Офісом із залучення та підтримки інвестицій UkraineInvest. </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Це перша конференція в рамках серії заходів </w:t>
      </w:r>
      <w:r w:rsidR="00DA78D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UkraineInvest Talks</w:t>
      </w:r>
      <w:r w:rsidR="00DA78D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спрямованих на висвітлення інвестиційного потенціалу регіонів України. Зібравши понад 4000 онлайн-учасників з більше ніж 50 країн світу, </w:t>
      </w:r>
      <w:r w:rsidR="00DA78D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UkraineInvest Talks</w:t>
      </w:r>
      <w:r w:rsidR="00DA78D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слугував інтерактивною платформою для інформування інвестиційної спільноти щодо прогресу реформ і розвитку інвестиційного клімату Східної України. Значну увагу було приділено можливостям для інвесторів у відповідності до </w:t>
      </w:r>
      <w:r w:rsidR="00DA78D2" w:rsidRPr="001B5DE3">
        <w:rPr>
          <w:rFonts w:ascii="Times New Roman" w:hAnsi="Times New Roman" w:cs="Times New Roman"/>
          <w:sz w:val="28"/>
          <w:szCs w:val="28"/>
          <w:lang w:val="uk-UA"/>
        </w:rPr>
        <w:t>з</w:t>
      </w:r>
      <w:r w:rsidRPr="001B5DE3">
        <w:rPr>
          <w:rFonts w:ascii="Times New Roman" w:hAnsi="Times New Roman" w:cs="Times New Roman"/>
          <w:sz w:val="28"/>
          <w:szCs w:val="28"/>
          <w:lang w:val="uk-UA"/>
        </w:rPr>
        <w:t>акону про підтримку інвестиційних про</w:t>
      </w:r>
      <w:r w:rsidR="00DA78D2" w:rsidRPr="001B5DE3">
        <w:rPr>
          <w:rFonts w:ascii="Times New Roman" w:hAnsi="Times New Roman" w:cs="Times New Roman"/>
          <w:sz w:val="28"/>
          <w:szCs w:val="28"/>
          <w:lang w:val="uk-UA"/>
        </w:rPr>
        <w:t>є</w:t>
      </w:r>
      <w:r w:rsidRPr="001B5DE3">
        <w:rPr>
          <w:rFonts w:ascii="Times New Roman" w:hAnsi="Times New Roman" w:cs="Times New Roman"/>
          <w:sz w:val="28"/>
          <w:szCs w:val="28"/>
          <w:lang w:val="uk-UA"/>
        </w:rPr>
        <w:t>ктів із значними інвестиціями.</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Дніпро для старту такої масштабної кампанії обрано не випадково, адже Дніпропетровщина – лідер за обсягами іноземних інвестицій.</w:t>
      </w:r>
    </w:p>
    <w:p w:rsidR="009532CD" w:rsidRPr="001B5DE3" w:rsidRDefault="009532CD" w:rsidP="00B066B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заході також взяли участь </w:t>
      </w:r>
      <w:r w:rsidR="008C3CB4" w:rsidRPr="001B5DE3">
        <w:rPr>
          <w:rFonts w:ascii="Times New Roman" w:hAnsi="Times New Roman" w:cs="Times New Roman"/>
          <w:sz w:val="28"/>
          <w:szCs w:val="28"/>
          <w:lang w:val="uk-UA"/>
        </w:rPr>
        <w:t>З</w:t>
      </w:r>
      <w:r w:rsidRPr="001B5DE3">
        <w:rPr>
          <w:rFonts w:ascii="Times New Roman" w:hAnsi="Times New Roman" w:cs="Times New Roman"/>
          <w:sz w:val="28"/>
          <w:szCs w:val="28"/>
          <w:lang w:val="uk-UA"/>
        </w:rPr>
        <w:t>аступник Керівника Офісу Президента України Кирило Тимошенко, народний депутат України, Голова депутатської фракції політичної партії “Слуга Народу” Давид Арахамія, Міністр Кабінету Міністрів України Олег Немчінов, а також голови державних обласних адміністрацій Дніпропетровської, Запорізької, Харківської, Донецької та Луганської областей, міські голови, очільники найбільших компаній, що працюють у регіоні. </w:t>
      </w:r>
    </w:p>
    <w:p w:rsidR="009532CD" w:rsidRPr="001B5DE3" w:rsidRDefault="009532CD" w:rsidP="00492AD3">
      <w:pPr>
        <w:spacing w:after="0" w:line="226"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31 травня на запрошення Правління Європейської Бізнес Асоціації перший заступник голови облдержадміністрації Володимир Орлов взяв участь у виїзному засіданні Правління, де презентував інвестиційний потенціал Дніпропетровщини, а також обговорив такі важливі питання, як розвиток сільського господарства, осучаснення транспортної логістики, оновлення доріг, модернізацію інфраструктури, поліпшення комфорту ведення бізнесу на території області.</w:t>
      </w:r>
    </w:p>
    <w:p w:rsidR="009532CD" w:rsidRPr="001B5DE3" w:rsidRDefault="005137A7" w:rsidP="00492AD3">
      <w:pPr>
        <w:spacing w:after="0" w:line="226"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0</w:t>
      </w:r>
      <w:r w:rsidR="009532CD" w:rsidRPr="001B5DE3">
        <w:rPr>
          <w:rFonts w:ascii="Times New Roman" w:hAnsi="Times New Roman" w:cs="Times New Roman"/>
          <w:sz w:val="28"/>
          <w:szCs w:val="28"/>
          <w:lang w:val="uk-UA"/>
        </w:rPr>
        <w:t xml:space="preserve">8 червня у </w:t>
      </w:r>
      <w:r w:rsidR="008C3CB4" w:rsidRPr="001B5DE3">
        <w:rPr>
          <w:rFonts w:ascii="Times New Roman" w:hAnsi="Times New Roman" w:cs="Times New Roman"/>
          <w:sz w:val="28"/>
          <w:szCs w:val="28"/>
          <w:lang w:val="uk-UA"/>
        </w:rPr>
        <w:t xml:space="preserve">м. </w:t>
      </w:r>
      <w:r w:rsidR="009532CD" w:rsidRPr="001B5DE3">
        <w:rPr>
          <w:rFonts w:ascii="Times New Roman" w:hAnsi="Times New Roman" w:cs="Times New Roman"/>
          <w:sz w:val="28"/>
          <w:szCs w:val="28"/>
          <w:lang w:val="uk-UA"/>
        </w:rPr>
        <w:t>Дніпрі відбулося засідання Палати регіонів Конгресу місцевих та регіональних влад. Його відкрив Президент України Володимир Зеленський. До зустрічі долучилися урядовці, голови обласних рад та обласних державних адміністрацій. Дніпропетровщина була відзначена як флагман з реалізації інвестиційних про</w:t>
      </w:r>
      <w:r w:rsidRPr="001B5DE3">
        <w:rPr>
          <w:rFonts w:ascii="Times New Roman" w:hAnsi="Times New Roman" w:cs="Times New Roman"/>
          <w:sz w:val="28"/>
          <w:szCs w:val="28"/>
          <w:lang w:val="uk-UA"/>
        </w:rPr>
        <w:t>є</w:t>
      </w:r>
      <w:r w:rsidR="009532CD" w:rsidRPr="001B5DE3">
        <w:rPr>
          <w:rFonts w:ascii="Times New Roman" w:hAnsi="Times New Roman" w:cs="Times New Roman"/>
          <w:sz w:val="28"/>
          <w:szCs w:val="28"/>
          <w:lang w:val="uk-UA"/>
        </w:rPr>
        <w:t xml:space="preserve">ктів, зокрема програми “Велике будівництво”. </w:t>
      </w:r>
    </w:p>
    <w:p w:rsidR="00157B61" w:rsidRPr="00492AD3" w:rsidRDefault="00157B61" w:rsidP="00492AD3">
      <w:pPr>
        <w:spacing w:after="0" w:line="226" w:lineRule="auto"/>
        <w:ind w:firstLine="709"/>
        <w:jc w:val="both"/>
        <w:rPr>
          <w:rFonts w:ascii="Times New Roman" w:hAnsi="Times New Roman" w:cs="Times New Roman"/>
          <w:bCs/>
          <w:iCs/>
          <w:sz w:val="24"/>
          <w:szCs w:val="24"/>
          <w:lang w:val="uk-UA"/>
        </w:rPr>
      </w:pPr>
    </w:p>
    <w:p w:rsidR="00CC3037" w:rsidRPr="001B5DE3" w:rsidRDefault="00CC3037" w:rsidP="00492AD3">
      <w:pPr>
        <w:spacing w:after="0" w:line="226"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Зовнішньоекономічна та виставково-конгресна діяльність</w:t>
      </w:r>
    </w:p>
    <w:p w:rsidR="00DC5D2D" w:rsidRPr="00492AD3" w:rsidRDefault="00DC5D2D" w:rsidP="00492AD3">
      <w:pPr>
        <w:pStyle w:val="af3"/>
        <w:tabs>
          <w:tab w:val="left" w:pos="0"/>
          <w:tab w:val="num" w:pos="900"/>
        </w:tabs>
        <w:spacing w:before="0" w:beforeAutospacing="0" w:after="0" w:afterAutospacing="0" w:line="226" w:lineRule="auto"/>
        <w:ind w:firstLine="709"/>
        <w:jc w:val="both"/>
        <w:rPr>
          <w:color w:val="auto"/>
          <w:sz w:val="24"/>
          <w:szCs w:val="24"/>
          <w:lang w:val="uk-UA"/>
        </w:rPr>
      </w:pPr>
    </w:p>
    <w:p w:rsidR="00DC5D2D" w:rsidRPr="001B5DE3" w:rsidRDefault="00DC5D2D" w:rsidP="00492AD3">
      <w:pPr>
        <w:pStyle w:val="af3"/>
        <w:tabs>
          <w:tab w:val="left" w:pos="0"/>
          <w:tab w:val="num" w:pos="900"/>
        </w:tabs>
        <w:spacing w:before="0" w:beforeAutospacing="0" w:after="0" w:afterAutospacing="0" w:line="226" w:lineRule="auto"/>
        <w:ind w:firstLine="709"/>
        <w:jc w:val="both"/>
        <w:rPr>
          <w:color w:val="auto"/>
        </w:rPr>
      </w:pPr>
      <w:r w:rsidRPr="001B5DE3">
        <w:rPr>
          <w:color w:val="auto"/>
          <w:lang w:val="uk-UA"/>
        </w:rPr>
        <w:t xml:space="preserve">Дніпропетровщина </w:t>
      </w:r>
      <w:r w:rsidR="00A57F1A" w:rsidRPr="001B5DE3">
        <w:rPr>
          <w:color w:val="auto"/>
          <w:lang w:val="uk-UA"/>
        </w:rPr>
        <w:t>належ</w:t>
      </w:r>
      <w:r w:rsidRPr="001B5DE3">
        <w:rPr>
          <w:color w:val="auto"/>
          <w:lang w:val="uk-UA"/>
        </w:rPr>
        <w:t xml:space="preserve">ить до числа провідних експортерів та займає перше місце за обсягами експорту серед областей України. На регіон припадає </w:t>
      </w:r>
      <w:r w:rsidRPr="001B5DE3">
        <w:rPr>
          <w:color w:val="auto"/>
        </w:rPr>
        <w:t>5</w:t>
      </w:r>
      <w:r w:rsidRPr="001B5DE3">
        <w:rPr>
          <w:color w:val="auto"/>
          <w:lang w:val="uk-UA"/>
        </w:rPr>
        <w:t>-та частина експортних товарних операцій держави.</w:t>
      </w:r>
    </w:p>
    <w:p w:rsidR="006F0555" w:rsidRPr="00492AD3" w:rsidRDefault="006F0555" w:rsidP="00B066B1">
      <w:pPr>
        <w:pStyle w:val="af3"/>
        <w:tabs>
          <w:tab w:val="num" w:pos="0"/>
        </w:tabs>
        <w:spacing w:before="0" w:beforeAutospacing="0" w:after="0" w:afterAutospacing="0"/>
        <w:jc w:val="both"/>
        <w:rPr>
          <w:color w:val="auto"/>
          <w:sz w:val="24"/>
          <w:szCs w:val="24"/>
          <w:lang w:val="uk-UA"/>
        </w:rPr>
      </w:pPr>
    </w:p>
    <w:p w:rsidR="00DC5D2D" w:rsidRPr="001B5DE3" w:rsidRDefault="00DC5D2D" w:rsidP="00B066B1">
      <w:pPr>
        <w:pStyle w:val="af3"/>
        <w:tabs>
          <w:tab w:val="num" w:pos="0"/>
        </w:tabs>
        <w:spacing w:before="0" w:beforeAutospacing="0" w:after="0" w:afterAutospacing="0"/>
        <w:jc w:val="both"/>
        <w:rPr>
          <w:color w:val="auto"/>
          <w:lang w:val="en-US"/>
        </w:rPr>
      </w:pPr>
      <w:r w:rsidRPr="001B5DE3">
        <w:rPr>
          <w:noProof/>
          <w:color w:val="auto"/>
        </w:rPr>
        <w:drawing>
          <wp:inline distT="0" distB="0" distL="0" distR="0" wp14:anchorId="423EC0DF" wp14:editId="7C7A08E5">
            <wp:extent cx="5124450" cy="2019300"/>
            <wp:effectExtent l="0" t="0" r="0" b="0"/>
            <wp:docPr id="1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5D2D" w:rsidRPr="00492AD3" w:rsidRDefault="00DC5D2D" w:rsidP="00B066B1">
      <w:pPr>
        <w:pStyle w:val="af3"/>
        <w:tabs>
          <w:tab w:val="left" w:pos="0"/>
          <w:tab w:val="num" w:pos="900"/>
        </w:tabs>
        <w:spacing w:before="0" w:beforeAutospacing="0" w:after="0" w:afterAutospacing="0"/>
        <w:jc w:val="both"/>
        <w:rPr>
          <w:color w:val="auto"/>
          <w:sz w:val="16"/>
          <w:szCs w:val="16"/>
          <w:lang w:val="en-US"/>
        </w:rPr>
      </w:pPr>
    </w:p>
    <w:p w:rsidR="00DC5D2D" w:rsidRDefault="00DC5D2D" w:rsidP="00492AD3">
      <w:pPr>
        <w:pStyle w:val="af3"/>
        <w:spacing w:before="0" w:beforeAutospacing="0" w:after="0" w:afterAutospacing="0" w:line="226" w:lineRule="auto"/>
        <w:ind w:firstLine="709"/>
        <w:jc w:val="both"/>
        <w:rPr>
          <w:color w:val="auto"/>
          <w:lang w:val="uk-UA"/>
        </w:rPr>
      </w:pPr>
      <w:r w:rsidRPr="001B5DE3">
        <w:rPr>
          <w:color w:val="auto"/>
          <w:lang w:val="uk-UA"/>
        </w:rPr>
        <w:t xml:space="preserve">У січні – травні 2021 року обсяг зовнішньої торгівлі товарами склав 6815,0 млн дол. США (зростання на 41,5% порівняно з січнем – травнем попереднього року), у тому числі експорт збільшився на 53,1% і склав </w:t>
      </w:r>
      <w:r w:rsidRPr="001B5DE3">
        <w:rPr>
          <w:color w:val="auto"/>
          <w:lang w:val="uk-UA"/>
        </w:rPr>
        <w:br/>
        <w:t>4702,6 млн дол. США, імпорт – на 21,0% і склав 2112,4 млн дол. США. Позитивне сальдо склало 2590,2 млн дол. США.</w:t>
      </w:r>
    </w:p>
    <w:p w:rsidR="00492AD3" w:rsidRPr="00492AD3" w:rsidRDefault="00492AD3" w:rsidP="00492AD3">
      <w:pPr>
        <w:pStyle w:val="af3"/>
        <w:spacing w:before="0" w:beforeAutospacing="0" w:after="0" w:afterAutospacing="0" w:line="226" w:lineRule="auto"/>
        <w:ind w:firstLine="709"/>
        <w:jc w:val="both"/>
        <w:rPr>
          <w:color w:val="auto"/>
          <w:sz w:val="10"/>
          <w:szCs w:val="10"/>
          <w:lang w:val="uk-UA"/>
        </w:rPr>
      </w:pPr>
    </w:p>
    <w:p w:rsidR="00DC5D2D" w:rsidRPr="001B5DE3" w:rsidRDefault="00DC5D2D" w:rsidP="00B066B1">
      <w:pPr>
        <w:pStyle w:val="af3"/>
        <w:tabs>
          <w:tab w:val="left" w:pos="0"/>
          <w:tab w:val="num" w:pos="900"/>
        </w:tabs>
        <w:spacing w:before="0" w:beforeAutospacing="0" w:after="0" w:afterAutospacing="0"/>
        <w:jc w:val="both"/>
        <w:rPr>
          <w:color w:val="auto"/>
          <w:lang w:val="en-US"/>
        </w:rPr>
      </w:pPr>
      <w:r w:rsidRPr="001B5DE3">
        <w:rPr>
          <w:noProof/>
          <w:color w:val="auto"/>
        </w:rPr>
        <w:drawing>
          <wp:inline distT="0" distB="0" distL="0" distR="0" wp14:anchorId="70B429E2" wp14:editId="4AB7A422">
            <wp:extent cx="5839602" cy="2362200"/>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843"/>
        <w:gridCol w:w="1276"/>
        <w:gridCol w:w="1882"/>
      </w:tblGrid>
      <w:tr w:rsidR="001B5DE3" w:rsidRPr="001B5DE3" w:rsidTr="00574FFC">
        <w:trPr>
          <w:trHeight w:val="331"/>
          <w:jc w:val="center"/>
        </w:trPr>
        <w:tc>
          <w:tcPr>
            <w:tcW w:w="9436" w:type="dxa"/>
            <w:gridSpan w:val="4"/>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Загальні показники зовнішньої торгівлі товарами Дніпропетровської області</w:t>
            </w:r>
          </w:p>
        </w:tc>
      </w:tr>
      <w:tr w:rsidR="001B5DE3" w:rsidRPr="001B5DE3" w:rsidTr="00574FFC">
        <w:trPr>
          <w:jc w:val="center"/>
        </w:trPr>
        <w:tc>
          <w:tcPr>
            <w:tcW w:w="4435" w:type="dxa"/>
          </w:tcPr>
          <w:p w:rsidR="00DC5D2D" w:rsidRPr="001B5DE3" w:rsidRDefault="00DC5D2D" w:rsidP="00B066B1">
            <w:pPr>
              <w:spacing w:after="0" w:line="240" w:lineRule="auto"/>
              <w:jc w:val="center"/>
              <w:rPr>
                <w:rFonts w:ascii="Times New Roman" w:hAnsi="Times New Roman" w:cs="Times New Roman"/>
                <w:sz w:val="28"/>
                <w:szCs w:val="28"/>
                <w:lang w:val="uk-UA"/>
              </w:rPr>
            </w:pPr>
          </w:p>
        </w:tc>
        <w:tc>
          <w:tcPr>
            <w:tcW w:w="1843" w:type="dxa"/>
            <w:vAlign w:val="center"/>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Січень – </w:t>
            </w:r>
            <w:r w:rsidRPr="001B5DE3">
              <w:rPr>
                <w:rFonts w:ascii="Times New Roman" w:hAnsi="Times New Roman" w:cs="Times New Roman"/>
                <w:sz w:val="28"/>
                <w:szCs w:val="28"/>
                <w:lang w:val="uk-UA"/>
              </w:rPr>
              <w:br/>
              <w:t>травень</w:t>
            </w:r>
          </w:p>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2020 року</w:t>
            </w:r>
          </w:p>
        </w:tc>
        <w:tc>
          <w:tcPr>
            <w:tcW w:w="1276" w:type="dxa"/>
            <w:vAlign w:val="center"/>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2020 рік</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Січень – </w:t>
            </w:r>
            <w:r w:rsidRPr="001B5DE3">
              <w:rPr>
                <w:rFonts w:ascii="Times New Roman" w:hAnsi="Times New Roman" w:cs="Times New Roman"/>
                <w:sz w:val="28"/>
                <w:szCs w:val="28"/>
                <w:lang w:val="uk-UA"/>
              </w:rPr>
              <w:br/>
              <w:t>травень</w:t>
            </w:r>
          </w:p>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2021 року</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Експорт</w:t>
            </w:r>
          </w:p>
        </w:tc>
        <w:tc>
          <w:tcPr>
            <w:tcW w:w="1843" w:type="dxa"/>
          </w:tcPr>
          <w:p w:rsidR="00DC5D2D" w:rsidRPr="001B5DE3" w:rsidRDefault="00DC5D2D" w:rsidP="00B066B1">
            <w:pPr>
              <w:spacing w:after="0" w:line="240" w:lineRule="auto"/>
              <w:jc w:val="center"/>
              <w:rPr>
                <w:rFonts w:ascii="Times New Roman" w:hAnsi="Times New Roman" w:cs="Times New Roman"/>
                <w:b/>
                <w:sz w:val="28"/>
                <w:szCs w:val="28"/>
                <w:lang w:val="uk-UA"/>
              </w:rPr>
            </w:pPr>
          </w:p>
        </w:tc>
        <w:tc>
          <w:tcPr>
            <w:tcW w:w="1276" w:type="dxa"/>
          </w:tcPr>
          <w:p w:rsidR="00DC5D2D" w:rsidRPr="001B5DE3" w:rsidRDefault="00DC5D2D" w:rsidP="00B066B1">
            <w:pPr>
              <w:spacing w:after="0" w:line="240" w:lineRule="auto"/>
              <w:jc w:val="center"/>
              <w:rPr>
                <w:rFonts w:ascii="Times New Roman" w:hAnsi="Times New Roman" w:cs="Times New Roman"/>
                <w:b/>
                <w:sz w:val="28"/>
                <w:szCs w:val="28"/>
                <w:lang w:val="uk-UA"/>
              </w:rPr>
            </w:pPr>
          </w:p>
        </w:tc>
        <w:tc>
          <w:tcPr>
            <w:tcW w:w="1882" w:type="dxa"/>
          </w:tcPr>
          <w:p w:rsidR="00DC5D2D" w:rsidRPr="001B5DE3" w:rsidRDefault="00DC5D2D" w:rsidP="00B066B1">
            <w:pPr>
              <w:spacing w:after="0" w:line="240" w:lineRule="auto"/>
              <w:jc w:val="center"/>
              <w:rPr>
                <w:rFonts w:ascii="Times New Roman" w:hAnsi="Times New Roman" w:cs="Times New Roman"/>
                <w:b/>
                <w:sz w:val="28"/>
                <w:szCs w:val="28"/>
                <w:lang w:val="uk-UA"/>
              </w:rPr>
            </w:pPr>
          </w:p>
        </w:tc>
      </w:tr>
      <w:tr w:rsidR="001B5DE3" w:rsidRPr="001B5DE3" w:rsidTr="00574FFC">
        <w:trPr>
          <w:jc w:val="center"/>
        </w:trPr>
        <w:tc>
          <w:tcPr>
            <w:tcW w:w="4435" w:type="dxa"/>
          </w:tcPr>
          <w:p w:rsidR="00DC5D2D" w:rsidRPr="001B5DE3" w:rsidRDefault="003A6408"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млн. </w:t>
            </w:r>
            <w:r w:rsidR="00DC5D2D" w:rsidRPr="001B5DE3">
              <w:rPr>
                <w:rFonts w:ascii="Times New Roman" w:hAnsi="Times New Roman" w:cs="Times New Roman"/>
                <w:sz w:val="28"/>
                <w:szCs w:val="28"/>
                <w:lang w:val="uk-UA"/>
              </w:rPr>
              <w:t xml:space="preserve">дол. США </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3071,7</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7591,6</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4702,6</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темп, у  %  до попереднього року</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87,2</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96,0</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153,1</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питома вага в Україні (товари), % </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15,7</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15,4</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19,1</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Імпорт</w:t>
            </w:r>
          </w:p>
        </w:tc>
        <w:tc>
          <w:tcPr>
            <w:tcW w:w="1843" w:type="dxa"/>
          </w:tcPr>
          <w:p w:rsidR="00DC5D2D" w:rsidRPr="001B5DE3" w:rsidRDefault="00DC5D2D" w:rsidP="00B066B1">
            <w:pPr>
              <w:spacing w:after="0" w:line="240" w:lineRule="auto"/>
              <w:jc w:val="right"/>
              <w:rPr>
                <w:rFonts w:ascii="Times New Roman" w:hAnsi="Times New Roman" w:cs="Times New Roman"/>
                <w:b/>
                <w:sz w:val="28"/>
                <w:szCs w:val="28"/>
                <w:lang w:val="uk-UA"/>
              </w:rPr>
            </w:pPr>
          </w:p>
        </w:tc>
        <w:tc>
          <w:tcPr>
            <w:tcW w:w="1276" w:type="dxa"/>
          </w:tcPr>
          <w:p w:rsidR="00DC5D2D" w:rsidRPr="001B5DE3" w:rsidRDefault="00DC5D2D" w:rsidP="00B066B1">
            <w:pPr>
              <w:spacing w:after="0" w:line="240" w:lineRule="auto"/>
              <w:jc w:val="right"/>
              <w:rPr>
                <w:rFonts w:ascii="Times New Roman" w:hAnsi="Times New Roman" w:cs="Times New Roman"/>
                <w:b/>
                <w:sz w:val="28"/>
                <w:szCs w:val="28"/>
                <w:lang w:val="uk-UA"/>
              </w:rPr>
            </w:pPr>
          </w:p>
        </w:tc>
        <w:tc>
          <w:tcPr>
            <w:tcW w:w="1882" w:type="dxa"/>
          </w:tcPr>
          <w:p w:rsidR="00DC5D2D" w:rsidRPr="001B5DE3" w:rsidRDefault="00DC5D2D" w:rsidP="00B066B1">
            <w:pPr>
              <w:spacing w:after="0" w:line="240" w:lineRule="auto"/>
              <w:jc w:val="center"/>
              <w:rPr>
                <w:rFonts w:ascii="Times New Roman" w:hAnsi="Times New Roman" w:cs="Times New Roman"/>
                <w:b/>
                <w:sz w:val="28"/>
                <w:szCs w:val="28"/>
                <w:lang w:val="uk-UA"/>
              </w:rPr>
            </w:pPr>
          </w:p>
        </w:tc>
      </w:tr>
      <w:tr w:rsidR="001B5DE3" w:rsidRPr="001B5DE3" w:rsidTr="00574FFC">
        <w:trPr>
          <w:jc w:val="center"/>
        </w:trPr>
        <w:tc>
          <w:tcPr>
            <w:tcW w:w="4435" w:type="dxa"/>
          </w:tcPr>
          <w:p w:rsidR="00DC5D2D" w:rsidRPr="001B5DE3" w:rsidRDefault="003A6408"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млн. </w:t>
            </w:r>
            <w:r w:rsidR="00DC5D2D" w:rsidRPr="001B5DE3">
              <w:rPr>
                <w:rFonts w:ascii="Times New Roman" w:hAnsi="Times New Roman" w:cs="Times New Roman"/>
                <w:sz w:val="28"/>
                <w:szCs w:val="28"/>
                <w:lang w:val="uk-UA"/>
              </w:rPr>
              <w:t xml:space="preserve">дол. США </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1746,1</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4634,2</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2112,4</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темп, у  %  до попереднього року</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77,4</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83,9</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121,0</w:t>
            </w:r>
          </w:p>
        </w:tc>
      </w:tr>
      <w:tr w:rsidR="001B5DE3" w:rsidRPr="001B5DE3" w:rsidTr="00574FFC">
        <w:trPr>
          <w:jc w:val="center"/>
        </w:trPr>
        <w:tc>
          <w:tcPr>
            <w:tcW w:w="4435" w:type="dxa"/>
          </w:tcPr>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питома вага в Україні (товари), % </w:t>
            </w:r>
          </w:p>
        </w:tc>
        <w:tc>
          <w:tcPr>
            <w:tcW w:w="1843"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8,6</w:t>
            </w:r>
          </w:p>
        </w:tc>
        <w:tc>
          <w:tcPr>
            <w:tcW w:w="1276" w:type="dxa"/>
          </w:tcPr>
          <w:p w:rsidR="00DC5D2D" w:rsidRPr="001B5DE3" w:rsidRDefault="00DC5D2D" w:rsidP="00B066B1">
            <w:pPr>
              <w:spacing w:after="0" w:line="240" w:lineRule="auto"/>
              <w:jc w:val="right"/>
              <w:rPr>
                <w:rFonts w:ascii="Times New Roman" w:hAnsi="Times New Roman" w:cs="Times New Roman"/>
                <w:sz w:val="28"/>
                <w:szCs w:val="28"/>
                <w:lang w:val="uk-UA"/>
              </w:rPr>
            </w:pPr>
            <w:r w:rsidRPr="001B5DE3">
              <w:rPr>
                <w:rFonts w:ascii="Times New Roman" w:hAnsi="Times New Roman" w:cs="Times New Roman"/>
                <w:sz w:val="28"/>
                <w:szCs w:val="28"/>
                <w:lang w:val="uk-UA"/>
              </w:rPr>
              <w:t>8,5</w:t>
            </w:r>
          </w:p>
        </w:tc>
        <w:tc>
          <w:tcPr>
            <w:tcW w:w="1882" w:type="dxa"/>
          </w:tcPr>
          <w:p w:rsidR="00DC5D2D" w:rsidRPr="001B5DE3" w:rsidRDefault="00DC5D2D" w:rsidP="00B066B1">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8,2</w:t>
            </w:r>
          </w:p>
        </w:tc>
      </w:tr>
    </w:tbl>
    <w:p w:rsidR="00DC5D2D" w:rsidRPr="001B5DE3" w:rsidRDefault="00DC5D2D" w:rsidP="00B066B1">
      <w:pPr>
        <w:spacing w:after="0" w:line="240" w:lineRule="auto"/>
        <w:rPr>
          <w:rFonts w:ascii="Times New Roman" w:hAnsi="Times New Roman" w:cs="Times New Roman"/>
          <w:sz w:val="28"/>
          <w:szCs w:val="28"/>
          <w:lang w:val="uk-UA"/>
        </w:rPr>
      </w:pPr>
    </w:p>
    <w:p w:rsidR="00DC5D2D" w:rsidRPr="001B5DE3" w:rsidRDefault="00DC5D2D" w:rsidP="00B066B1">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Основу товарної структури експорту області склали руди, шлак і зола (43,8% обсягу експорту товарів області), чорні метали (37,5%), жири та олії тваринного або рослинного походження (3,9%), засоби наземного транспорту, літальні апарати, плавучі засоби (2,2%).</w:t>
      </w:r>
    </w:p>
    <w:p w:rsidR="00DC5D2D" w:rsidRPr="001B5DE3" w:rsidRDefault="00DC5D2D" w:rsidP="00B066B1">
      <w:pPr>
        <w:spacing w:after="0" w:line="240" w:lineRule="auto"/>
        <w:rPr>
          <w:rFonts w:ascii="Times New Roman" w:hAnsi="Times New Roman" w:cs="Times New Roman"/>
          <w:sz w:val="28"/>
          <w:szCs w:val="28"/>
          <w:lang w:val="uk-UA"/>
        </w:rPr>
      </w:pPr>
    </w:p>
    <w:p w:rsidR="00DC5D2D" w:rsidRPr="001B5DE3" w:rsidRDefault="00DC5D2D" w:rsidP="00B066B1">
      <w:pPr>
        <w:spacing w:after="0" w:line="240" w:lineRule="auto"/>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02208EE3" wp14:editId="36164879">
            <wp:extent cx="6105525" cy="2133600"/>
            <wp:effectExtent l="0" t="0" r="0" b="0"/>
            <wp:docPr id="2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5D2D" w:rsidRPr="001B5DE3" w:rsidRDefault="00DC5D2D" w:rsidP="00B066B1">
      <w:pPr>
        <w:spacing w:after="0" w:line="240" w:lineRule="auto"/>
        <w:jc w:val="center"/>
        <w:rPr>
          <w:rFonts w:ascii="Times New Roman" w:hAnsi="Times New Roman" w:cs="Times New Roman"/>
          <w:sz w:val="28"/>
          <w:szCs w:val="28"/>
          <w:lang w:val="uk-UA"/>
        </w:rPr>
      </w:pPr>
    </w:p>
    <w:p w:rsidR="00DC5D2D" w:rsidRPr="001B5DE3" w:rsidRDefault="00DC5D2D" w:rsidP="00B066B1">
      <w:pPr>
        <w:pStyle w:val="23"/>
        <w:tabs>
          <w:tab w:val="left" w:pos="993"/>
        </w:tabs>
        <w:ind w:firstLine="709"/>
        <w:rPr>
          <w:sz w:val="28"/>
          <w:szCs w:val="28"/>
        </w:rPr>
      </w:pPr>
      <w:r w:rsidRPr="001B5DE3">
        <w:rPr>
          <w:sz w:val="28"/>
          <w:szCs w:val="28"/>
        </w:rPr>
        <w:t xml:space="preserve">Зовнішньоторговельні операції проводились з партнерами </w:t>
      </w:r>
      <w:r w:rsidR="00B72C3D" w:rsidRPr="001B5DE3">
        <w:rPr>
          <w:sz w:val="28"/>
          <w:szCs w:val="28"/>
        </w:rPr>
        <w:t>із</w:t>
      </w:r>
      <w:r w:rsidRPr="001B5DE3">
        <w:rPr>
          <w:sz w:val="28"/>
          <w:szCs w:val="28"/>
        </w:rPr>
        <w:t xml:space="preserve"> 152 країн світу. Обсяги експорту товарів до країн Америки збільшились у 3,6</w:t>
      </w:r>
      <w:r w:rsidR="00DA3419" w:rsidRPr="001B5DE3">
        <w:rPr>
          <w:sz w:val="28"/>
          <w:szCs w:val="28"/>
        </w:rPr>
        <w:t xml:space="preserve"> </w:t>
      </w:r>
      <w:r w:rsidRPr="001B5DE3">
        <w:rPr>
          <w:sz w:val="28"/>
          <w:szCs w:val="28"/>
        </w:rPr>
        <w:t>раз</w:t>
      </w:r>
      <w:r w:rsidR="00B72C3D" w:rsidRPr="001B5DE3">
        <w:rPr>
          <w:sz w:val="28"/>
          <w:szCs w:val="28"/>
        </w:rPr>
        <w:t>ів</w:t>
      </w:r>
      <w:r w:rsidRPr="001B5DE3">
        <w:rPr>
          <w:sz w:val="28"/>
          <w:szCs w:val="28"/>
        </w:rPr>
        <w:t>, Європи – на 63,7%, Азії – на 47,6%.</w:t>
      </w:r>
    </w:p>
    <w:p w:rsidR="00DC5D2D" w:rsidRPr="001B5DE3" w:rsidRDefault="00DC5D2D" w:rsidP="00B066B1">
      <w:pPr>
        <w:pStyle w:val="23"/>
        <w:tabs>
          <w:tab w:val="left" w:pos="993"/>
        </w:tabs>
        <w:ind w:firstLine="709"/>
        <w:rPr>
          <w:sz w:val="28"/>
          <w:szCs w:val="28"/>
        </w:rPr>
      </w:pPr>
    </w:p>
    <w:p w:rsidR="00DC5D2D" w:rsidRPr="001B5DE3" w:rsidRDefault="00DC5D2D" w:rsidP="00B066B1">
      <w:pPr>
        <w:pStyle w:val="23"/>
        <w:tabs>
          <w:tab w:val="left" w:pos="993"/>
        </w:tabs>
        <w:ind w:firstLine="709"/>
        <w:rPr>
          <w:sz w:val="28"/>
          <w:szCs w:val="28"/>
        </w:rPr>
      </w:pPr>
      <w:r w:rsidRPr="001B5DE3">
        <w:rPr>
          <w:noProof/>
          <w:sz w:val="28"/>
          <w:szCs w:val="28"/>
          <w:lang w:val="ru-RU"/>
        </w:rPr>
        <w:drawing>
          <wp:inline distT="0" distB="0" distL="0" distR="0" wp14:anchorId="0FE711AB" wp14:editId="2E9D9115">
            <wp:extent cx="5676900" cy="2038350"/>
            <wp:effectExtent l="19050" t="0" r="0"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5D2D" w:rsidRPr="001B5DE3" w:rsidRDefault="00DC5D2D" w:rsidP="00B066B1">
      <w:pPr>
        <w:pStyle w:val="23"/>
        <w:tabs>
          <w:tab w:val="left" w:pos="993"/>
        </w:tabs>
        <w:ind w:firstLine="709"/>
        <w:rPr>
          <w:sz w:val="28"/>
          <w:szCs w:val="28"/>
        </w:rPr>
      </w:pPr>
    </w:p>
    <w:p w:rsidR="00DC5D2D" w:rsidRPr="001B5DE3" w:rsidRDefault="00DC5D2D" w:rsidP="00B066B1">
      <w:pPr>
        <w:pStyle w:val="23"/>
        <w:tabs>
          <w:tab w:val="left" w:pos="720"/>
          <w:tab w:val="left" w:pos="993"/>
        </w:tabs>
        <w:ind w:firstLine="0"/>
        <w:rPr>
          <w:sz w:val="28"/>
          <w:szCs w:val="28"/>
        </w:rPr>
      </w:pPr>
      <w:r w:rsidRPr="001B5DE3">
        <w:rPr>
          <w:noProof/>
          <w:sz w:val="28"/>
          <w:szCs w:val="28"/>
          <w:lang w:val="ru-RU"/>
        </w:rPr>
        <w:lastRenderedPageBreak/>
        <w:drawing>
          <wp:inline distT="0" distB="0" distL="0" distR="0" wp14:anchorId="6DD3A2CD" wp14:editId="6B1979F2">
            <wp:extent cx="6010910" cy="2432050"/>
            <wp:effectExtent l="0" t="0" r="0" b="0"/>
            <wp:docPr id="25"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5D2D" w:rsidRPr="001B5DE3" w:rsidRDefault="00DC5D2D" w:rsidP="00B066B1">
      <w:pPr>
        <w:pStyle w:val="23"/>
        <w:tabs>
          <w:tab w:val="left" w:pos="720"/>
          <w:tab w:val="left" w:pos="993"/>
        </w:tabs>
        <w:ind w:firstLine="709"/>
        <w:rPr>
          <w:sz w:val="28"/>
          <w:szCs w:val="28"/>
        </w:rPr>
      </w:pPr>
    </w:p>
    <w:p w:rsidR="00DC5D2D" w:rsidRPr="001B5DE3" w:rsidRDefault="00DC5D2D" w:rsidP="00B066B1">
      <w:pPr>
        <w:pStyle w:val="23"/>
        <w:tabs>
          <w:tab w:val="left" w:pos="720"/>
          <w:tab w:val="left" w:pos="993"/>
        </w:tabs>
        <w:ind w:firstLine="709"/>
        <w:rPr>
          <w:sz w:val="28"/>
          <w:szCs w:val="28"/>
        </w:rPr>
      </w:pPr>
      <w:r w:rsidRPr="001B5DE3">
        <w:rPr>
          <w:sz w:val="28"/>
          <w:szCs w:val="28"/>
        </w:rPr>
        <w:t xml:space="preserve">У січні – травні 2021 року облдержадміністрацією здійснювалися заходи, </w:t>
      </w:r>
      <w:r w:rsidR="00F80282" w:rsidRPr="001B5DE3">
        <w:rPr>
          <w:sz w:val="28"/>
          <w:szCs w:val="28"/>
        </w:rPr>
        <w:t>спрямовані</w:t>
      </w:r>
      <w:r w:rsidRPr="001B5DE3">
        <w:rPr>
          <w:sz w:val="28"/>
          <w:szCs w:val="28"/>
        </w:rPr>
        <w:t xml:space="preserve"> на розвиток зовнішньоекономічної діяльності області:</w:t>
      </w:r>
    </w:p>
    <w:p w:rsidR="00DC5D2D" w:rsidRPr="001B5DE3" w:rsidRDefault="00DC5D2D" w:rsidP="00B066B1">
      <w:pPr>
        <w:pStyle w:val="23"/>
        <w:tabs>
          <w:tab w:val="left" w:pos="720"/>
          <w:tab w:val="left" w:pos="993"/>
        </w:tabs>
        <w:ind w:firstLine="709"/>
        <w:rPr>
          <w:sz w:val="28"/>
          <w:szCs w:val="28"/>
        </w:rPr>
      </w:pPr>
      <w:r w:rsidRPr="001B5DE3">
        <w:rPr>
          <w:sz w:val="28"/>
          <w:szCs w:val="28"/>
        </w:rPr>
        <w:t>організовано та проведено робочу зустріч керівництва облдерж</w:t>
      </w:r>
      <w:r w:rsidR="00E765A4">
        <w:rPr>
          <w:sz w:val="28"/>
          <w:szCs w:val="28"/>
        </w:rPr>
        <w:t>-</w:t>
      </w:r>
      <w:r w:rsidRPr="001B5DE3">
        <w:rPr>
          <w:sz w:val="28"/>
          <w:szCs w:val="28"/>
        </w:rPr>
        <w:t>адміністрації з директором Спільного офісу підтримки Європейської комісії Девідом Корбеттом, під час якої обговорювались питання: двостороннього співробітництва, сприяння залученню іноземних інвестицій, налагодження ділових контактів між українськими та іноземними підприємцями, розвитку багатостороннього співробітництва з регіонами країн світу, співпраці зі світовими організаціями, проведення культурного обміну, забезпечення та підтримки позитивного ділового та інвестиційного іміджу Дніпропетровської області;</w:t>
      </w:r>
    </w:p>
    <w:p w:rsidR="00DC5D2D" w:rsidRPr="001B5DE3" w:rsidRDefault="00DC5D2D" w:rsidP="00B066B1">
      <w:pPr>
        <w:pStyle w:val="3"/>
        <w:spacing w:after="0"/>
        <w:ind w:firstLine="709"/>
        <w:jc w:val="both"/>
        <w:rPr>
          <w:sz w:val="28"/>
          <w:szCs w:val="28"/>
          <w:lang w:val="uk-UA"/>
        </w:rPr>
      </w:pPr>
      <w:r w:rsidRPr="001B5DE3">
        <w:rPr>
          <w:sz w:val="28"/>
          <w:szCs w:val="28"/>
          <w:lang w:val="uk-UA"/>
        </w:rPr>
        <w:t>у січні та лютому спільно з Дніпропетровською торгово-промисловою палатою організовано онлайн-зустрічі підприємців Дніпропетровщини з представниками бізнесу Чехії. Захід надав можливість представникам бізнесу двох країн поспілкуватися і виявити взаємовигідні напрями співпраці. Перспективним співробітництво з чеськими партнерами є  взаємодія</w:t>
      </w:r>
      <w:r w:rsidR="00F80282" w:rsidRPr="001B5DE3">
        <w:rPr>
          <w:sz w:val="28"/>
          <w:szCs w:val="28"/>
          <w:lang w:val="uk-UA"/>
        </w:rPr>
        <w:t xml:space="preserve"> </w:t>
      </w:r>
      <w:r w:rsidRPr="001B5DE3">
        <w:rPr>
          <w:sz w:val="28"/>
          <w:szCs w:val="28"/>
          <w:lang w:val="uk-UA"/>
        </w:rPr>
        <w:t>обласних машинобудівників, промисловців з метою виходу на ринок третіх країн для вирішення їх потреб у специфічній продукції, яка виробляється на території Дніпропетровської області. Чеські ж партнери, зі свого боку, проявляють зацікавленість до діяльності українських підприємств, які працюють в енергетичному секторі, металургії, хімічній та нафтохімічній промисловості, а також аграрній галузі;</w:t>
      </w:r>
    </w:p>
    <w:p w:rsidR="00DC5D2D" w:rsidRPr="001B5DE3" w:rsidRDefault="00DC5D2D" w:rsidP="00B066B1">
      <w:pPr>
        <w:pStyle w:val="23"/>
        <w:tabs>
          <w:tab w:val="left" w:pos="720"/>
          <w:tab w:val="left" w:pos="993"/>
        </w:tabs>
        <w:ind w:firstLine="709"/>
        <w:rPr>
          <w:sz w:val="28"/>
          <w:szCs w:val="28"/>
        </w:rPr>
      </w:pPr>
      <w:r w:rsidRPr="001B5DE3">
        <w:rPr>
          <w:sz w:val="28"/>
          <w:szCs w:val="28"/>
        </w:rPr>
        <w:t>у березні відбувся вебінар (онлайн-зустріч), присвячений презентації українсько-турецького економічного потенціалу. Мета зустрічі, в якій взяли участь майже 300 учасників з Туреччини й України, – встановлення нових ділових контактів і розвиток економічної співпраці бізнесу Дніпропетровщини і Турецької Республіки;</w:t>
      </w:r>
    </w:p>
    <w:p w:rsidR="00DC5D2D" w:rsidRPr="001B5DE3" w:rsidRDefault="00DC5D2D" w:rsidP="00B066B1">
      <w:pPr>
        <w:pStyle w:val="23"/>
        <w:tabs>
          <w:tab w:val="left" w:pos="720"/>
          <w:tab w:val="left" w:pos="993"/>
        </w:tabs>
        <w:ind w:firstLine="709"/>
        <w:rPr>
          <w:sz w:val="28"/>
          <w:szCs w:val="28"/>
        </w:rPr>
      </w:pPr>
      <w:r w:rsidRPr="001B5DE3">
        <w:rPr>
          <w:sz w:val="28"/>
          <w:szCs w:val="28"/>
        </w:rPr>
        <w:t xml:space="preserve">у </w:t>
      </w:r>
      <w:r w:rsidR="00DA3419" w:rsidRPr="001B5DE3">
        <w:rPr>
          <w:sz w:val="28"/>
          <w:szCs w:val="28"/>
        </w:rPr>
        <w:t>квітні</w:t>
      </w:r>
      <w:r w:rsidRPr="001B5DE3">
        <w:rPr>
          <w:sz w:val="28"/>
          <w:szCs w:val="28"/>
        </w:rPr>
        <w:t xml:space="preserve"> відбулось перше онлайн</w:t>
      </w:r>
      <w:r w:rsidR="00B824DB" w:rsidRPr="001B5DE3">
        <w:rPr>
          <w:sz w:val="28"/>
          <w:szCs w:val="28"/>
        </w:rPr>
        <w:t>-</w:t>
      </w:r>
      <w:r w:rsidRPr="001B5DE3">
        <w:rPr>
          <w:sz w:val="28"/>
          <w:szCs w:val="28"/>
        </w:rPr>
        <w:t>засідання Регіональної платформи зовнішніх зносин, започатковане Дипломатичною академією України при Міністерстві закордонних справ України, з метою роз’яснення актуальних питань зовнішньої політики України та створення умов для залучення місцевих органів влади до процесу формування зовнішньої політики України;</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lastRenderedPageBreak/>
        <w:t>спільно з Дніпропетровською торгово-промисловою палатою організовано першу зустріч естонських представників бізнесу з підприємцями Дніпропетровщини, які зацікавлені у створенні і розвитку свого бізнесу з іноземними партнерами.</w:t>
      </w:r>
      <w:r w:rsidR="00B824DB" w:rsidRPr="001B5DE3">
        <w:rPr>
          <w:sz w:val="28"/>
          <w:szCs w:val="28"/>
        </w:rPr>
        <w:t xml:space="preserve"> </w:t>
      </w:r>
      <w:r w:rsidRPr="001B5DE3">
        <w:rPr>
          <w:sz w:val="28"/>
          <w:szCs w:val="28"/>
        </w:rPr>
        <w:t>У заході презентували себе</w:t>
      </w:r>
      <w:r w:rsidR="00B950F9" w:rsidRPr="001B5DE3">
        <w:rPr>
          <w:sz w:val="28"/>
          <w:szCs w:val="28"/>
        </w:rPr>
        <w:t xml:space="preserve"> </w:t>
      </w:r>
      <w:r w:rsidRPr="001B5DE3">
        <w:rPr>
          <w:sz w:val="28"/>
          <w:szCs w:val="28"/>
        </w:rPr>
        <w:t>16 українських і</w:t>
      </w:r>
      <w:r w:rsidR="00B824DB" w:rsidRPr="001B5DE3">
        <w:rPr>
          <w:sz w:val="28"/>
          <w:szCs w:val="28"/>
        </w:rPr>
        <w:t xml:space="preserve"> </w:t>
      </w:r>
      <w:r w:rsidR="00B950F9" w:rsidRPr="001B5DE3">
        <w:rPr>
          <w:sz w:val="28"/>
          <w:szCs w:val="28"/>
        </w:rPr>
        <w:br/>
      </w:r>
      <w:r w:rsidRPr="001B5DE3">
        <w:rPr>
          <w:sz w:val="28"/>
          <w:szCs w:val="28"/>
        </w:rPr>
        <w:t>17 естонських підприємств, що дало можливість встановити індивідуальні ділові контакти.</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t>Облдержадміністрацією поширювались серед потенційно заінтересованих підприємств області інформаційні матеріали щодо проведення міжнародних виставково-ярмаркових заходів за кордоном. Створена та підтримується в актуальному стані на вебсайті облдержадміністрації спеціалізована рубрика “Бізнесу” (“Експортерам”), у якій зібрано актуальні інформаційні, рекомендаційні, аналітичні матеріали для підприємців, зацікавлених у виході на зовнішні ринки, зокрема:</w:t>
      </w:r>
    </w:p>
    <w:p w:rsidR="00DC5D2D" w:rsidRPr="001B5DE3" w:rsidRDefault="002502FD" w:rsidP="00BC3DCD">
      <w:pPr>
        <w:pStyle w:val="23"/>
        <w:tabs>
          <w:tab w:val="left" w:pos="720"/>
          <w:tab w:val="left" w:pos="993"/>
        </w:tabs>
        <w:spacing w:line="226" w:lineRule="auto"/>
        <w:ind w:firstLine="709"/>
        <w:rPr>
          <w:sz w:val="28"/>
          <w:szCs w:val="28"/>
        </w:rPr>
      </w:pPr>
      <w:hyperlink r:id="rId20" w:tgtFrame="_blank" w:history="1">
        <w:r w:rsidR="00DC5D2D" w:rsidRPr="001B5DE3">
          <w:rPr>
            <w:sz w:val="28"/>
            <w:szCs w:val="28"/>
          </w:rPr>
          <w:t>“DIAgram</w:t>
        </w:r>
      </w:hyperlink>
      <w:r w:rsidR="00DC5D2D" w:rsidRPr="001B5DE3">
        <w:rPr>
          <w:sz w:val="28"/>
          <w:szCs w:val="28"/>
        </w:rPr>
        <w:t>” – cторінка відкритих даних інвестиційного порталу регіону (структурована, валідна інформація про зовнішньоекономічні зв’язки);</w:t>
      </w:r>
    </w:p>
    <w:p w:rsidR="00DC5D2D" w:rsidRPr="001B5DE3" w:rsidRDefault="00B824DB" w:rsidP="00BC3DCD">
      <w:pPr>
        <w:pStyle w:val="23"/>
        <w:tabs>
          <w:tab w:val="left" w:pos="720"/>
          <w:tab w:val="left" w:pos="993"/>
        </w:tabs>
        <w:spacing w:line="226" w:lineRule="auto"/>
        <w:ind w:firstLine="709"/>
        <w:rPr>
          <w:sz w:val="28"/>
          <w:szCs w:val="28"/>
        </w:rPr>
      </w:pPr>
      <w:r w:rsidRPr="001B5DE3">
        <w:rPr>
          <w:sz w:val="28"/>
          <w:szCs w:val="28"/>
        </w:rPr>
        <w:t>і</w:t>
      </w:r>
      <w:r w:rsidR="00DC5D2D" w:rsidRPr="001B5DE3">
        <w:rPr>
          <w:sz w:val="28"/>
          <w:szCs w:val="28"/>
        </w:rPr>
        <w:t>нтернет-платформа “</w:t>
      </w:r>
      <w:hyperlink r:id="rId21" w:tgtFrame="_blank" w:history="1">
        <w:r w:rsidR="00DC5D2D" w:rsidRPr="001B5DE3">
          <w:rPr>
            <w:sz w:val="28"/>
            <w:szCs w:val="28"/>
          </w:rPr>
          <w:t>TradeMap</w:t>
        </w:r>
      </w:hyperlink>
      <w:r w:rsidR="00DC5D2D" w:rsidRPr="001B5DE3">
        <w:rPr>
          <w:sz w:val="28"/>
          <w:szCs w:val="28"/>
        </w:rPr>
        <w:t xml:space="preserve"> (Торгова карта)” – демонстрація у вигляді таблиць, графіків та карт  показників ефективності експорту, міжнародного попиту, альтернативних ринків та конкурентних ринків;</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t>“</w:t>
      </w:r>
      <w:hyperlink r:id="rId22" w:history="1">
        <w:r w:rsidRPr="001B5DE3">
          <w:rPr>
            <w:sz w:val="28"/>
            <w:szCs w:val="28"/>
          </w:rPr>
          <w:t>Хелпдеск для експортерів до ЄС</w:t>
        </w:r>
      </w:hyperlink>
      <w:r w:rsidRPr="001B5DE3">
        <w:rPr>
          <w:sz w:val="28"/>
          <w:szCs w:val="28"/>
        </w:rPr>
        <w:t>” – інформація про особливості постачання продукції на ринки країн ЄС.</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t>Інформація про можливості у зовнішній торгівлі, бізнес-кейси, інші питання підприємницької діяльності та розвитку бізнесу висвітлювалась місцевими телерадіокомпаніями та друкованими ЗМІ.</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t xml:space="preserve">До територіальних громад Дніпропетровської області направлялись електронні інформаційні випуски </w:t>
      </w:r>
      <w:r w:rsidR="00437826" w:rsidRPr="001B5DE3">
        <w:rPr>
          <w:sz w:val="28"/>
          <w:szCs w:val="28"/>
        </w:rPr>
        <w:t>“</w:t>
      </w:r>
      <w:r w:rsidRPr="001B5DE3">
        <w:rPr>
          <w:sz w:val="28"/>
          <w:szCs w:val="28"/>
        </w:rPr>
        <w:t>Consultant’sDigest</w:t>
      </w:r>
      <w:r w:rsidR="00437826" w:rsidRPr="001B5DE3">
        <w:rPr>
          <w:sz w:val="28"/>
          <w:szCs w:val="28"/>
        </w:rPr>
        <w:t>”</w:t>
      </w:r>
      <w:r w:rsidRPr="001B5DE3">
        <w:rPr>
          <w:sz w:val="28"/>
          <w:szCs w:val="28"/>
        </w:rPr>
        <w:t xml:space="preserve"> – підбірки корисної інформації від учасників програми </w:t>
      </w:r>
      <w:r w:rsidR="00437826" w:rsidRPr="001B5DE3">
        <w:rPr>
          <w:sz w:val="28"/>
          <w:szCs w:val="28"/>
        </w:rPr>
        <w:t>“</w:t>
      </w:r>
      <w:r w:rsidRPr="001B5DE3">
        <w:rPr>
          <w:sz w:val="28"/>
          <w:szCs w:val="28"/>
        </w:rPr>
        <w:t>TraintheTrainers</w:t>
      </w:r>
      <w:r w:rsidR="00437826" w:rsidRPr="001B5DE3">
        <w:rPr>
          <w:sz w:val="28"/>
          <w:szCs w:val="28"/>
        </w:rPr>
        <w:t>”</w:t>
      </w:r>
      <w:r w:rsidRPr="001B5DE3">
        <w:rPr>
          <w:sz w:val="28"/>
          <w:szCs w:val="28"/>
        </w:rPr>
        <w:t xml:space="preserve"> для підприємців, експортерів та консультантів в експорті, що допоможе компаніям у виході на іноземні ринки.</w:t>
      </w:r>
    </w:p>
    <w:p w:rsidR="00DC5D2D" w:rsidRPr="001B5DE3" w:rsidRDefault="00DC5D2D" w:rsidP="00BC3DCD">
      <w:pPr>
        <w:pStyle w:val="23"/>
        <w:tabs>
          <w:tab w:val="left" w:pos="720"/>
          <w:tab w:val="left" w:pos="993"/>
        </w:tabs>
        <w:spacing w:line="226" w:lineRule="auto"/>
        <w:ind w:firstLine="709"/>
        <w:rPr>
          <w:sz w:val="28"/>
          <w:szCs w:val="28"/>
        </w:rPr>
      </w:pPr>
      <w:r w:rsidRPr="001B5DE3">
        <w:rPr>
          <w:sz w:val="28"/>
          <w:szCs w:val="28"/>
        </w:rPr>
        <w:t>Застосовано нові інструменти налагодження та розвитку взаємовідносин з країнами світу через застосування електронних сервісів (конференції, тренінги, консультації  тощо).</w:t>
      </w:r>
    </w:p>
    <w:p w:rsidR="00DC5D2D" w:rsidRPr="001B5DE3" w:rsidRDefault="00DC5D2D" w:rsidP="00BC3DCD">
      <w:pPr>
        <w:pStyle w:val="23"/>
        <w:tabs>
          <w:tab w:val="left" w:pos="720"/>
          <w:tab w:val="left" w:pos="993"/>
        </w:tabs>
        <w:spacing w:line="226" w:lineRule="auto"/>
        <w:rPr>
          <w:sz w:val="28"/>
          <w:szCs w:val="28"/>
        </w:rPr>
      </w:pPr>
    </w:p>
    <w:p w:rsidR="00CC3037" w:rsidRPr="001B5DE3" w:rsidRDefault="00CC3037" w:rsidP="00BC3DCD">
      <w:pPr>
        <w:spacing w:after="0" w:line="226"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Промисловий комплекс</w:t>
      </w:r>
    </w:p>
    <w:p w:rsidR="00CC3037" w:rsidRPr="001B5DE3" w:rsidRDefault="00CC3037" w:rsidP="00BC3DCD">
      <w:pPr>
        <w:spacing w:after="0" w:line="226" w:lineRule="auto"/>
        <w:rPr>
          <w:rFonts w:ascii="Times New Roman" w:hAnsi="Times New Roman" w:cs="Times New Roman"/>
          <w:sz w:val="28"/>
          <w:szCs w:val="28"/>
          <w:lang w:val="uk-UA"/>
        </w:rPr>
      </w:pPr>
    </w:p>
    <w:p w:rsidR="001A3519" w:rsidRPr="001B5DE3" w:rsidRDefault="002502FD" w:rsidP="00BC3DCD">
      <w:pPr>
        <w:spacing w:after="0" w:line="226" w:lineRule="auto"/>
        <w:ind w:firstLine="720"/>
        <w:jc w:val="both"/>
        <w:rPr>
          <w:rFonts w:ascii="Times New Roman" w:hAnsi="Times New Roman" w:cs="Times New Roman"/>
          <w:sz w:val="28"/>
          <w:szCs w:val="28"/>
          <w:lang w:val="uk-UA"/>
        </w:rPr>
      </w:pPr>
      <w:r>
        <w:rPr>
          <w:rFonts w:ascii="Times New Roman" w:hAnsi="Times New Roman" w:cs="Times New Roman"/>
          <w:noProof/>
          <w:sz w:val="28"/>
          <w:szCs w:val="28"/>
        </w:rPr>
        <w:pict>
          <v:shape id="Text Box 4" o:spid="_x0000_s1082" type="#_x0000_t202" style="position:absolute;left:0;text-align:left;margin-left:-156.65pt;margin-top:42.7pt;width:55.65pt;height:2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WChgIAABY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" stroked="f">
            <v:textbox style="mso-next-textbox:#Text Box 4">
              <w:txbxContent>
                <w:p w:rsidR="000710D4" w:rsidRPr="00B83541" w:rsidRDefault="000710D4" w:rsidP="001A3519">
                  <w:r w:rsidRPr="00B83541">
                    <w:t>+</w:t>
                  </w:r>
                  <w:r>
                    <w:t>2,3 в.п.</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 o:spid="_x0000_s1084" type="#_x0000_t32" style="position:absolute;left:0;text-align:left;margin-left:-111.6pt;margin-top:34.45pt;width:21pt;height:11.2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k7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">
            <v:stroke endarrow="block"/>
          </v:shape>
        </w:pict>
      </w:r>
      <w:r>
        <w:rPr>
          <w:rFonts w:ascii="Times New Roman" w:hAnsi="Times New Roman" w:cs="Times New Roman"/>
          <w:noProof/>
          <w:sz w:val="28"/>
          <w:szCs w:val="28"/>
        </w:rPr>
        <w:pict>
          <v:shape id="AutoShape 5" o:spid="_x0000_s1083" type="#_x0000_t32" style="position:absolute;left:0;text-align:left;margin-left:-156.65pt;margin-top:59.2pt;width:16.55pt;height:8.2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3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"/>
        </w:pict>
      </w:r>
      <w:r w:rsidR="001A3519" w:rsidRPr="001B5DE3">
        <w:rPr>
          <w:rFonts w:ascii="Times New Roman" w:hAnsi="Times New Roman" w:cs="Times New Roman"/>
          <w:bCs/>
          <w:sz w:val="28"/>
          <w:szCs w:val="28"/>
          <w:lang w:val="uk-UA"/>
        </w:rPr>
        <w:t xml:space="preserve">За підсумками І півріччя 2021 року індекс промислового виробництва області склав 109,2% до аналогічного періоду </w:t>
      </w:r>
      <w:r w:rsidR="001A3519" w:rsidRPr="001B5DE3">
        <w:rPr>
          <w:rFonts w:ascii="Times New Roman" w:hAnsi="Times New Roman" w:cs="Times New Roman"/>
          <w:sz w:val="28"/>
          <w:szCs w:val="28"/>
          <w:lang w:val="uk-UA"/>
        </w:rPr>
        <w:t>2020 року.</w:t>
      </w:r>
    </w:p>
    <w:p w:rsidR="001A3519" w:rsidRPr="001B5DE3" w:rsidRDefault="001A3519" w:rsidP="00BC3DCD">
      <w:pPr>
        <w:spacing w:after="0" w:line="226"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звітному періоді вдалося перевищити рівень промислового виробництва відповідного періоду минулого року</w:t>
      </w:r>
      <w:r w:rsidR="0069515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у всіх базових галузях промислової діяльності: переробній галузі, добувній промисловості і розробленні кар’єрів та сфері з постачання електроенергії, газу, пари та кондиційованого повітря. Збільшення обсягу випуску продукції відбулося у більшості галузей переробної промисловості: на 7% ‒ металургійному виробництві; на 7,3% ‒ виробництві коксу та продуктів нафтоперероблення; на 18,6% ‒ виробництві гумових і пластмасових виробів, іншої неметалевої мінеральної продукції; на 3,1% ‒ виготовленні виробів з деревини, виробництві паперу та поліграфічній діяльності; на 2,6% ‒ виробництві харчових продуктів, напоїв і тютюнових виробів; на 2,4% ‒ текстильному виробництві, одягу, шкіри, виробів зі шкіри та інших матеріалів. </w:t>
      </w:r>
    </w:p>
    <w:p w:rsidR="001A3519" w:rsidRPr="001B5DE3" w:rsidRDefault="001A3519" w:rsidP="008B190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 xml:space="preserve">Не вдалось досягти рівня минулого року у виробництві хімічних речовин і хімічної продукції (на 7,3%) та машинобудуванні (на 3,3%). </w:t>
      </w:r>
    </w:p>
    <w:p w:rsidR="001A3519" w:rsidRPr="001B5DE3" w:rsidRDefault="001A3519" w:rsidP="008B190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Негативно в</w:t>
      </w:r>
      <w:r w:rsidR="00437826" w:rsidRPr="001B5DE3">
        <w:rPr>
          <w:rFonts w:ascii="Times New Roman" w:hAnsi="Times New Roman" w:cs="Times New Roman"/>
          <w:sz w:val="28"/>
          <w:szCs w:val="28"/>
          <w:lang w:val="uk-UA"/>
        </w:rPr>
        <w:t>п</w:t>
      </w:r>
      <w:r w:rsidRPr="001B5DE3">
        <w:rPr>
          <w:rFonts w:ascii="Times New Roman" w:hAnsi="Times New Roman" w:cs="Times New Roman"/>
          <w:sz w:val="28"/>
          <w:szCs w:val="28"/>
          <w:lang w:val="uk-UA"/>
        </w:rPr>
        <w:t xml:space="preserve">ливають на розвиток усіх галузей промисловості високі тарифи на енергоресурси, залізничні перевезення, </w:t>
      </w:r>
      <w:r w:rsidRPr="001B5DE3">
        <w:rPr>
          <w:rStyle w:val="aff4"/>
          <w:rFonts w:ascii="Times New Roman" w:hAnsi="Times New Roman"/>
          <w:b w:val="0"/>
          <w:sz w:val="28"/>
          <w:szCs w:val="28"/>
          <w:lang w:val="uk-UA"/>
        </w:rPr>
        <w:t xml:space="preserve">проблемність отримання </w:t>
      </w:r>
      <w:r w:rsidRPr="001B5DE3">
        <w:rPr>
          <w:rFonts w:ascii="Times New Roman" w:hAnsi="Times New Roman" w:cs="Times New Roman"/>
          <w:sz w:val="28"/>
          <w:szCs w:val="28"/>
          <w:lang w:val="uk-UA"/>
        </w:rPr>
        <w:t>кредитних ресурсів для поповнення обігових коштів підприємств тощо.</w:t>
      </w:r>
    </w:p>
    <w:p w:rsidR="004E1F53" w:rsidRPr="001B5DE3" w:rsidRDefault="004E1F53" w:rsidP="008B1901">
      <w:pPr>
        <w:pStyle w:val="af3"/>
        <w:tabs>
          <w:tab w:val="left" w:pos="0"/>
          <w:tab w:val="num" w:pos="900"/>
        </w:tabs>
        <w:spacing w:before="0" w:beforeAutospacing="0" w:after="0" w:afterAutospacing="0"/>
        <w:ind w:firstLine="720"/>
        <w:jc w:val="both"/>
        <w:rPr>
          <w:color w:val="auto"/>
          <w:lang w:val="uk-UA"/>
        </w:rPr>
      </w:pPr>
    </w:p>
    <w:p w:rsidR="001A3519" w:rsidRPr="001B5DE3" w:rsidRDefault="001A3519" w:rsidP="008B1901">
      <w:pPr>
        <w:pStyle w:val="af3"/>
        <w:tabs>
          <w:tab w:val="left" w:pos="0"/>
          <w:tab w:val="num" w:pos="900"/>
        </w:tabs>
        <w:spacing w:before="0" w:beforeAutospacing="0" w:after="0" w:afterAutospacing="0"/>
        <w:ind w:firstLine="720"/>
        <w:jc w:val="both"/>
        <w:rPr>
          <w:color w:val="auto"/>
          <w:lang w:val="uk-UA"/>
        </w:rPr>
      </w:pPr>
      <w:r w:rsidRPr="001B5DE3">
        <w:rPr>
          <w:color w:val="auto"/>
          <w:lang w:val="uk-UA"/>
        </w:rPr>
        <w:t xml:space="preserve">Зросли обсяги виробництва </w:t>
      </w:r>
      <w:r w:rsidR="00FF1356" w:rsidRPr="001B5DE3">
        <w:rPr>
          <w:color w:val="auto"/>
          <w:lang w:val="uk-UA"/>
        </w:rPr>
        <w:t>таких</w:t>
      </w:r>
      <w:r w:rsidR="00695155" w:rsidRPr="001B5DE3">
        <w:rPr>
          <w:color w:val="auto"/>
          <w:lang w:val="uk-UA"/>
        </w:rPr>
        <w:t xml:space="preserve"> </w:t>
      </w:r>
      <w:r w:rsidRPr="001B5DE3">
        <w:rPr>
          <w:color w:val="auto"/>
          <w:lang w:val="uk-UA"/>
        </w:rPr>
        <w:t>видів промислової продукції</w:t>
      </w:r>
      <w:r w:rsidR="004E1F53" w:rsidRPr="001B5DE3">
        <w:rPr>
          <w:color w:val="auto"/>
          <w:lang w:val="uk-UA"/>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521"/>
        <w:gridCol w:w="1559"/>
        <w:gridCol w:w="1559"/>
      </w:tblGrid>
      <w:tr w:rsidR="001B5DE3" w:rsidRPr="001B5DE3" w:rsidTr="00E3396C">
        <w:trPr>
          <w:tblHeader/>
        </w:trPr>
        <w:tc>
          <w:tcPr>
            <w:tcW w:w="6521" w:type="dxa"/>
            <w:vAlign w:val="center"/>
          </w:tcPr>
          <w:p w:rsidR="001A3519" w:rsidRPr="001B5DE3" w:rsidRDefault="001A3519" w:rsidP="008B1901">
            <w:pPr>
              <w:widowControl w:val="0"/>
              <w:tabs>
                <w:tab w:val="left" w:pos="0"/>
                <w:tab w:val="left" w:pos="1400"/>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Найменування продукції</w:t>
            </w:r>
          </w:p>
          <w:p w:rsidR="001A3519" w:rsidRPr="001B5DE3" w:rsidRDefault="001A3519" w:rsidP="008B1901">
            <w:pPr>
              <w:widowControl w:val="0"/>
              <w:tabs>
                <w:tab w:val="left" w:pos="0"/>
                <w:tab w:val="left" w:pos="1400"/>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за номенклатурою продукції промисловості,</w:t>
            </w:r>
          </w:p>
          <w:p w:rsidR="001A3519" w:rsidRPr="001B5DE3" w:rsidRDefault="001A3519" w:rsidP="008B1901">
            <w:pPr>
              <w:widowControl w:val="0"/>
              <w:tabs>
                <w:tab w:val="left" w:pos="0"/>
                <w:tab w:val="left" w:pos="1400"/>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одиниця вимірювання</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0"/>
                <w:szCs w:val="20"/>
                <w:lang w:val="uk-UA"/>
              </w:rPr>
            </w:pPr>
            <w:r w:rsidRPr="001B5DE3">
              <w:rPr>
                <w:rFonts w:ascii="Times New Roman" w:hAnsi="Times New Roman" w:cs="Times New Roman"/>
                <w:sz w:val="20"/>
                <w:szCs w:val="20"/>
                <w:lang w:val="uk-UA"/>
              </w:rPr>
              <w:t>Кількість виробленої продукції</w:t>
            </w:r>
          </w:p>
          <w:p w:rsidR="001A3519" w:rsidRPr="001B5DE3" w:rsidRDefault="001A3519" w:rsidP="008B1901">
            <w:pPr>
              <w:spacing w:after="0" w:line="240" w:lineRule="auto"/>
              <w:jc w:val="center"/>
              <w:rPr>
                <w:rFonts w:ascii="Times New Roman" w:hAnsi="Times New Roman" w:cs="Times New Roman"/>
                <w:sz w:val="20"/>
                <w:szCs w:val="20"/>
                <w:lang w:val="uk-UA"/>
              </w:rPr>
            </w:pPr>
            <w:r w:rsidRPr="001B5DE3">
              <w:rPr>
                <w:rFonts w:ascii="Times New Roman" w:hAnsi="Times New Roman" w:cs="Times New Roman"/>
                <w:sz w:val="20"/>
                <w:szCs w:val="20"/>
                <w:lang w:val="uk-UA"/>
              </w:rPr>
              <w:t>у І півр. 2021 р.</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0"/>
                <w:szCs w:val="20"/>
                <w:lang w:val="uk-UA"/>
              </w:rPr>
            </w:pPr>
            <w:r w:rsidRPr="001B5DE3">
              <w:rPr>
                <w:rFonts w:ascii="Times New Roman" w:hAnsi="Times New Roman" w:cs="Times New Roman"/>
                <w:sz w:val="20"/>
                <w:szCs w:val="20"/>
                <w:lang w:val="uk-UA"/>
              </w:rPr>
              <w:t xml:space="preserve">І півр. 2021 року до </w:t>
            </w:r>
          </w:p>
          <w:p w:rsidR="001A3519" w:rsidRPr="001B5DE3" w:rsidRDefault="001A3519" w:rsidP="008B1901">
            <w:pPr>
              <w:spacing w:after="0" w:line="240" w:lineRule="auto"/>
              <w:jc w:val="center"/>
              <w:rPr>
                <w:rFonts w:ascii="Times New Roman" w:hAnsi="Times New Roman" w:cs="Times New Roman"/>
                <w:sz w:val="20"/>
                <w:szCs w:val="20"/>
                <w:lang w:val="uk-UA"/>
              </w:rPr>
            </w:pPr>
            <w:r w:rsidRPr="001B5DE3">
              <w:rPr>
                <w:rFonts w:ascii="Times New Roman" w:hAnsi="Times New Roman" w:cs="Times New Roman"/>
                <w:sz w:val="20"/>
                <w:szCs w:val="20"/>
                <w:lang w:val="uk-UA"/>
              </w:rPr>
              <w:t>І півр. 2020 р.,</w:t>
            </w:r>
          </w:p>
          <w:p w:rsidR="001A3519" w:rsidRPr="001B5DE3" w:rsidRDefault="001A3519" w:rsidP="008B1901">
            <w:pPr>
              <w:spacing w:after="0" w:line="240" w:lineRule="auto"/>
              <w:jc w:val="center"/>
              <w:rPr>
                <w:rFonts w:ascii="Times New Roman" w:hAnsi="Times New Roman" w:cs="Times New Roman"/>
                <w:sz w:val="20"/>
                <w:szCs w:val="20"/>
                <w:lang w:val="uk-UA"/>
              </w:rPr>
            </w:pPr>
            <w:r w:rsidRPr="001B5DE3">
              <w:rPr>
                <w:rFonts w:ascii="Times New Roman" w:hAnsi="Times New Roman" w:cs="Times New Roman"/>
                <w:sz w:val="20"/>
                <w:szCs w:val="20"/>
                <w:lang w:val="uk-UA"/>
              </w:rPr>
              <w:t>у %</w:t>
            </w:r>
          </w:p>
        </w:tc>
      </w:tr>
      <w:tr w:rsidR="001B5DE3" w:rsidRPr="001B5DE3" w:rsidTr="00E3396C">
        <w:tc>
          <w:tcPr>
            <w:tcW w:w="6521" w:type="dxa"/>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Руди та концентрати залізні неагломеровані, млн тонн</w:t>
            </w:r>
          </w:p>
        </w:tc>
        <w:tc>
          <w:tcPr>
            <w:tcW w:w="1559" w:type="dxa"/>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31,6</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104,6</w:t>
            </w:r>
          </w:p>
        </w:tc>
      </w:tr>
      <w:tr w:rsidR="001B5DE3" w:rsidRPr="001B5DE3" w:rsidTr="00E3396C">
        <w:tc>
          <w:tcPr>
            <w:tcW w:w="6521" w:type="dxa"/>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Руди та концентрати залізні агломеровані, млн тонн</w:t>
            </w:r>
          </w:p>
        </w:tc>
        <w:tc>
          <w:tcPr>
            <w:tcW w:w="1559" w:type="dxa"/>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110,8</w:t>
            </w:r>
          </w:p>
        </w:tc>
      </w:tr>
      <w:tr w:rsidR="001B5DE3" w:rsidRPr="001B5DE3" w:rsidTr="00E3396C">
        <w:trPr>
          <w:trHeight w:val="822"/>
        </w:trPr>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Свинина свіжа чи охолоджена – туші, напівтуші (враховуючи оброблені сіллючи консервантами для тимчасового зберігання),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8,7</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109,0</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М’ясо курей, курчат, свіже чи охолоджене – частини тушок,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40,8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114,0</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32,3</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103,9</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Вироби макаронні неварені (крім виробів </w:t>
            </w:r>
            <w:r w:rsidR="00FF1356" w:rsidRPr="001B5DE3">
              <w:rPr>
                <w:rFonts w:ascii="Times New Roman" w:hAnsi="Times New Roman" w:cs="Times New Roman"/>
                <w:sz w:val="24"/>
                <w:szCs w:val="24"/>
                <w:lang w:val="uk-UA"/>
              </w:rPr>
              <w:t>і</w:t>
            </w:r>
            <w:r w:rsidRPr="001B5DE3">
              <w:rPr>
                <w:rFonts w:ascii="Times New Roman" w:hAnsi="Times New Roman" w:cs="Times New Roman"/>
                <w:sz w:val="24"/>
                <w:szCs w:val="24"/>
                <w:lang w:val="uk-UA"/>
              </w:rPr>
              <w:t>з вмістом яєць, з начинкою або приготовлених іншим способом),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10,1</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103,9</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Комплекти і костюми чоловічі та хлопчачі з тканини бавовняної або з волокон синтетичних або штучних, виробничі та професійні, тис. шт.</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35,8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135,1</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Білизна постільна бавовняна (крім трикотажної машинного чи ручного в’язання), т</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237,8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106,1</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Кокс і напівкокс з вугілля кам’яного; кокс газовий, млн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2,3</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106,7</w:t>
            </w:r>
          </w:p>
        </w:tc>
      </w:tr>
      <w:tr w:rsidR="001B5DE3" w:rsidRPr="001B5DE3" w:rsidTr="00E3396C">
        <w:tc>
          <w:tcPr>
            <w:tcW w:w="6521" w:type="dxa"/>
            <w:vAlign w:val="center"/>
          </w:tcPr>
          <w:p w:rsidR="001A3519" w:rsidRPr="001B5DE3" w:rsidRDefault="001A3519" w:rsidP="00333F82">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Смоли кам’яновугільні, буровугільні або торф’яні; смоли </w:t>
            </w:r>
            <w:r w:rsidR="00333F82" w:rsidRPr="001B5DE3">
              <w:rPr>
                <w:rFonts w:ascii="Times New Roman" w:hAnsi="Times New Roman" w:cs="Times New Roman"/>
                <w:sz w:val="24"/>
                <w:szCs w:val="24"/>
                <w:lang w:val="uk-UA"/>
              </w:rPr>
              <w:t>м</w:t>
            </w:r>
            <w:r w:rsidRPr="001B5DE3">
              <w:rPr>
                <w:rFonts w:ascii="Times New Roman" w:hAnsi="Times New Roman" w:cs="Times New Roman"/>
                <w:sz w:val="24"/>
                <w:szCs w:val="24"/>
                <w:lang w:val="uk-UA"/>
              </w:rPr>
              <w:t>інеральні інші, тис. т</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101,2</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108,9</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Азот, млн куб</w:t>
            </w:r>
            <w:r w:rsidR="00333F82" w:rsidRPr="001B5DE3">
              <w:rPr>
                <w:rFonts w:ascii="Times New Roman" w:hAnsi="Times New Roman" w:cs="Times New Roman"/>
                <w:sz w:val="24"/>
                <w:szCs w:val="24"/>
                <w:lang w:val="uk-UA"/>
              </w:rPr>
              <w:t>.</w:t>
            </w:r>
            <w:r w:rsidRPr="001B5DE3">
              <w:rPr>
                <w:rFonts w:ascii="Times New Roman" w:hAnsi="Times New Roman" w:cs="Times New Roman"/>
                <w:sz w:val="24"/>
                <w:szCs w:val="24"/>
                <w:lang w:val="uk-UA"/>
              </w:rPr>
              <w:t xml:space="preserve"> м</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408,4</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100,6</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Кисень, млн куб</w:t>
            </w:r>
            <w:r w:rsidR="00333F82" w:rsidRPr="001B5DE3">
              <w:rPr>
                <w:rFonts w:ascii="Times New Roman" w:hAnsi="Times New Roman" w:cs="Times New Roman"/>
                <w:sz w:val="24"/>
                <w:szCs w:val="24"/>
                <w:lang w:val="uk-UA"/>
              </w:rPr>
              <w:t>.</w:t>
            </w:r>
            <w:r w:rsidRPr="001B5DE3">
              <w:rPr>
                <w:rFonts w:ascii="Times New Roman" w:hAnsi="Times New Roman" w:cs="Times New Roman"/>
                <w:sz w:val="24"/>
                <w:szCs w:val="24"/>
                <w:lang w:val="uk-UA"/>
              </w:rPr>
              <w:t xml:space="preserve"> м</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735,8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122,8</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Вироби з гуми вулканізованої, крім для тракторів та моторних транспортних засобів,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2,5</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131,0</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Блоки та цегла з цементу, бетону або каменю штучного для будівництва,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111,0</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164,4</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Зливки, форми первинні та напівфабрикати, інші, зі сталі легованої (крім неіржавної), млн т</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202,3</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jc w:val="both"/>
              <w:rPr>
                <w:rFonts w:ascii="Times New Roman" w:hAnsi="Times New Roman" w:cs="Times New Roman"/>
                <w:sz w:val="24"/>
                <w:szCs w:val="24"/>
                <w:lang w:val="uk-UA"/>
              </w:rPr>
            </w:pPr>
            <w:r w:rsidRPr="001B5DE3">
              <w:rPr>
                <w:rFonts w:ascii="Times New Roman" w:hAnsi="Times New Roman" w:cs="Times New Roman"/>
                <w:sz w:val="24"/>
                <w:szCs w:val="24"/>
              </w:rPr>
              <w:t>Труби і трубки, зварні, круглого поперечного</w:t>
            </w:r>
            <w:r w:rsidR="00333F82"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перерізу, гарячого</w:t>
            </w:r>
            <w:r w:rsidR="00333F82"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або холодного формування, із</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зовнішнім</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діаметром не</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більше 406,4 мм, зі</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сталі</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 xml:space="preserve">іншої, </w:t>
            </w:r>
            <w:proofErr w:type="gramStart"/>
            <w:r w:rsidRPr="001B5DE3">
              <w:rPr>
                <w:rFonts w:ascii="Times New Roman" w:hAnsi="Times New Roman" w:cs="Times New Roman"/>
                <w:sz w:val="24"/>
                <w:szCs w:val="24"/>
              </w:rPr>
              <w:t>кр</w:t>
            </w:r>
            <w:proofErr w:type="gramEnd"/>
            <w:r w:rsidRPr="001B5DE3">
              <w:rPr>
                <w:rFonts w:ascii="Times New Roman" w:hAnsi="Times New Roman" w:cs="Times New Roman"/>
                <w:sz w:val="24"/>
                <w:szCs w:val="24"/>
              </w:rPr>
              <w:t>ім</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неіржавної, тис.</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rPr>
              <w:t>т</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60,1</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101,6</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Дріт із заліза або сталі нелегованої з вмістом вуглецю менше 0,25 мас.%, враховуючи дріт гофрований (крім дроту скрученого, колючого (для загорожі), подвійного, пилкоподібного, електричного ізольованого), тис.тонн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95,7</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122,9</w:t>
            </w:r>
          </w:p>
        </w:tc>
      </w:tr>
      <w:tr w:rsidR="001B5DE3"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Конструкції, виготовлені виключно або переважно з листового матеріалу, з металів чорних, інші, тис. тонн</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16,1</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106,4</w:t>
            </w:r>
          </w:p>
        </w:tc>
      </w:tr>
      <w:tr w:rsidR="001B5DE3" w:rsidRPr="001B5DE3" w:rsidTr="00E3396C">
        <w:tc>
          <w:tcPr>
            <w:tcW w:w="6521" w:type="dxa"/>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Судна прогулянкові та спортивні, надувні, тис. шт.</w:t>
            </w:r>
          </w:p>
        </w:tc>
        <w:tc>
          <w:tcPr>
            <w:tcW w:w="1559" w:type="dxa"/>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14,8</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16"/>
                <w:szCs w:val="16"/>
                <w:lang w:val="uk-UA"/>
              </w:rPr>
            </w:pPr>
            <w:r w:rsidRPr="001B5DE3">
              <w:rPr>
                <w:rFonts w:ascii="Times New Roman" w:hAnsi="Times New Roman" w:cs="Times New Roman"/>
                <w:sz w:val="24"/>
                <w:szCs w:val="24"/>
                <w:lang w:val="uk-UA"/>
              </w:rPr>
              <w:t>125,9</w:t>
            </w:r>
          </w:p>
        </w:tc>
      </w:tr>
      <w:tr w:rsidR="001A3519" w:rsidRPr="001B5DE3" w:rsidTr="00E3396C">
        <w:tc>
          <w:tcPr>
            <w:tcW w:w="6521" w:type="dxa"/>
            <w:vAlign w:val="center"/>
          </w:tcPr>
          <w:p w:rsidR="001A3519" w:rsidRPr="001B5DE3" w:rsidRDefault="001A3519" w:rsidP="008B1901">
            <w:pPr>
              <w:widowControl w:val="0"/>
              <w:tabs>
                <w:tab w:val="left" w:pos="0"/>
                <w:tab w:val="left" w:pos="1400"/>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Електроенергія, </w:t>
            </w:r>
            <w:r w:rsidR="0002625F" w:rsidRPr="001B5DE3">
              <w:rPr>
                <w:rFonts w:ascii="Times New Roman" w:hAnsi="Times New Roman" w:cs="Times New Roman"/>
                <w:sz w:val="24"/>
                <w:szCs w:val="24"/>
                <w:lang w:val="uk-UA"/>
              </w:rPr>
              <w:t>млрд</w:t>
            </w:r>
            <w:r w:rsidR="00001C6B"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lang w:val="uk-UA"/>
              </w:rPr>
              <w:t>кВт∙год.</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2,6</w:t>
            </w:r>
          </w:p>
        </w:tc>
        <w:tc>
          <w:tcPr>
            <w:tcW w:w="1559" w:type="dxa"/>
            <w:vAlign w:val="center"/>
          </w:tcPr>
          <w:p w:rsidR="001A3519" w:rsidRPr="001B5DE3" w:rsidRDefault="001A3519"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107,7</w:t>
            </w:r>
          </w:p>
        </w:tc>
      </w:tr>
    </w:tbl>
    <w:p w:rsidR="001A3519" w:rsidRPr="001B5DE3" w:rsidRDefault="001A3519" w:rsidP="001571B6">
      <w:pPr>
        <w:widowControl w:val="0"/>
        <w:tabs>
          <w:tab w:val="left" w:pos="0"/>
          <w:tab w:val="left" w:pos="709"/>
        </w:tabs>
        <w:spacing w:after="0" w:line="240" w:lineRule="auto"/>
        <w:ind w:firstLine="709"/>
        <w:jc w:val="both"/>
        <w:rPr>
          <w:rFonts w:ascii="Times New Roman" w:hAnsi="Times New Roman" w:cs="Times New Roman"/>
          <w:noProof/>
          <w:sz w:val="28"/>
          <w:szCs w:val="28"/>
          <w:lang w:val="uk-UA"/>
        </w:rPr>
      </w:pPr>
      <w:r w:rsidRPr="001B5DE3">
        <w:rPr>
          <w:rFonts w:ascii="Times New Roman" w:hAnsi="Times New Roman" w:cs="Times New Roman"/>
          <w:sz w:val="28"/>
          <w:szCs w:val="28"/>
          <w:lang w:val="uk-UA"/>
        </w:rPr>
        <w:lastRenderedPageBreak/>
        <w:t>З</w:t>
      </w:r>
      <w:r w:rsidR="0069515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початку поточного року підприємствами промислового комплексу області реалізовано промислової продукції на 331,5 млрд грн, що більше ніж за відповідний період минулого року на 134,3 млрд грн та</w:t>
      </w:r>
      <w:r w:rsidRPr="001B5DE3">
        <w:rPr>
          <w:rFonts w:ascii="Times New Roman" w:hAnsi="Times New Roman" w:cs="Times New Roman"/>
          <w:noProof/>
          <w:sz w:val="28"/>
          <w:szCs w:val="28"/>
          <w:lang w:val="uk-UA"/>
        </w:rPr>
        <w:t xml:space="preserve"> складає 20,3% від загальноукраїнського обсягу реалізованої промислової продукції і найбільше серед областей України.</w:t>
      </w:r>
      <w:r w:rsidR="00C83A86" w:rsidRPr="001B5DE3">
        <w:rPr>
          <w:rFonts w:ascii="Times New Roman" w:hAnsi="Times New Roman" w:cs="Times New Roman"/>
          <w:noProof/>
          <w:sz w:val="28"/>
          <w:szCs w:val="28"/>
          <w:lang w:val="uk-UA"/>
        </w:rPr>
        <w:t xml:space="preserve"> У структурі обороту від промислової діяльності </w:t>
      </w:r>
      <w:r w:rsidR="004E1F53" w:rsidRPr="001B5DE3">
        <w:rPr>
          <w:rFonts w:ascii="Times New Roman" w:hAnsi="Times New Roman" w:cs="Times New Roman"/>
          <w:noProof/>
          <w:sz w:val="28"/>
          <w:szCs w:val="28"/>
          <w:lang w:val="uk-UA"/>
        </w:rPr>
        <w:br/>
      </w:r>
      <w:r w:rsidR="00C83A86" w:rsidRPr="001B5DE3">
        <w:rPr>
          <w:rFonts w:ascii="Times New Roman" w:hAnsi="Times New Roman" w:cs="Times New Roman"/>
          <w:noProof/>
          <w:sz w:val="28"/>
          <w:szCs w:val="28"/>
          <w:lang w:val="uk-UA"/>
        </w:rPr>
        <w:t>52,6% припадало на продукцію товаровиробників-переробників, 39,7 – добувно</w:t>
      </w:r>
      <w:r w:rsidR="00364D7B" w:rsidRPr="001B5DE3">
        <w:rPr>
          <w:rFonts w:ascii="Times New Roman" w:hAnsi="Times New Roman" w:cs="Times New Roman"/>
          <w:noProof/>
          <w:sz w:val="28"/>
          <w:szCs w:val="28"/>
          <w:lang w:val="uk-UA"/>
        </w:rPr>
        <w:t>ї галузі і розроблення кар’єрів</w:t>
      </w:r>
      <w:r w:rsidR="00C83A86" w:rsidRPr="001B5DE3">
        <w:rPr>
          <w:rFonts w:ascii="Times New Roman" w:hAnsi="Times New Roman" w:cs="Times New Roman"/>
          <w:noProof/>
          <w:sz w:val="28"/>
          <w:szCs w:val="28"/>
          <w:lang w:val="uk-UA"/>
        </w:rPr>
        <w:t>, 6,6% – постачання електроенергії, газу, пари та кондиційованого повітря, 1,1% – водопостачання</w:t>
      </w:r>
      <w:r w:rsidR="00B61462" w:rsidRPr="001B5DE3">
        <w:rPr>
          <w:rFonts w:ascii="Times New Roman" w:hAnsi="Times New Roman" w:cs="Times New Roman"/>
          <w:noProof/>
          <w:sz w:val="28"/>
          <w:szCs w:val="28"/>
          <w:lang w:val="uk-UA"/>
        </w:rPr>
        <w:t>, каналізації, поводження з відходами.</w:t>
      </w:r>
    </w:p>
    <w:p w:rsidR="00554476" w:rsidRPr="001B5DE3" w:rsidRDefault="00554476" w:rsidP="001571B6">
      <w:pPr>
        <w:widowControl w:val="0"/>
        <w:spacing w:after="0" w:line="240" w:lineRule="auto"/>
        <w:ind w:firstLine="709"/>
        <w:jc w:val="both"/>
        <w:rPr>
          <w:rFonts w:ascii="Times New Roman" w:hAnsi="Times New Roman" w:cs="Times New Roman"/>
          <w:noProof/>
          <w:sz w:val="28"/>
          <w:szCs w:val="28"/>
          <w:lang w:val="uk-UA"/>
        </w:rPr>
      </w:pPr>
      <w:r w:rsidRPr="001B5DE3">
        <w:rPr>
          <w:rFonts w:ascii="Times New Roman" w:hAnsi="Times New Roman" w:cs="Times New Roman"/>
          <w:noProof/>
          <w:sz w:val="28"/>
          <w:szCs w:val="28"/>
          <w:lang w:val="uk-UA"/>
        </w:rPr>
        <w:t>Найбільш вагомими серед підприємств переробної промисловості у загальному обсязі реалізованої промислової продукції є частки: 32,8% – металургійного виробництва та металообробки; 6,3% – харчової промисловості.</w:t>
      </w:r>
    </w:p>
    <w:p w:rsidR="001A3519" w:rsidRPr="001B5DE3" w:rsidRDefault="001A3519" w:rsidP="001571B6">
      <w:pPr>
        <w:pStyle w:val="af3"/>
        <w:spacing w:before="0" w:beforeAutospacing="0" w:after="0" w:afterAutospacing="0"/>
        <w:ind w:firstLine="709"/>
        <w:jc w:val="both"/>
        <w:rPr>
          <w:color w:val="auto"/>
          <w:lang w:val="uk-UA"/>
        </w:rPr>
      </w:pPr>
      <w:r w:rsidRPr="001B5DE3">
        <w:rPr>
          <w:color w:val="auto"/>
          <w:lang w:val="uk-UA"/>
        </w:rPr>
        <w:t xml:space="preserve">У звітному періоді за участю підприємств ракетно-космічної галузі області, ДП “Конструкторське бюро “Південне” ім. М.К.Янгеля” і </w:t>
      </w:r>
      <w:r w:rsidRPr="001B5DE3">
        <w:rPr>
          <w:color w:val="auto"/>
          <w:lang w:val="uk-UA"/>
        </w:rPr>
        <w:br/>
        <w:t>ДП “ВО Південний машинобудівний завод імені</w:t>
      </w:r>
      <w:r w:rsidR="00547DAB" w:rsidRPr="001B5DE3">
        <w:rPr>
          <w:color w:val="auto"/>
          <w:lang w:val="uk-UA"/>
        </w:rPr>
        <w:t xml:space="preserve"> О.М.Макарова” здійснено успішний</w:t>
      </w:r>
      <w:r w:rsidRPr="001B5DE3">
        <w:rPr>
          <w:color w:val="auto"/>
          <w:lang w:val="uk-UA"/>
        </w:rPr>
        <w:t xml:space="preserve"> запуск:</w:t>
      </w:r>
    </w:p>
    <w:p w:rsidR="001A3519" w:rsidRPr="001B5DE3" w:rsidRDefault="001A3519" w:rsidP="001571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ракети-носія середнього класу “Антарес”. У рамках програми “Антарес” українська сторона виконала весь комплекс робіт з проєктування, відпрацювання та виготовлення матеріальної частини основної конструкції першого ступеня для ракети-носія на замовлення корпорації </w:t>
      </w:r>
      <w:r w:rsidR="00547DAB"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NorthropGrumman</w:t>
      </w:r>
      <w:r w:rsidR="00547DAB"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(США);</w:t>
      </w:r>
    </w:p>
    <w:p w:rsidR="001A3519" w:rsidRPr="001B5DE3" w:rsidRDefault="001A3519" w:rsidP="001571B6">
      <w:pPr>
        <w:pStyle w:val="af3"/>
        <w:spacing w:before="0" w:beforeAutospacing="0" w:after="0" w:afterAutospacing="0"/>
        <w:ind w:firstLine="709"/>
        <w:jc w:val="both"/>
        <w:rPr>
          <w:color w:val="auto"/>
          <w:lang w:val="uk-UA"/>
        </w:rPr>
      </w:pPr>
      <w:r w:rsidRPr="001B5DE3">
        <w:rPr>
          <w:color w:val="auto"/>
          <w:lang w:val="uk-UA"/>
        </w:rPr>
        <w:t xml:space="preserve">європейської ракети-носія (РН) легкого класу “Вега”. Ракета-носій легкого класу “Вега” вивела на орбіту космічний апарат PléiadesNeo 3 масою </w:t>
      </w:r>
      <w:r w:rsidR="00547DAB" w:rsidRPr="001B5DE3">
        <w:rPr>
          <w:color w:val="auto"/>
          <w:lang w:val="uk-UA"/>
        </w:rPr>
        <w:t>майже</w:t>
      </w:r>
      <w:r w:rsidRPr="001B5DE3">
        <w:rPr>
          <w:color w:val="auto"/>
          <w:lang w:val="uk-UA"/>
        </w:rPr>
        <w:t xml:space="preserve"> 750 кг. Це перший з чотирьох супутників, які після повного розгортання сузір’я (PléiadesNeo 3, 4, 5, 6) зможуть відвідувати будь-яку точку земної кулі принаймні двічі на день та забезпечать комерційних та інституційних споживачів зображеннями з високим розділенням. Також у рамках програми Європейського космічного агентства</w:t>
      </w:r>
      <w:r w:rsidR="008D2518" w:rsidRPr="001B5DE3">
        <w:rPr>
          <w:color w:val="auto"/>
          <w:lang w:val="uk-UA"/>
        </w:rPr>
        <w:t xml:space="preserve"> </w:t>
      </w:r>
      <w:r w:rsidRPr="001B5DE3">
        <w:rPr>
          <w:color w:val="auto"/>
          <w:lang w:val="uk-UA"/>
        </w:rPr>
        <w:t>SmallSpacecraft</w:t>
      </w:r>
      <w:r w:rsidR="008D2518" w:rsidRPr="001B5DE3">
        <w:rPr>
          <w:color w:val="auto"/>
          <w:lang w:val="uk-UA"/>
        </w:rPr>
        <w:t>-</w:t>
      </w:r>
      <w:r w:rsidRPr="001B5DE3">
        <w:rPr>
          <w:color w:val="auto"/>
          <w:lang w:val="uk-UA"/>
        </w:rPr>
        <w:t>MissionService (SSMS) на орбіту було виведено ще п’ять допоміжних корисних навантажень: мікросупутник спостереження Norsat-3 для Норвезького космічного агентства та чотири кубсати для операторів Eutelsat, NanoAvionics / AuroraInsight і Spire.</w:t>
      </w:r>
    </w:p>
    <w:p w:rsidR="001A3519" w:rsidRPr="001B5DE3" w:rsidRDefault="001A3519" w:rsidP="001571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Наразі серед найактуальніших задач, які вирішують підприємства ракето-космічної галузі</w:t>
      </w:r>
      <w:r w:rsidR="008D2518"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є питання виконання </w:t>
      </w:r>
      <w:r w:rsidR="008D2518" w:rsidRPr="001B5DE3">
        <w:rPr>
          <w:rFonts w:ascii="Times New Roman" w:hAnsi="Times New Roman" w:cs="Times New Roman"/>
          <w:sz w:val="28"/>
          <w:szCs w:val="28"/>
          <w:lang w:val="uk-UA"/>
        </w:rPr>
        <w:t>д</w:t>
      </w:r>
      <w:r w:rsidRPr="001B5DE3">
        <w:rPr>
          <w:rFonts w:ascii="Times New Roman" w:hAnsi="Times New Roman" w:cs="Times New Roman"/>
          <w:sz w:val="28"/>
          <w:szCs w:val="28"/>
          <w:lang w:val="uk-UA"/>
        </w:rPr>
        <w:t xml:space="preserve">ержавного оборонного замовлення на поточний рік та підготовка космічного </w:t>
      </w:r>
      <w:r w:rsidR="008750CE" w:rsidRPr="001B5DE3">
        <w:rPr>
          <w:rFonts w:ascii="Times New Roman" w:hAnsi="Times New Roman" w:cs="Times New Roman"/>
          <w:sz w:val="28"/>
          <w:szCs w:val="28"/>
          <w:lang w:val="uk-UA"/>
        </w:rPr>
        <w:t xml:space="preserve">апарата “Січ-2-1” до запуску </w:t>
      </w:r>
      <w:r w:rsidRPr="001B5DE3">
        <w:rPr>
          <w:rFonts w:ascii="Times New Roman" w:hAnsi="Times New Roman" w:cs="Times New Roman"/>
          <w:sz w:val="28"/>
          <w:szCs w:val="28"/>
          <w:lang w:val="uk-UA"/>
        </w:rPr>
        <w:t xml:space="preserve">у </w:t>
      </w:r>
      <w:r w:rsidR="004E1F53"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xml:space="preserve">2021 році. На початку року ДП “Конструкторське бюро “Південне”  </w:t>
      </w:r>
      <w:r w:rsidRPr="001B5DE3">
        <w:rPr>
          <w:rFonts w:ascii="Times New Roman" w:hAnsi="Times New Roman" w:cs="Times New Roman"/>
          <w:sz w:val="28"/>
          <w:szCs w:val="28"/>
          <w:lang w:val="uk-UA"/>
        </w:rPr>
        <w:br/>
        <w:t>ім. М.К.Янгеля” у деталях презентувало ракету “Блискавка”, аванпроєкт якої був захищений у жовтні 2020 року. Ракета має дальність польоту у 110 км та призначена для знищення наземних або надводних цілей.</w:t>
      </w:r>
    </w:p>
    <w:p w:rsidR="001A3519" w:rsidRPr="001B5DE3" w:rsidRDefault="001A3519" w:rsidP="001571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iCs/>
          <w:sz w:val="28"/>
          <w:szCs w:val="28"/>
          <w:lang w:val="uk-UA"/>
        </w:rPr>
        <w:t>Крім цього, на підприємствах базових галузей промисловості реалізуються проєкти, спрямовані на підвищення ефективності промислової діяльності</w:t>
      </w:r>
      <w:r w:rsidRPr="001B5DE3">
        <w:rPr>
          <w:rFonts w:ascii="Times New Roman" w:hAnsi="Times New Roman" w:cs="Times New Roman"/>
          <w:sz w:val="28"/>
          <w:szCs w:val="28"/>
          <w:lang w:val="uk-UA"/>
        </w:rPr>
        <w:t>, збільшення обсягів виробництва, розширення асортименту та підвищення якості продукції. Реалізуються ці проєкти за рахунок власних коштів підприємств. Серед найбільших інвесторів – підприємства гірничо-металургійного комплексу області, а саме:</w:t>
      </w:r>
    </w:p>
    <w:p w:rsidR="001A3519" w:rsidRPr="001B5DE3" w:rsidRDefault="001A3519" w:rsidP="00A962CC">
      <w:pPr>
        <w:spacing w:after="0" w:line="226" w:lineRule="auto"/>
        <w:ind w:firstLine="709"/>
        <w:jc w:val="both"/>
        <w:rPr>
          <w:rFonts w:ascii="Times New Roman" w:hAnsi="Times New Roman" w:cs="Times New Roman"/>
          <w:bCs/>
          <w:sz w:val="28"/>
          <w:szCs w:val="28"/>
          <w:lang w:val="uk-UA"/>
        </w:rPr>
      </w:pPr>
      <w:r w:rsidRPr="001B5DE3">
        <w:rPr>
          <w:rFonts w:ascii="Times New Roman" w:hAnsi="Times New Roman" w:cs="Times New Roman"/>
          <w:sz w:val="28"/>
          <w:szCs w:val="28"/>
          <w:lang w:val="uk-UA"/>
        </w:rPr>
        <w:lastRenderedPageBreak/>
        <w:t>ПАТ “АрселорМіттіал Кривий Ріг”</w:t>
      </w:r>
      <w:r w:rsidRPr="001B5DE3">
        <w:rPr>
          <w:rFonts w:ascii="Times New Roman" w:hAnsi="Times New Roman" w:cs="Times New Roman"/>
          <w:bCs/>
          <w:sz w:val="28"/>
          <w:szCs w:val="28"/>
          <w:lang w:val="uk-UA"/>
        </w:rPr>
        <w:t xml:space="preserve"> проводить гарячі випробування агломашини №</w:t>
      </w:r>
      <w:r w:rsidRPr="001B5DE3">
        <w:rPr>
          <w:rFonts w:ascii="Times New Roman" w:hAnsi="Times New Roman" w:cs="Times New Roman"/>
          <w:bCs/>
          <w:sz w:val="28"/>
          <w:szCs w:val="28"/>
        </w:rPr>
        <w:t> </w:t>
      </w:r>
      <w:r w:rsidRPr="001B5DE3">
        <w:rPr>
          <w:rFonts w:ascii="Times New Roman" w:hAnsi="Times New Roman" w:cs="Times New Roman"/>
          <w:bCs/>
          <w:sz w:val="28"/>
          <w:szCs w:val="28"/>
          <w:lang w:val="uk-UA"/>
        </w:rPr>
        <w:t xml:space="preserve">2 після реконструкції. </w:t>
      </w:r>
      <w:r w:rsidRPr="001B5DE3">
        <w:rPr>
          <w:rFonts w:ascii="Times New Roman" w:hAnsi="Times New Roman" w:cs="Times New Roman"/>
          <w:sz w:val="28"/>
          <w:szCs w:val="28"/>
          <w:lang w:val="uk-UA"/>
        </w:rPr>
        <w:t>Під час модернізації агломашини замінили газоочистку, запальний горн на більш сучасний та енергоефективний, спекательні візки із збільшенням шару спікання до 450 мм. Також збудований новий електрофільтр і здійснена повна заміна газової системи агломашини, лінійного охолоджувача та його дуттєвих вентиляторів. На газовому колекторі</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встановлені</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нові</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двоконусні затвори та пиловий</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конвеєр</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закритого типу, що</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запобігатиме</w:t>
      </w:r>
      <w:r w:rsidR="008750C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запиленості. Крім того, відремонтовано</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будівлі та споруди, які</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входять до комплексу агломашини №</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2 (загальна</w:t>
      </w:r>
      <w:r w:rsidR="0027765B" w:rsidRPr="001B5DE3">
        <w:rPr>
          <w:rFonts w:ascii="Times New Roman" w:hAnsi="Times New Roman" w:cs="Times New Roman"/>
          <w:sz w:val="28"/>
          <w:szCs w:val="28"/>
          <w:lang w:val="uk-UA"/>
        </w:rPr>
        <w:t xml:space="preserve"> вартість проє</w:t>
      </w:r>
      <w:r w:rsidRPr="001B5DE3">
        <w:rPr>
          <w:rFonts w:ascii="Times New Roman" w:hAnsi="Times New Roman" w:cs="Times New Roman"/>
          <w:sz w:val="28"/>
          <w:szCs w:val="28"/>
          <w:lang w:val="uk-UA"/>
        </w:rPr>
        <w:t>кту реконструкції</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аглоцеха №</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2 становить понад 180 млн доларів).</w:t>
      </w:r>
    </w:p>
    <w:p w:rsidR="001A3519" w:rsidRPr="001B5DE3" w:rsidRDefault="001A3519" w:rsidP="00A962CC">
      <w:pPr>
        <w:spacing w:after="0" w:line="226" w:lineRule="auto"/>
        <w:ind w:firstLine="709"/>
        <w:jc w:val="both"/>
        <w:rPr>
          <w:rFonts w:ascii="Times New Roman" w:hAnsi="Times New Roman" w:cs="Times New Roman"/>
          <w:sz w:val="28"/>
          <w:szCs w:val="28"/>
        </w:rPr>
      </w:pPr>
      <w:r w:rsidRPr="001B5DE3">
        <w:rPr>
          <w:rFonts w:ascii="Times New Roman" w:hAnsi="Times New Roman" w:cs="Times New Roman"/>
          <w:bCs/>
          <w:sz w:val="28"/>
          <w:szCs w:val="28"/>
          <w:lang w:val="uk-UA"/>
        </w:rPr>
        <w:t>Поповнено парк спецтехніки</w:t>
      </w:r>
      <w:r w:rsidR="00FD4C13" w:rsidRPr="001B5DE3">
        <w:rPr>
          <w:rFonts w:ascii="Times New Roman" w:hAnsi="Times New Roman" w:cs="Times New Roman"/>
          <w:bCs/>
          <w:sz w:val="28"/>
          <w:szCs w:val="28"/>
          <w:lang w:val="uk-UA"/>
        </w:rPr>
        <w:t xml:space="preserve"> </w:t>
      </w:r>
      <w:r w:rsidR="00B86BFC" w:rsidRPr="001B5DE3">
        <w:rPr>
          <w:rFonts w:ascii="Times New Roman" w:hAnsi="Times New Roman" w:cs="Times New Roman"/>
          <w:bCs/>
          <w:sz w:val="28"/>
          <w:szCs w:val="28"/>
          <w:lang w:val="uk-UA"/>
        </w:rPr>
        <w:t>підприємства: два вантажних</w:t>
      </w:r>
      <w:r w:rsidR="00FD4C13" w:rsidRPr="001B5DE3">
        <w:rPr>
          <w:rFonts w:ascii="Times New Roman" w:hAnsi="Times New Roman" w:cs="Times New Roman"/>
          <w:bCs/>
          <w:sz w:val="28"/>
          <w:szCs w:val="28"/>
          <w:lang w:val="uk-UA"/>
        </w:rPr>
        <w:t xml:space="preserve"> </w:t>
      </w:r>
      <w:r w:rsidRPr="001B5DE3">
        <w:rPr>
          <w:rFonts w:ascii="Times New Roman" w:hAnsi="Times New Roman" w:cs="Times New Roman"/>
          <w:bCs/>
          <w:sz w:val="28"/>
          <w:szCs w:val="28"/>
          <w:lang w:val="uk-UA"/>
        </w:rPr>
        <w:t>автомобілі</w:t>
      </w:r>
      <w:r w:rsidRPr="001B5DE3">
        <w:rPr>
          <w:rFonts w:ascii="Times New Roman" w:hAnsi="Times New Roman" w:cs="Times New Roman"/>
          <w:b/>
          <w:bCs/>
          <w:sz w:val="28"/>
          <w:szCs w:val="28"/>
          <w:lang w:val="uk-UA"/>
        </w:rPr>
        <w:t xml:space="preserve"> ‒ </w:t>
      </w:r>
      <w:r w:rsidRPr="001B5DE3">
        <w:rPr>
          <w:rFonts w:ascii="Times New Roman" w:hAnsi="Times New Roman" w:cs="Times New Roman"/>
          <w:sz w:val="28"/>
          <w:szCs w:val="28"/>
          <w:lang w:val="uk-UA"/>
        </w:rPr>
        <w:t>самоскиди МАЗ-6501С5 (на придбання</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витрачено 3,5 млн грн) та новий</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ваговоз на базі</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Mercedes</w:t>
      </w:r>
      <w:r w:rsidRPr="001B5DE3">
        <w:rPr>
          <w:rFonts w:ascii="Times New Roman" w:hAnsi="Times New Roman" w:cs="Times New Roman"/>
          <w:sz w:val="28"/>
          <w:szCs w:val="28"/>
          <w:lang w:val="uk-UA"/>
        </w:rPr>
        <w:t xml:space="preserve"> ‒ сідельний тягач, який</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компанія</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придбала разом з напівпричепом</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вантажопідйомністю </w:t>
      </w:r>
      <w:r w:rsidRPr="001B5DE3">
        <w:rPr>
          <w:rFonts w:ascii="Times New Roman" w:hAnsi="Times New Roman" w:cs="Times New Roman"/>
          <w:sz w:val="28"/>
          <w:szCs w:val="28"/>
        </w:rPr>
        <w:t>60 тонн для перевезення</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великогабаритних і надважких</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вантажів (загальна</w:t>
      </w:r>
      <w:r w:rsidR="00FD4C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вартість становить майже 3,8 млн грн);</w:t>
      </w:r>
    </w:p>
    <w:p w:rsidR="001A3519" w:rsidRPr="001B5DE3" w:rsidRDefault="001A3519" w:rsidP="00A962CC">
      <w:pPr>
        <w:spacing w:after="0" w:line="226" w:lineRule="auto"/>
        <w:ind w:firstLine="709"/>
        <w:jc w:val="both"/>
        <w:rPr>
          <w:rStyle w:val="aff4"/>
          <w:rFonts w:ascii="Times New Roman" w:hAnsi="Times New Roman"/>
          <w:b w:val="0"/>
          <w:lang w:eastAsia="uk-UA"/>
        </w:rPr>
      </w:pPr>
      <w:r w:rsidRPr="001B5DE3">
        <w:rPr>
          <w:rFonts w:ascii="Times New Roman" w:hAnsi="Times New Roman" w:cs="Times New Roman"/>
          <w:sz w:val="28"/>
          <w:szCs w:val="28"/>
        </w:rPr>
        <w:t>На ПАТ “Дніпровський</w:t>
      </w:r>
      <w:r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металургійний</w:t>
      </w:r>
      <w:r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комбінат”</w:t>
      </w:r>
      <w:r w:rsidR="00B769A6" w:rsidRPr="001B5DE3">
        <w:rPr>
          <w:rFonts w:ascii="Times New Roman" w:hAnsi="Times New Roman" w:cs="Times New Roman"/>
          <w:sz w:val="28"/>
          <w:szCs w:val="28"/>
          <w:lang w:val="uk-UA"/>
        </w:rPr>
        <w:t xml:space="preserve"> (далі – ДМЗ)</w:t>
      </w:r>
      <w:r w:rsidRPr="001B5DE3">
        <w:rPr>
          <w:rFonts w:ascii="Times New Roman" w:hAnsi="Times New Roman" w:cs="Times New Roman"/>
          <w:sz w:val="28"/>
          <w:szCs w:val="28"/>
        </w:rPr>
        <w:t xml:space="preserve"> т</w:t>
      </w:r>
      <w:r w:rsidRPr="001B5DE3">
        <w:rPr>
          <w:rStyle w:val="aff4"/>
          <w:rFonts w:ascii="Times New Roman" w:hAnsi="Times New Roman"/>
          <w:b w:val="0"/>
          <w:sz w:val="28"/>
          <w:szCs w:val="28"/>
        </w:rPr>
        <w:t>риває</w:t>
      </w:r>
      <w:r w:rsidRPr="001B5DE3">
        <w:rPr>
          <w:rStyle w:val="aff4"/>
          <w:rFonts w:ascii="Times New Roman" w:hAnsi="Times New Roman"/>
          <w:b w:val="0"/>
          <w:sz w:val="28"/>
          <w:szCs w:val="28"/>
          <w:lang w:val="uk-UA"/>
        </w:rPr>
        <w:t xml:space="preserve"> </w:t>
      </w:r>
      <w:r w:rsidRPr="001B5DE3">
        <w:rPr>
          <w:rStyle w:val="aff4"/>
          <w:rFonts w:ascii="Times New Roman" w:hAnsi="Times New Roman"/>
          <w:b w:val="0"/>
          <w:sz w:val="28"/>
          <w:szCs w:val="28"/>
        </w:rPr>
        <w:t>программа</w:t>
      </w:r>
      <w:r w:rsidRPr="001B5DE3">
        <w:rPr>
          <w:rStyle w:val="aff4"/>
          <w:rFonts w:ascii="Times New Roman" w:hAnsi="Times New Roman"/>
          <w:b w:val="0"/>
          <w:sz w:val="28"/>
          <w:szCs w:val="28"/>
          <w:lang w:val="uk-UA"/>
        </w:rPr>
        <w:t xml:space="preserve"> </w:t>
      </w:r>
      <w:r w:rsidRPr="001B5DE3">
        <w:rPr>
          <w:rStyle w:val="aff4"/>
          <w:rFonts w:ascii="Times New Roman" w:hAnsi="Times New Roman"/>
          <w:b w:val="0"/>
          <w:sz w:val="28"/>
          <w:szCs w:val="28"/>
        </w:rPr>
        <w:t>капітальних</w:t>
      </w:r>
      <w:r w:rsidRPr="001B5DE3">
        <w:rPr>
          <w:rStyle w:val="aff4"/>
          <w:rFonts w:ascii="Times New Roman" w:hAnsi="Times New Roman"/>
          <w:b w:val="0"/>
          <w:sz w:val="28"/>
          <w:szCs w:val="28"/>
          <w:lang w:val="uk-UA"/>
        </w:rPr>
        <w:t xml:space="preserve"> </w:t>
      </w:r>
      <w:r w:rsidRPr="001B5DE3">
        <w:rPr>
          <w:rStyle w:val="aff4"/>
          <w:rFonts w:ascii="Times New Roman" w:hAnsi="Times New Roman"/>
          <w:b w:val="0"/>
          <w:sz w:val="28"/>
          <w:szCs w:val="28"/>
        </w:rPr>
        <w:t>ремонтів</w:t>
      </w:r>
      <w:r w:rsidRPr="001B5DE3">
        <w:rPr>
          <w:rStyle w:val="aff4"/>
          <w:rFonts w:ascii="Times New Roman" w:hAnsi="Times New Roman"/>
          <w:b w:val="0"/>
          <w:sz w:val="28"/>
          <w:szCs w:val="28"/>
          <w:lang w:val="uk-UA"/>
        </w:rPr>
        <w:t xml:space="preserve"> </w:t>
      </w:r>
      <w:r w:rsidRPr="001B5DE3">
        <w:rPr>
          <w:rStyle w:val="aff4"/>
          <w:rFonts w:ascii="Times New Roman" w:hAnsi="Times New Roman"/>
          <w:b w:val="0"/>
          <w:sz w:val="28"/>
          <w:szCs w:val="28"/>
        </w:rPr>
        <w:t>повітронагрівачів</w:t>
      </w:r>
      <w:r w:rsidRPr="001B5DE3">
        <w:rPr>
          <w:rStyle w:val="aff4"/>
          <w:rFonts w:ascii="Times New Roman" w:hAnsi="Times New Roman"/>
          <w:b w:val="0"/>
          <w:sz w:val="28"/>
          <w:szCs w:val="28"/>
          <w:lang w:val="uk-UA"/>
        </w:rPr>
        <w:t xml:space="preserve"> </w:t>
      </w:r>
      <w:r w:rsidRPr="001B5DE3">
        <w:rPr>
          <w:rStyle w:val="aff4"/>
          <w:rFonts w:ascii="Times New Roman" w:hAnsi="Times New Roman"/>
          <w:b w:val="0"/>
          <w:sz w:val="28"/>
          <w:szCs w:val="28"/>
        </w:rPr>
        <w:t>доменних печей:</w:t>
      </w:r>
    </w:p>
    <w:p w:rsidR="001A3519" w:rsidRPr="001B5DE3" w:rsidRDefault="001A3519" w:rsidP="00A962CC">
      <w:pPr>
        <w:pStyle w:val="af3"/>
        <w:spacing w:before="0" w:beforeAutospacing="0" w:after="0" w:afterAutospacing="0" w:line="226" w:lineRule="auto"/>
        <w:ind w:firstLine="709"/>
        <w:jc w:val="both"/>
        <w:rPr>
          <w:rStyle w:val="aff4"/>
          <w:b w:val="0"/>
          <w:bCs/>
          <w:color w:val="auto"/>
          <w:lang w:val="uk-UA"/>
        </w:rPr>
      </w:pPr>
      <w:r w:rsidRPr="001B5DE3">
        <w:rPr>
          <w:rStyle w:val="aff4"/>
          <w:b w:val="0"/>
          <w:color w:val="auto"/>
          <w:lang w:val="uk-UA"/>
        </w:rPr>
        <w:t>повітронагрівач № 3 на ДП-1М без виводу печі з експлуатації</w:t>
      </w:r>
      <w:r w:rsidRPr="001B5DE3">
        <w:rPr>
          <w:color w:val="auto"/>
          <w:lang w:val="uk-UA"/>
        </w:rPr>
        <w:t xml:space="preserve"> (підприємство інвестує </w:t>
      </w:r>
      <w:r w:rsidR="00B86BFC" w:rsidRPr="001B5DE3">
        <w:rPr>
          <w:color w:val="auto"/>
          <w:lang w:val="uk-UA"/>
        </w:rPr>
        <w:t xml:space="preserve">майже </w:t>
      </w:r>
      <w:r w:rsidRPr="001B5DE3">
        <w:rPr>
          <w:color w:val="auto"/>
          <w:lang w:val="uk-UA"/>
        </w:rPr>
        <w:t>70 млн грн);</w:t>
      </w:r>
    </w:p>
    <w:p w:rsidR="001A3519" w:rsidRPr="001B5DE3" w:rsidRDefault="001A3519" w:rsidP="00A962CC">
      <w:pPr>
        <w:pStyle w:val="af3"/>
        <w:spacing w:before="0" w:beforeAutospacing="0" w:after="0" w:afterAutospacing="0" w:line="226" w:lineRule="auto"/>
        <w:ind w:firstLine="709"/>
        <w:jc w:val="both"/>
        <w:rPr>
          <w:color w:val="auto"/>
          <w:lang w:val="uk-UA"/>
        </w:rPr>
      </w:pPr>
      <w:r w:rsidRPr="001B5DE3">
        <w:rPr>
          <w:rStyle w:val="aff4"/>
          <w:b w:val="0"/>
          <w:color w:val="auto"/>
          <w:lang w:val="uk-UA"/>
        </w:rPr>
        <w:t>повітронагрівачі доменних печей №№ 9 та 12. Основна мета – замінити вогнетривку футеровку камер горіння внаслідок її зносу в процесі роботи агрегатів (</w:t>
      </w:r>
      <w:r w:rsidRPr="001B5DE3">
        <w:rPr>
          <w:color w:val="auto"/>
          <w:lang w:val="uk-UA"/>
        </w:rPr>
        <w:t>підприємство інвестує 73,7 млн грн);</w:t>
      </w:r>
    </w:p>
    <w:p w:rsidR="001A3519" w:rsidRPr="001B5DE3" w:rsidRDefault="001A3519" w:rsidP="00A962CC">
      <w:pPr>
        <w:pStyle w:val="af3"/>
        <w:spacing w:before="0" w:beforeAutospacing="0" w:after="0" w:afterAutospacing="0" w:line="226" w:lineRule="auto"/>
        <w:ind w:firstLine="709"/>
        <w:jc w:val="both"/>
        <w:rPr>
          <w:color w:val="auto"/>
          <w:lang w:val="uk-UA"/>
        </w:rPr>
      </w:pPr>
      <w:r w:rsidRPr="001B5DE3">
        <w:rPr>
          <w:rStyle w:val="aff4"/>
          <w:b w:val="0"/>
          <w:color w:val="auto"/>
          <w:lang w:val="uk-UA"/>
        </w:rPr>
        <w:t xml:space="preserve">повітронагрівача № 6 доменної печі № 1М. </w:t>
      </w:r>
      <w:r w:rsidRPr="001B5DE3">
        <w:rPr>
          <w:color w:val="auto"/>
          <w:lang w:val="uk-UA"/>
        </w:rPr>
        <w:t xml:space="preserve">Основна мета ‒ відновлення вогнетривкої футеровки камери горіння печі методом напівсухого торкретування (підприємство інвестує близько 8,7 млн грн), що </w:t>
      </w:r>
      <w:r w:rsidRPr="001B5DE3">
        <w:rPr>
          <w:rStyle w:val="aff"/>
          <w:i w:val="0"/>
          <w:color w:val="auto"/>
          <w:lang w:val="uk-UA"/>
        </w:rPr>
        <w:t>дозволить збільшити темпер</w:t>
      </w:r>
      <w:r w:rsidR="00B86BFC" w:rsidRPr="001B5DE3">
        <w:rPr>
          <w:rStyle w:val="aff"/>
          <w:i w:val="0"/>
          <w:color w:val="auto"/>
          <w:lang w:val="uk-UA"/>
        </w:rPr>
        <w:t>атуру гарячого дуття в печі, що в свою чергу</w:t>
      </w:r>
      <w:r w:rsidRPr="001B5DE3">
        <w:rPr>
          <w:rStyle w:val="aff"/>
          <w:i w:val="0"/>
          <w:color w:val="auto"/>
          <w:lang w:val="uk-UA"/>
        </w:rPr>
        <w:t xml:space="preserve"> дасть можливість знизити витрати палива під час плавки.</w:t>
      </w:r>
    </w:p>
    <w:p w:rsidR="001A3519" w:rsidRPr="001B5DE3" w:rsidRDefault="001A3519" w:rsidP="00A962CC">
      <w:pPr>
        <w:pStyle w:val="HTML"/>
        <w:spacing w:line="226" w:lineRule="auto"/>
        <w:ind w:firstLine="709"/>
        <w:jc w:val="both"/>
        <w:rPr>
          <w:rFonts w:ascii="Times New Roman" w:hAnsi="Times New Roman"/>
          <w:color w:val="auto"/>
          <w:sz w:val="28"/>
          <w:szCs w:val="28"/>
          <w:lang w:val="uk-UA"/>
        </w:rPr>
      </w:pPr>
      <w:r w:rsidRPr="001B5DE3">
        <w:rPr>
          <w:rFonts w:ascii="Times New Roman" w:hAnsi="Times New Roman"/>
          <w:color w:val="auto"/>
          <w:sz w:val="28"/>
          <w:szCs w:val="28"/>
          <w:lang w:val="uk-UA"/>
        </w:rPr>
        <w:t xml:space="preserve">На ПрАТ “Дніпровський металургійний завод” </w:t>
      </w:r>
      <w:r w:rsidR="006914BA" w:rsidRPr="001B5DE3">
        <w:rPr>
          <w:rFonts w:ascii="Times New Roman" w:hAnsi="Times New Roman"/>
          <w:sz w:val="28"/>
          <w:szCs w:val="28"/>
          <w:lang w:val="uk-UA"/>
        </w:rPr>
        <w:t>(далі – ДМЗ)</w:t>
      </w:r>
      <w:r w:rsidR="006914BA" w:rsidRPr="001B5DE3">
        <w:rPr>
          <w:rFonts w:ascii="Times New Roman" w:hAnsi="Times New Roman"/>
          <w:sz w:val="28"/>
          <w:szCs w:val="28"/>
        </w:rPr>
        <w:t xml:space="preserve"> </w:t>
      </w:r>
      <w:r w:rsidRPr="001B5DE3">
        <w:rPr>
          <w:rFonts w:ascii="Times New Roman" w:hAnsi="Times New Roman"/>
          <w:color w:val="auto"/>
          <w:sz w:val="28"/>
          <w:szCs w:val="28"/>
          <w:lang w:val="uk-UA"/>
        </w:rPr>
        <w:t>здійснюється реконструкція коксових батарей</w:t>
      </w:r>
      <w:r w:rsidR="00FD4C13" w:rsidRPr="001B5DE3">
        <w:rPr>
          <w:rFonts w:ascii="Times New Roman" w:hAnsi="Times New Roman"/>
          <w:color w:val="auto"/>
          <w:sz w:val="28"/>
          <w:szCs w:val="28"/>
          <w:lang w:val="uk-UA"/>
        </w:rPr>
        <w:t xml:space="preserve"> </w:t>
      </w:r>
      <w:r w:rsidRPr="001B5DE3">
        <w:rPr>
          <w:rStyle w:val="y2iqfc"/>
          <w:rFonts w:ascii="Times New Roman" w:hAnsi="Times New Roman"/>
          <w:color w:val="auto"/>
          <w:sz w:val="28"/>
          <w:szCs w:val="28"/>
          <w:lang w:val="uk-UA"/>
        </w:rPr>
        <w:t>№№1 та 2</w:t>
      </w:r>
      <w:r w:rsidRPr="001B5DE3">
        <w:rPr>
          <w:rFonts w:ascii="Times New Roman" w:hAnsi="Times New Roman"/>
          <w:color w:val="auto"/>
          <w:sz w:val="28"/>
          <w:szCs w:val="28"/>
          <w:lang w:val="uk-UA"/>
        </w:rPr>
        <w:t xml:space="preserve">. </w:t>
      </w:r>
      <w:r w:rsidR="00B86BFC" w:rsidRPr="001B5DE3">
        <w:rPr>
          <w:rFonts w:ascii="Times New Roman" w:hAnsi="Times New Roman"/>
          <w:color w:val="auto"/>
          <w:sz w:val="28"/>
          <w:szCs w:val="28"/>
          <w:lang w:val="uk-UA"/>
        </w:rPr>
        <w:t>У</w:t>
      </w:r>
      <w:r w:rsidRPr="001B5DE3">
        <w:rPr>
          <w:rFonts w:ascii="Times New Roman" w:hAnsi="Times New Roman"/>
          <w:color w:val="auto"/>
          <w:sz w:val="28"/>
          <w:szCs w:val="28"/>
          <w:lang w:val="uk-UA"/>
        </w:rPr>
        <w:t xml:space="preserve"> ході ремонту буде виконана керамічна наплавка і герметизація швів кладки обігрівальних простінків. </w:t>
      </w:r>
      <w:r w:rsidR="006914BA">
        <w:rPr>
          <w:rFonts w:ascii="Times New Roman" w:hAnsi="Times New Roman"/>
          <w:color w:val="auto"/>
          <w:sz w:val="28"/>
          <w:szCs w:val="28"/>
          <w:lang w:val="uk-UA"/>
        </w:rPr>
        <w:t xml:space="preserve">                 </w:t>
      </w:r>
      <w:r w:rsidRPr="001B5DE3">
        <w:rPr>
          <w:rFonts w:ascii="Times New Roman" w:hAnsi="Times New Roman"/>
          <w:color w:val="auto"/>
          <w:sz w:val="28"/>
          <w:szCs w:val="28"/>
          <w:lang w:val="uk-UA"/>
        </w:rPr>
        <w:t xml:space="preserve">Це нова для України технологія, яка довела свою ефективність на європейських підприємствах. Наплавлення дає більш якісну герметизацію швів камер коксування, що підвищує ефективність роботи печей і знижує навантаження на навколишнє середовище. </w:t>
      </w:r>
    </w:p>
    <w:p w:rsidR="001A3519" w:rsidRPr="001B5DE3" w:rsidRDefault="001A3519" w:rsidP="00A962CC">
      <w:pPr>
        <w:pStyle w:val="HTML"/>
        <w:spacing w:line="226" w:lineRule="auto"/>
        <w:ind w:firstLine="709"/>
        <w:jc w:val="both"/>
        <w:rPr>
          <w:rStyle w:val="y2iqfc"/>
          <w:rFonts w:ascii="Times New Roman" w:hAnsi="Times New Roman"/>
          <w:color w:val="auto"/>
        </w:rPr>
      </w:pPr>
      <w:r w:rsidRPr="001B5DE3">
        <w:rPr>
          <w:rStyle w:val="y2iqfc"/>
          <w:rFonts w:ascii="Times New Roman" w:hAnsi="Times New Roman"/>
          <w:color w:val="auto"/>
          <w:sz w:val="28"/>
          <w:szCs w:val="28"/>
          <w:lang w:val="uk-UA"/>
        </w:rPr>
        <w:t xml:space="preserve">Крім цього, здійснюється ремонт ділянки нагрівальних колодязів прокатного цеху № 1 ‒ капітальний ремонт рекуперативного колодязя № 6 (підприємство інвестує </w:t>
      </w:r>
      <w:r w:rsidR="00431116" w:rsidRPr="001B5DE3">
        <w:rPr>
          <w:rStyle w:val="y2iqfc"/>
          <w:rFonts w:ascii="Times New Roman" w:hAnsi="Times New Roman"/>
          <w:color w:val="auto"/>
          <w:sz w:val="28"/>
          <w:szCs w:val="28"/>
          <w:lang w:val="uk-UA"/>
        </w:rPr>
        <w:t>майже</w:t>
      </w:r>
      <w:r w:rsidRPr="001B5DE3">
        <w:rPr>
          <w:rStyle w:val="y2iqfc"/>
          <w:rFonts w:ascii="Times New Roman" w:hAnsi="Times New Roman"/>
          <w:color w:val="auto"/>
          <w:sz w:val="28"/>
          <w:szCs w:val="28"/>
          <w:lang w:val="uk-UA"/>
        </w:rPr>
        <w:t xml:space="preserve"> 1,5 млн гр</w:t>
      </w:r>
      <w:r w:rsidR="00431116" w:rsidRPr="001B5DE3">
        <w:rPr>
          <w:rStyle w:val="y2iqfc"/>
          <w:rFonts w:ascii="Times New Roman" w:hAnsi="Times New Roman"/>
          <w:color w:val="auto"/>
          <w:sz w:val="28"/>
          <w:szCs w:val="28"/>
          <w:lang w:val="uk-UA"/>
        </w:rPr>
        <w:t>н</w:t>
      </w:r>
      <w:r w:rsidRPr="001B5DE3">
        <w:rPr>
          <w:rStyle w:val="y2iqfc"/>
          <w:rFonts w:ascii="Times New Roman" w:hAnsi="Times New Roman"/>
          <w:color w:val="auto"/>
          <w:sz w:val="28"/>
          <w:szCs w:val="28"/>
          <w:lang w:val="uk-UA"/>
        </w:rPr>
        <w:t>). Наразі в робочому просторі печі вже виконано всі заплановані роботи, замінено кладку, незабаром буде завершено ремонт керамічного рекуператора. Протягом серпня</w:t>
      </w:r>
      <w:r w:rsidR="00431116" w:rsidRPr="001B5DE3">
        <w:rPr>
          <w:rStyle w:val="y2iqfc"/>
          <w:rFonts w:ascii="Times New Roman" w:hAnsi="Times New Roman"/>
          <w:color w:val="auto"/>
          <w:sz w:val="28"/>
          <w:szCs w:val="28"/>
          <w:lang w:val="uk-UA"/>
        </w:rPr>
        <w:t xml:space="preserve"> – </w:t>
      </w:r>
      <w:r w:rsidRPr="001B5DE3">
        <w:rPr>
          <w:rStyle w:val="y2iqfc"/>
          <w:rFonts w:ascii="Times New Roman" w:hAnsi="Times New Roman"/>
          <w:color w:val="auto"/>
          <w:sz w:val="28"/>
          <w:szCs w:val="28"/>
          <w:lang w:val="uk-UA"/>
        </w:rPr>
        <w:t>вересня заплановано розпочати капітальний ремонт нагрівального колодязя № 8. У ньому буде виконано аналогічні роботи.</w:t>
      </w:r>
    </w:p>
    <w:p w:rsidR="001A3519" w:rsidRPr="001B5DE3" w:rsidRDefault="001A3519" w:rsidP="00A962CC">
      <w:pPr>
        <w:pStyle w:val="HTML"/>
        <w:spacing w:line="226" w:lineRule="auto"/>
        <w:ind w:firstLine="709"/>
        <w:jc w:val="both"/>
        <w:rPr>
          <w:rStyle w:val="y2iqfc"/>
          <w:rFonts w:ascii="Times New Roman" w:hAnsi="Times New Roman"/>
          <w:color w:val="auto"/>
          <w:sz w:val="28"/>
          <w:szCs w:val="28"/>
          <w:lang w:val="uk-UA"/>
        </w:rPr>
      </w:pPr>
      <w:r w:rsidRPr="001B5DE3">
        <w:rPr>
          <w:rStyle w:val="y2iqfc"/>
          <w:rFonts w:ascii="Times New Roman" w:hAnsi="Times New Roman"/>
          <w:color w:val="auto"/>
          <w:sz w:val="28"/>
          <w:szCs w:val="28"/>
          <w:lang w:val="uk-UA"/>
        </w:rPr>
        <w:t xml:space="preserve">Також на підприємстві виконано модернізацію газоочисної системи киснево-конвертерного цеху та свічки дожигу надлишку доменного газу. Змонтовані установки пилоподавлення на двох </w:t>
      </w:r>
      <w:r w:rsidR="001E4513" w:rsidRPr="001B5DE3">
        <w:rPr>
          <w:rStyle w:val="y2iqfc"/>
          <w:rFonts w:ascii="Times New Roman" w:hAnsi="Times New Roman"/>
          <w:color w:val="auto"/>
          <w:sz w:val="28"/>
          <w:szCs w:val="28"/>
          <w:lang w:val="uk-UA"/>
        </w:rPr>
        <w:t>доменних печах. На коксохімічному</w:t>
      </w:r>
      <w:r w:rsidRPr="001B5DE3">
        <w:rPr>
          <w:rStyle w:val="y2iqfc"/>
          <w:rFonts w:ascii="Times New Roman" w:hAnsi="Times New Roman"/>
          <w:color w:val="auto"/>
          <w:sz w:val="28"/>
          <w:szCs w:val="28"/>
          <w:lang w:val="uk-UA"/>
        </w:rPr>
        <w:t xml:space="preserve"> майданчику ДМЗ виконано перекладку камер двох коксових батарей, капітальний ремонт простінків чотирьох коксових батарей, оновлена система закриття циклу кінцевого охолодження коксового газу.</w:t>
      </w:r>
    </w:p>
    <w:p w:rsidR="001A3519" w:rsidRPr="001B5DE3" w:rsidRDefault="001A3519" w:rsidP="001571B6">
      <w:pPr>
        <w:pStyle w:val="HTML"/>
        <w:ind w:firstLine="709"/>
        <w:jc w:val="both"/>
        <w:rPr>
          <w:rFonts w:ascii="Times New Roman" w:hAnsi="Times New Roman"/>
          <w:color w:val="auto"/>
          <w:lang w:val="uk-UA"/>
        </w:rPr>
      </w:pPr>
      <w:r w:rsidRPr="001B5DE3">
        <w:rPr>
          <w:rStyle w:val="y2iqfc"/>
          <w:rFonts w:ascii="Times New Roman" w:hAnsi="Times New Roman"/>
          <w:color w:val="auto"/>
          <w:sz w:val="28"/>
          <w:szCs w:val="28"/>
          <w:lang w:val="uk-UA"/>
        </w:rPr>
        <w:lastRenderedPageBreak/>
        <w:t>Реалізація цих та інших про</w:t>
      </w:r>
      <w:r w:rsidR="00431116" w:rsidRPr="001B5DE3">
        <w:rPr>
          <w:rStyle w:val="y2iqfc"/>
          <w:rFonts w:ascii="Times New Roman" w:hAnsi="Times New Roman"/>
          <w:color w:val="auto"/>
          <w:sz w:val="28"/>
          <w:szCs w:val="28"/>
          <w:lang w:val="uk-UA"/>
        </w:rPr>
        <w:t>є</w:t>
      </w:r>
      <w:r w:rsidRPr="001B5DE3">
        <w:rPr>
          <w:rStyle w:val="y2iqfc"/>
          <w:rFonts w:ascii="Times New Roman" w:hAnsi="Times New Roman"/>
          <w:color w:val="auto"/>
          <w:sz w:val="28"/>
          <w:szCs w:val="28"/>
          <w:lang w:val="uk-UA"/>
        </w:rPr>
        <w:t xml:space="preserve">ктів дозволила знизити викиди в атмосферу всіх забруднюючих речовин з 8332 тонн до 2506 тонн (на 70%), викиди СО2 знизилися з 2 млн тонн в 2016 році до 400 тис тонн в 2020 році (більш 80%). </w:t>
      </w:r>
      <w:r w:rsidR="00DF2987">
        <w:rPr>
          <w:rStyle w:val="y2iqfc"/>
          <w:rFonts w:ascii="Times New Roman" w:hAnsi="Times New Roman"/>
          <w:color w:val="auto"/>
          <w:sz w:val="28"/>
          <w:szCs w:val="28"/>
          <w:lang w:val="uk-UA"/>
        </w:rPr>
        <w:t xml:space="preserve">                  </w:t>
      </w:r>
      <w:r w:rsidRPr="001B5DE3">
        <w:rPr>
          <w:rStyle w:val="y2iqfc"/>
          <w:rFonts w:ascii="Times New Roman" w:hAnsi="Times New Roman"/>
          <w:color w:val="auto"/>
          <w:sz w:val="28"/>
          <w:szCs w:val="28"/>
          <w:lang w:val="uk-UA"/>
        </w:rPr>
        <w:t>На виконання цих заходів підприємством інвестовано</w:t>
      </w:r>
      <w:r w:rsidR="0051139C" w:rsidRPr="001B5DE3">
        <w:rPr>
          <w:rStyle w:val="y2iqfc"/>
          <w:rFonts w:ascii="Times New Roman" w:hAnsi="Times New Roman"/>
          <w:color w:val="auto"/>
          <w:sz w:val="28"/>
          <w:szCs w:val="28"/>
          <w:lang w:val="uk-UA"/>
        </w:rPr>
        <w:t xml:space="preserve"> </w:t>
      </w:r>
      <w:r w:rsidRPr="001B5DE3">
        <w:rPr>
          <w:rStyle w:val="y2iqfc"/>
          <w:rFonts w:ascii="Times New Roman" w:hAnsi="Times New Roman"/>
          <w:color w:val="auto"/>
          <w:sz w:val="28"/>
          <w:szCs w:val="28"/>
          <w:lang w:val="uk-UA"/>
        </w:rPr>
        <w:t>350 млн грн.</w:t>
      </w:r>
    </w:p>
    <w:p w:rsidR="001A3519" w:rsidRPr="001B5DE3" w:rsidRDefault="001A3519" w:rsidP="001571B6">
      <w:pPr>
        <w:pStyle w:val="HTML"/>
        <w:ind w:firstLine="709"/>
        <w:jc w:val="both"/>
        <w:rPr>
          <w:rFonts w:ascii="Times New Roman" w:hAnsi="Times New Roman"/>
          <w:color w:val="auto"/>
          <w:sz w:val="28"/>
          <w:szCs w:val="28"/>
          <w:lang w:val="uk-UA"/>
        </w:rPr>
      </w:pPr>
      <w:r w:rsidRPr="001B5DE3">
        <w:rPr>
          <w:rStyle w:val="y2iqfc"/>
          <w:rFonts w:ascii="Times New Roman" w:hAnsi="Times New Roman"/>
          <w:color w:val="auto"/>
          <w:sz w:val="28"/>
          <w:szCs w:val="28"/>
          <w:lang w:val="uk-UA"/>
        </w:rPr>
        <w:t xml:space="preserve">На </w:t>
      </w:r>
      <w:r w:rsidR="00B769A6" w:rsidRPr="001B5DE3">
        <w:rPr>
          <w:rStyle w:val="y2iqfc"/>
          <w:rFonts w:ascii="Times New Roman" w:hAnsi="Times New Roman"/>
          <w:color w:val="auto"/>
          <w:sz w:val="28"/>
          <w:szCs w:val="28"/>
          <w:lang w:val="uk-UA"/>
        </w:rPr>
        <w:t>ДМЗ</w:t>
      </w:r>
      <w:r w:rsidRPr="001B5DE3">
        <w:rPr>
          <w:rStyle w:val="y2iqfc"/>
          <w:rFonts w:ascii="Times New Roman" w:hAnsi="Times New Roman"/>
          <w:color w:val="auto"/>
          <w:sz w:val="28"/>
          <w:szCs w:val="28"/>
          <w:lang w:val="uk-UA"/>
        </w:rPr>
        <w:t xml:space="preserve"> освоєно виробництво шахтної стійки СВП-17. Новий продукт використовується для виготовлення аркового кріплення гірничих виробок твердих порід і дуже затребуваний на ринку. ДМЗ давно виробляє стійки СВП 22, 27 і 33. Тепер на замовлення гірничодобувних підприємств в портфелі підприємства з’явилася і легша, універсальна СВП-17. Цей профіль краще підходить </w:t>
      </w:r>
      <w:r w:rsidR="00882563" w:rsidRPr="001B5DE3">
        <w:rPr>
          <w:rStyle w:val="y2iqfc"/>
          <w:rFonts w:ascii="Times New Roman" w:hAnsi="Times New Roman"/>
          <w:color w:val="auto"/>
          <w:sz w:val="28"/>
          <w:szCs w:val="28"/>
          <w:lang w:val="uk-UA"/>
        </w:rPr>
        <w:t>під час</w:t>
      </w:r>
      <w:r w:rsidRPr="001B5DE3">
        <w:rPr>
          <w:rStyle w:val="y2iqfc"/>
          <w:rFonts w:ascii="Times New Roman" w:hAnsi="Times New Roman"/>
          <w:color w:val="auto"/>
          <w:sz w:val="28"/>
          <w:szCs w:val="28"/>
          <w:lang w:val="uk-UA"/>
        </w:rPr>
        <w:t xml:space="preserve"> видобутку</w:t>
      </w:r>
      <w:r w:rsidR="00882563" w:rsidRPr="001B5DE3">
        <w:rPr>
          <w:rStyle w:val="y2iqfc"/>
          <w:rFonts w:ascii="Times New Roman" w:hAnsi="Times New Roman"/>
          <w:color w:val="auto"/>
          <w:sz w:val="28"/>
          <w:szCs w:val="28"/>
          <w:lang w:val="uk-UA"/>
        </w:rPr>
        <w:t xml:space="preserve"> </w:t>
      </w:r>
      <w:r w:rsidRPr="001B5DE3">
        <w:rPr>
          <w:rStyle w:val="y2iqfc"/>
          <w:rFonts w:ascii="Times New Roman" w:hAnsi="Times New Roman"/>
          <w:color w:val="auto"/>
          <w:sz w:val="28"/>
          <w:szCs w:val="28"/>
          <w:lang w:val="uk-UA"/>
        </w:rPr>
        <w:t>руди ближче до поверхні. На сьогодні підприємство є єдиним в Україні стійки СВП-17.</w:t>
      </w:r>
    </w:p>
    <w:p w:rsidR="00647FA7" w:rsidRPr="001B5DE3" w:rsidRDefault="00647FA7" w:rsidP="001571B6">
      <w:pPr>
        <w:pStyle w:val="af3"/>
        <w:spacing w:before="0" w:beforeAutospacing="0" w:after="0" w:afterAutospacing="0"/>
        <w:ind w:firstLine="709"/>
        <w:jc w:val="both"/>
        <w:rPr>
          <w:rStyle w:val="aff"/>
          <w:i w:val="0"/>
          <w:color w:val="auto"/>
          <w:lang w:val="uk-UA"/>
        </w:rPr>
      </w:pPr>
    </w:p>
    <w:p w:rsidR="002F11DA" w:rsidRPr="001B5DE3" w:rsidRDefault="002F11DA" w:rsidP="002F11DA">
      <w:pPr>
        <w:spacing w:after="0" w:line="252"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Агропромисловий комплекс</w:t>
      </w:r>
    </w:p>
    <w:p w:rsidR="002F11DA" w:rsidRPr="001B5DE3" w:rsidRDefault="002F11DA" w:rsidP="00D63EA1">
      <w:pPr>
        <w:pStyle w:val="af3"/>
        <w:spacing w:before="0" w:beforeAutospacing="0" w:after="0" w:afterAutospacing="0" w:line="230" w:lineRule="auto"/>
        <w:ind w:firstLine="709"/>
        <w:jc w:val="both"/>
        <w:rPr>
          <w:rStyle w:val="aff"/>
          <w:i w:val="0"/>
          <w:color w:val="auto"/>
          <w:lang w:val="uk-UA"/>
        </w:rPr>
      </w:pPr>
    </w:p>
    <w:p w:rsidR="00647FA7" w:rsidRPr="001B5DE3" w:rsidRDefault="00647FA7" w:rsidP="00865269">
      <w:pPr>
        <w:shd w:val="clear" w:color="auto" w:fill="FFFFFF"/>
        <w:spacing w:after="0" w:line="240" w:lineRule="auto"/>
        <w:ind w:firstLine="851"/>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січень – червень індекс сільськосподарської продукції по всіх категоріях господарств області склав 97,8%, у тому числі продукції рослинництва – 54,4%, продукції тваринництва – 109,4%, порівняно з січнем – червнем 2020 року.</w:t>
      </w:r>
    </w:p>
    <w:p w:rsidR="00647FA7" w:rsidRPr="001B5DE3" w:rsidRDefault="00647FA7" w:rsidP="00865269">
      <w:pPr>
        <w:shd w:val="clear" w:color="auto" w:fill="FFFFFF"/>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Індекси сільськогосподарської продукції по підприємствах і господарствах населення склали відповідно 100,3% та 91,1%.</w:t>
      </w:r>
    </w:p>
    <w:p w:rsidR="00647FA7" w:rsidRPr="001B5DE3" w:rsidRDefault="00647FA7" w:rsidP="008B1901">
      <w:pPr>
        <w:shd w:val="clear" w:color="auto" w:fill="FFFFFF"/>
        <w:spacing w:after="0" w:line="240" w:lineRule="auto"/>
        <w:ind w:firstLine="425"/>
        <w:jc w:val="both"/>
        <w:rPr>
          <w:rFonts w:ascii="Times New Roman" w:hAnsi="Times New Roman" w:cs="Times New Roman"/>
          <w:sz w:val="28"/>
          <w:szCs w:val="28"/>
          <w:lang w:val="uk-UA"/>
        </w:rPr>
      </w:pPr>
    </w:p>
    <w:p w:rsidR="00647FA7"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Динаміка виробництва валової сільськогосподарської продукції, </w:t>
      </w:r>
    </w:p>
    <w:p w:rsidR="00647FA7"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до відповідного періоду попереднього року</w:t>
      </w:r>
    </w:p>
    <w:p w:rsidR="00647FA7" w:rsidRPr="001B5DE3" w:rsidRDefault="00647FA7" w:rsidP="008B1901">
      <w:pPr>
        <w:spacing w:after="0" w:line="240" w:lineRule="auto"/>
        <w:ind w:firstLine="709"/>
        <w:jc w:val="center"/>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4B683346" wp14:editId="7783CFBB">
            <wp:extent cx="4410075" cy="1590675"/>
            <wp:effectExtent l="0" t="0" r="0" b="0"/>
            <wp:docPr id="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7FA7" w:rsidRPr="001B5DE3" w:rsidRDefault="00647FA7" w:rsidP="008B1901">
      <w:pPr>
        <w:spacing w:after="0" w:line="240" w:lineRule="auto"/>
        <w:ind w:firstLine="709"/>
        <w:jc w:val="center"/>
        <w:rPr>
          <w:rFonts w:ascii="Times New Roman" w:hAnsi="Times New Roman" w:cs="Times New Roman"/>
          <w:sz w:val="28"/>
          <w:szCs w:val="28"/>
          <w:lang w:val="uk-UA"/>
        </w:rPr>
      </w:pPr>
    </w:p>
    <w:p w:rsidR="00647FA7" w:rsidRPr="001B5DE3" w:rsidRDefault="00647FA7" w:rsidP="00865269">
      <w:pPr>
        <w:shd w:val="clear" w:color="auto" w:fill="FFFFFF"/>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Станом на </w:t>
      </w:r>
      <w:r w:rsidR="00882563" w:rsidRPr="001B5DE3">
        <w:rPr>
          <w:rFonts w:ascii="Times New Roman" w:hAnsi="Times New Roman" w:cs="Times New Roman"/>
          <w:sz w:val="28"/>
          <w:szCs w:val="28"/>
          <w:lang w:val="uk-UA"/>
        </w:rPr>
        <w:t>0</w:t>
      </w:r>
      <w:r w:rsidRPr="001B5DE3">
        <w:rPr>
          <w:rFonts w:ascii="Times New Roman" w:hAnsi="Times New Roman" w:cs="Times New Roman"/>
          <w:sz w:val="28"/>
          <w:szCs w:val="28"/>
          <w:lang w:val="uk-UA"/>
        </w:rPr>
        <w:t>1 липня 2021 року сільськогосподарськими підприємствами</w:t>
      </w:r>
      <w:r w:rsidR="00AE7DF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області завершено посів ярих сільськогосподарських культур на площі</w:t>
      </w:r>
      <w:r w:rsidR="00AE7DFA" w:rsidRPr="001B5DE3">
        <w:rPr>
          <w:rFonts w:ascii="Times New Roman" w:hAnsi="Times New Roman" w:cs="Times New Roman"/>
          <w:sz w:val="28"/>
          <w:szCs w:val="28"/>
          <w:lang w:val="uk-UA"/>
        </w:rPr>
        <w:t xml:space="preserve"> </w:t>
      </w:r>
      <w:r w:rsidR="00C872B3"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1203,2 тис. га, у тому числі зернових культур та зернобобових на площі</w:t>
      </w:r>
      <w:r w:rsidR="00865269" w:rsidRPr="001B5DE3">
        <w:rPr>
          <w:rFonts w:ascii="Times New Roman" w:hAnsi="Times New Roman" w:cs="Times New Roman"/>
          <w:sz w:val="28"/>
          <w:szCs w:val="28"/>
          <w:lang w:val="uk-UA"/>
        </w:rPr>
        <w:t xml:space="preserve"> </w:t>
      </w:r>
      <w:r w:rsidR="00C872B3"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482,1 тис. га.</w:t>
      </w:r>
    </w:p>
    <w:p w:rsidR="00647FA7" w:rsidRPr="001B5DE3" w:rsidRDefault="00647FA7" w:rsidP="008B1901">
      <w:pPr>
        <w:autoSpaceDE w:val="0"/>
        <w:autoSpaceDN w:val="0"/>
        <w:adjustRightInd w:val="0"/>
        <w:spacing w:after="0" w:line="240" w:lineRule="auto"/>
        <w:ind w:firstLine="709"/>
        <w:jc w:val="center"/>
        <w:rPr>
          <w:rFonts w:ascii="Times New Roman" w:hAnsi="Times New Roman" w:cs="Times New Roman"/>
          <w:b/>
          <w:sz w:val="28"/>
          <w:szCs w:val="28"/>
          <w:lang w:val="uk-UA" w:eastAsia="uk-UA"/>
        </w:rPr>
      </w:pPr>
    </w:p>
    <w:p w:rsidR="00647FA7" w:rsidRPr="001B5DE3" w:rsidRDefault="00647FA7" w:rsidP="008B1901">
      <w:pPr>
        <w:autoSpaceDE w:val="0"/>
        <w:autoSpaceDN w:val="0"/>
        <w:adjustRightInd w:val="0"/>
        <w:spacing w:after="0" w:line="240" w:lineRule="auto"/>
        <w:ind w:firstLine="709"/>
        <w:jc w:val="center"/>
        <w:rPr>
          <w:rFonts w:ascii="Times New Roman" w:hAnsi="Times New Roman" w:cs="Times New Roman"/>
          <w:b/>
          <w:sz w:val="28"/>
          <w:szCs w:val="28"/>
          <w:lang w:val="uk-UA" w:eastAsia="uk-UA"/>
        </w:rPr>
      </w:pPr>
      <w:r w:rsidRPr="001B5DE3">
        <w:rPr>
          <w:rFonts w:ascii="Times New Roman" w:hAnsi="Times New Roman" w:cs="Times New Roman"/>
          <w:b/>
          <w:sz w:val="28"/>
          <w:szCs w:val="28"/>
          <w:lang w:val="uk-UA" w:eastAsia="uk-UA"/>
        </w:rPr>
        <w:t>Посівні площі ярих культур станом на 01.07.2021</w:t>
      </w:r>
    </w:p>
    <w:p w:rsidR="00647FA7" w:rsidRPr="001B5DE3" w:rsidRDefault="00647FA7" w:rsidP="008B1901">
      <w:pPr>
        <w:autoSpaceDE w:val="0"/>
        <w:autoSpaceDN w:val="0"/>
        <w:adjustRightInd w:val="0"/>
        <w:spacing w:after="0" w:line="240" w:lineRule="auto"/>
        <w:ind w:firstLine="709"/>
        <w:jc w:val="center"/>
        <w:rPr>
          <w:rFonts w:ascii="Times New Roman" w:hAnsi="Times New Roman" w:cs="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85"/>
        <w:gridCol w:w="3187"/>
      </w:tblGrid>
      <w:tr w:rsidR="001B5DE3" w:rsidRPr="001B5DE3" w:rsidTr="00AE7DFA">
        <w:tc>
          <w:tcPr>
            <w:tcW w:w="3199"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Культури</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Посіяно, тис. га</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до 2020 року</w:t>
            </w:r>
          </w:p>
        </w:tc>
      </w:tr>
      <w:tr w:rsidR="001B5DE3" w:rsidRPr="001B5DE3" w:rsidTr="00AE7DFA">
        <w:tc>
          <w:tcPr>
            <w:tcW w:w="3199" w:type="dxa"/>
            <w:shd w:val="clear" w:color="auto" w:fill="auto"/>
          </w:tcPr>
          <w:p w:rsidR="00647FA7" w:rsidRPr="001B5DE3" w:rsidRDefault="00882563" w:rsidP="00865269">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Всього </w:t>
            </w:r>
            <w:r w:rsidR="00647FA7" w:rsidRPr="001B5DE3">
              <w:rPr>
                <w:rFonts w:ascii="Times New Roman" w:eastAsia="Times New Roman" w:hAnsi="Times New Roman" w:cs="Times New Roman"/>
                <w:sz w:val="28"/>
                <w:szCs w:val="28"/>
                <w:lang w:val="uk-UA"/>
              </w:rPr>
              <w:t>ярі зернові культури</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482,1</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97,0</w:t>
            </w:r>
          </w:p>
        </w:tc>
      </w:tr>
      <w:tr w:rsidR="001B5DE3" w:rsidRPr="001B5DE3" w:rsidTr="00AE7DFA">
        <w:tc>
          <w:tcPr>
            <w:tcW w:w="3199" w:type="dxa"/>
            <w:shd w:val="clear" w:color="auto" w:fill="auto"/>
          </w:tcPr>
          <w:p w:rsidR="00647FA7" w:rsidRPr="001B5DE3" w:rsidRDefault="00647FA7" w:rsidP="008B1901">
            <w:pPr>
              <w:spacing w:after="0" w:line="240" w:lineRule="auto"/>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у т.ч.</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пшениця</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3,7</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105,5</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ячмінь</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143,3</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98,8</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lastRenderedPageBreak/>
              <w:t>горох та інші зернобобові</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18,1</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104,6</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овес</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1,8</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148,8</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кукурудза на зерно</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303,5</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97,7</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гречка</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0,7</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95,4</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сорго</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4,1</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114,0</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просо</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6,9</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53,3</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соняшник</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598,1</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96,0</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цукровий буряк</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0,6</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118,2</w:t>
            </w:r>
          </w:p>
        </w:tc>
      </w:tr>
      <w:tr w:rsidR="001B5DE3"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картопля</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53,7</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101,1</w:t>
            </w:r>
          </w:p>
        </w:tc>
      </w:tr>
      <w:tr w:rsidR="00647FA7" w:rsidRPr="001B5DE3" w:rsidTr="00AE7DFA">
        <w:tc>
          <w:tcPr>
            <w:tcW w:w="3199" w:type="dxa"/>
            <w:shd w:val="clear" w:color="auto" w:fill="auto"/>
          </w:tcPr>
          <w:p w:rsidR="00647FA7" w:rsidRPr="001B5DE3" w:rsidRDefault="00647FA7" w:rsidP="008B1901">
            <w:pPr>
              <w:spacing w:after="0" w:line="240" w:lineRule="auto"/>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овочі відкритого ґрунту</w:t>
            </w:r>
          </w:p>
        </w:tc>
        <w:tc>
          <w:tcPr>
            <w:tcW w:w="3185"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36,7</w:t>
            </w:r>
          </w:p>
        </w:tc>
        <w:tc>
          <w:tcPr>
            <w:tcW w:w="3187" w:type="dxa"/>
            <w:shd w:val="clear" w:color="auto" w:fill="auto"/>
          </w:tcPr>
          <w:p w:rsidR="00647FA7" w:rsidRPr="001B5DE3" w:rsidRDefault="00647FA7" w:rsidP="008B1901">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101,5</w:t>
            </w:r>
          </w:p>
        </w:tc>
      </w:tr>
    </w:tbl>
    <w:p w:rsidR="00647FA7" w:rsidRPr="001B5DE3" w:rsidRDefault="00647FA7" w:rsidP="008B1901">
      <w:pPr>
        <w:shd w:val="clear" w:color="auto" w:fill="FFFFFF"/>
        <w:spacing w:after="0" w:line="240" w:lineRule="auto"/>
        <w:ind w:firstLine="425"/>
        <w:jc w:val="both"/>
        <w:rPr>
          <w:rFonts w:ascii="Times New Roman" w:hAnsi="Times New Roman" w:cs="Times New Roman"/>
          <w:sz w:val="28"/>
          <w:szCs w:val="28"/>
          <w:lang w:val="uk-UA"/>
        </w:rPr>
      </w:pPr>
    </w:p>
    <w:p w:rsidR="00647FA7" w:rsidRPr="001B5DE3" w:rsidRDefault="00647FA7" w:rsidP="00865269">
      <w:pPr>
        <w:shd w:val="clear" w:color="auto" w:fill="FFFFFF"/>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Під урожай 2021</w:t>
      </w:r>
      <w:r w:rsidR="00AE7DF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року сільськогоспода</w:t>
      </w:r>
      <w:r w:rsidR="00AE7DFA" w:rsidRPr="001B5DE3">
        <w:rPr>
          <w:rFonts w:ascii="Times New Roman" w:hAnsi="Times New Roman" w:cs="Times New Roman"/>
          <w:sz w:val="28"/>
          <w:szCs w:val="28"/>
          <w:lang w:val="uk-UA"/>
        </w:rPr>
        <w:t xml:space="preserve">рські культури посіяно на площі </w:t>
      </w:r>
      <w:r w:rsidRPr="001B5DE3">
        <w:rPr>
          <w:rFonts w:ascii="Times New Roman" w:hAnsi="Times New Roman" w:cs="Times New Roman"/>
          <w:sz w:val="28"/>
          <w:szCs w:val="28"/>
          <w:lang w:val="uk-UA"/>
        </w:rPr>
        <w:t>1971,8 тис.</w:t>
      </w:r>
      <w:r w:rsidR="00E23AC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га, з них у підприємствах – 1314,9</w:t>
      </w:r>
      <w:r w:rsidR="00AE7DFA" w:rsidRPr="001B5DE3">
        <w:rPr>
          <w:rFonts w:ascii="Times New Roman" w:hAnsi="Times New Roman" w:cs="Times New Roman"/>
          <w:sz w:val="28"/>
          <w:szCs w:val="28"/>
          <w:lang w:val="uk-UA"/>
        </w:rPr>
        <w:t> тис.</w:t>
      </w:r>
      <w:r w:rsidR="00E23ACB" w:rsidRPr="001B5DE3">
        <w:rPr>
          <w:rFonts w:ascii="Times New Roman" w:hAnsi="Times New Roman" w:cs="Times New Roman"/>
          <w:sz w:val="28"/>
          <w:szCs w:val="28"/>
          <w:lang w:val="uk-UA"/>
        </w:rPr>
        <w:t xml:space="preserve"> </w:t>
      </w:r>
      <w:r w:rsidR="00AE7DFA" w:rsidRPr="001B5DE3">
        <w:rPr>
          <w:rFonts w:ascii="Times New Roman" w:hAnsi="Times New Roman" w:cs="Times New Roman"/>
          <w:sz w:val="28"/>
          <w:szCs w:val="28"/>
          <w:lang w:val="uk-UA"/>
        </w:rPr>
        <w:t xml:space="preserve">га </w:t>
      </w:r>
      <w:r w:rsidRPr="001B5DE3">
        <w:rPr>
          <w:rFonts w:ascii="Times New Roman" w:hAnsi="Times New Roman" w:cs="Times New Roman"/>
          <w:sz w:val="28"/>
          <w:szCs w:val="28"/>
          <w:lang w:val="uk-UA"/>
        </w:rPr>
        <w:t>(66,7% загальних площ), у господарствах населення – 656,9</w:t>
      </w:r>
      <w:r w:rsidR="00AE7DF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тис.</w:t>
      </w:r>
      <w:r w:rsidR="00E23AC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га</w:t>
      </w:r>
      <w:r w:rsidR="00AE7DF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(33,3%). Більше половини зайнятих посівами площ (58,2%) відведено під зернові та зернобобові культури (1148,3 тис.</w:t>
      </w:r>
      <w:r w:rsidR="00E23ACB" w:rsidRPr="001B5DE3">
        <w:rPr>
          <w:rFonts w:ascii="Times New Roman" w:hAnsi="Times New Roman" w:cs="Times New Roman"/>
          <w:sz w:val="28"/>
          <w:szCs w:val="28"/>
          <w:lang w:val="uk-UA"/>
        </w:rPr>
        <w:t xml:space="preserve"> га), що на 4,6% більше </w:t>
      </w:r>
      <w:r w:rsidRPr="001B5DE3">
        <w:rPr>
          <w:rFonts w:ascii="Times New Roman" w:hAnsi="Times New Roman" w:cs="Times New Roman"/>
          <w:sz w:val="28"/>
          <w:szCs w:val="28"/>
          <w:lang w:val="uk-UA"/>
        </w:rPr>
        <w:t>ніж торік.</w:t>
      </w:r>
    </w:p>
    <w:p w:rsidR="00647FA7" w:rsidRPr="001B5DE3" w:rsidRDefault="00647FA7" w:rsidP="00865269">
      <w:pPr>
        <w:shd w:val="clear" w:color="auto" w:fill="FFFFFF"/>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Станом на </w:t>
      </w:r>
      <w:r w:rsidR="00865269" w:rsidRPr="001B5DE3">
        <w:rPr>
          <w:rFonts w:ascii="Times New Roman" w:hAnsi="Times New Roman" w:cs="Times New Roman"/>
          <w:sz w:val="28"/>
          <w:szCs w:val="28"/>
          <w:lang w:val="uk-UA"/>
        </w:rPr>
        <w:t>0</w:t>
      </w:r>
      <w:r w:rsidRPr="001B5DE3">
        <w:rPr>
          <w:rFonts w:ascii="Times New Roman" w:hAnsi="Times New Roman" w:cs="Times New Roman"/>
          <w:sz w:val="28"/>
          <w:szCs w:val="28"/>
          <w:lang w:val="uk-UA"/>
        </w:rPr>
        <w:t>1 липня 2021 року збирання ранніх зернових і зернобобових культур (без кукурудзи) розпочато господарствами всіх районів. Зернові зібрано на площі 11,7</w:t>
      </w:r>
      <w:r w:rsidR="00AE7DFA" w:rsidRPr="001B5DE3">
        <w:rPr>
          <w:rFonts w:ascii="Times New Roman" w:hAnsi="Times New Roman" w:cs="Times New Roman"/>
          <w:sz w:val="28"/>
          <w:szCs w:val="28"/>
          <w:lang w:val="uk-UA"/>
        </w:rPr>
        <w:t> тис.</w:t>
      </w:r>
      <w:r w:rsidR="00E23ACB" w:rsidRPr="001B5DE3">
        <w:rPr>
          <w:rFonts w:ascii="Times New Roman" w:hAnsi="Times New Roman" w:cs="Times New Roman"/>
          <w:sz w:val="28"/>
          <w:szCs w:val="28"/>
          <w:lang w:val="uk-UA"/>
        </w:rPr>
        <w:t xml:space="preserve"> </w:t>
      </w:r>
      <w:r w:rsidR="00AE7DFA" w:rsidRPr="001B5DE3">
        <w:rPr>
          <w:rFonts w:ascii="Times New Roman" w:hAnsi="Times New Roman" w:cs="Times New Roman"/>
          <w:sz w:val="28"/>
          <w:szCs w:val="28"/>
          <w:lang w:val="uk-UA"/>
        </w:rPr>
        <w:t>га.</w:t>
      </w:r>
      <w:r w:rsidRPr="001B5DE3">
        <w:rPr>
          <w:rFonts w:ascii="Times New Roman" w:hAnsi="Times New Roman" w:cs="Times New Roman"/>
          <w:sz w:val="28"/>
          <w:szCs w:val="28"/>
          <w:lang w:val="uk-UA"/>
        </w:rPr>
        <w:t xml:space="preserve"> </w:t>
      </w:r>
      <w:r w:rsidR="00E23ACB"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сіма категоріями господарств одержано </w:t>
      </w:r>
      <w:r w:rsidR="0089105B"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41,9 тис.</w:t>
      </w:r>
      <w:r w:rsidR="0089105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тонн зерна (у початково оприбуткованій масі), середня урожайність зернових культур становить 4</w:t>
      </w:r>
      <w:r w:rsidR="00E23ACB" w:rsidRPr="001B5DE3">
        <w:rPr>
          <w:rFonts w:ascii="Times New Roman" w:hAnsi="Times New Roman" w:cs="Times New Roman"/>
          <w:sz w:val="28"/>
          <w:szCs w:val="28"/>
          <w:lang w:val="uk-UA"/>
        </w:rPr>
        <w:t>1,8 ц з 1 га, що на 6,4% більше</w:t>
      </w:r>
      <w:r w:rsidRPr="001B5DE3">
        <w:rPr>
          <w:rFonts w:ascii="Times New Roman" w:hAnsi="Times New Roman" w:cs="Times New Roman"/>
          <w:sz w:val="28"/>
          <w:szCs w:val="28"/>
          <w:lang w:val="uk-UA"/>
        </w:rPr>
        <w:t xml:space="preserve"> ніж у минулому році.</w:t>
      </w:r>
      <w:r w:rsidR="00AE7DFA" w:rsidRPr="001B5DE3">
        <w:rPr>
          <w:rFonts w:ascii="Times New Roman" w:hAnsi="Times New Roman" w:cs="Times New Roman"/>
          <w:sz w:val="28"/>
          <w:szCs w:val="28"/>
          <w:lang w:val="uk-UA"/>
        </w:rPr>
        <w:t xml:space="preserve"> П</w:t>
      </w:r>
      <w:r w:rsidRPr="001B5DE3">
        <w:rPr>
          <w:rFonts w:ascii="Times New Roman" w:hAnsi="Times New Roman" w:cs="Times New Roman"/>
          <w:sz w:val="28"/>
          <w:szCs w:val="28"/>
          <w:lang w:val="uk-UA"/>
        </w:rPr>
        <w:t>ідприємствами області з площі 11,7 тис. га зібрано</w:t>
      </w:r>
      <w:r w:rsidR="0089105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49,1 тис. тонн зерна, сердня урожайність склала 41,8 ц з </w:t>
      </w:r>
      <w:r w:rsidR="00516B1B" w:rsidRPr="001B5DE3">
        <w:rPr>
          <w:rFonts w:ascii="Times New Roman" w:hAnsi="Times New Roman" w:cs="Times New Roman"/>
          <w:sz w:val="28"/>
          <w:szCs w:val="28"/>
          <w:lang w:val="uk-UA"/>
        </w:rPr>
        <w:t>1 га</w:t>
      </w:r>
      <w:r w:rsidRPr="001B5DE3">
        <w:rPr>
          <w:rFonts w:ascii="Times New Roman" w:hAnsi="Times New Roman" w:cs="Times New Roman"/>
          <w:sz w:val="28"/>
          <w:szCs w:val="28"/>
          <w:lang w:val="uk-UA"/>
        </w:rPr>
        <w:t xml:space="preserve">, що на </w:t>
      </w:r>
      <w:r w:rsidR="00456034" w:rsidRPr="001B5DE3">
        <w:rPr>
          <w:rFonts w:ascii="Times New Roman" w:hAnsi="Times New Roman" w:cs="Times New Roman"/>
          <w:sz w:val="28"/>
          <w:szCs w:val="28"/>
          <w:lang w:val="uk-UA"/>
        </w:rPr>
        <w:t>2,7% більше</w:t>
      </w:r>
      <w:r w:rsidRPr="001B5DE3">
        <w:rPr>
          <w:rFonts w:ascii="Times New Roman" w:hAnsi="Times New Roman" w:cs="Times New Roman"/>
          <w:sz w:val="28"/>
          <w:szCs w:val="28"/>
          <w:lang w:val="uk-UA"/>
        </w:rPr>
        <w:t xml:space="preserve"> ніж у минулому році.</w:t>
      </w:r>
      <w:r w:rsidR="00AE7DF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Найвищу урожайність</w:t>
      </w:r>
      <w:r w:rsidR="00AE7DFA" w:rsidRPr="001B5DE3">
        <w:rPr>
          <w:rFonts w:ascii="Times New Roman" w:hAnsi="Times New Roman" w:cs="Times New Roman"/>
          <w:sz w:val="28"/>
          <w:szCs w:val="28"/>
          <w:lang w:val="uk-UA"/>
        </w:rPr>
        <w:t xml:space="preserve"> отримано сільгосппідприємствами</w:t>
      </w:r>
      <w:r w:rsidRPr="001B5DE3">
        <w:rPr>
          <w:rFonts w:ascii="Times New Roman" w:hAnsi="Times New Roman" w:cs="Times New Roman"/>
          <w:sz w:val="28"/>
          <w:szCs w:val="28"/>
          <w:lang w:val="uk-UA"/>
        </w:rPr>
        <w:t xml:space="preserve"> Криворізького (46,4</w:t>
      </w:r>
      <w:r w:rsidR="00530E7F"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ц/га) та Синельниківського</w:t>
      </w:r>
      <w:r w:rsidR="0089105B" w:rsidRPr="001B5DE3">
        <w:rPr>
          <w:rFonts w:ascii="Times New Roman" w:hAnsi="Times New Roman" w:cs="Times New Roman"/>
          <w:sz w:val="28"/>
          <w:szCs w:val="28"/>
          <w:lang w:val="uk-UA"/>
        </w:rPr>
        <w:t xml:space="preserve"> </w:t>
      </w:r>
      <w:r w:rsidR="00530E7F" w:rsidRPr="001B5DE3">
        <w:rPr>
          <w:rFonts w:ascii="Times New Roman" w:hAnsi="Times New Roman" w:cs="Times New Roman"/>
          <w:sz w:val="28"/>
          <w:szCs w:val="28"/>
          <w:lang w:val="uk-UA"/>
        </w:rPr>
        <w:t xml:space="preserve">(41,2 </w:t>
      </w:r>
      <w:r w:rsidRPr="001B5DE3">
        <w:rPr>
          <w:rFonts w:ascii="Times New Roman" w:hAnsi="Times New Roman" w:cs="Times New Roman"/>
          <w:sz w:val="28"/>
          <w:szCs w:val="28"/>
          <w:lang w:val="uk-UA"/>
        </w:rPr>
        <w:t>ц/га) районів.</w:t>
      </w:r>
    </w:p>
    <w:p w:rsidR="00647FA7" w:rsidRPr="001B5DE3" w:rsidRDefault="00647FA7" w:rsidP="008B1901">
      <w:pPr>
        <w:shd w:val="clear" w:color="auto" w:fill="FFFFFF"/>
        <w:spacing w:after="0" w:line="240" w:lineRule="auto"/>
        <w:ind w:firstLine="425"/>
        <w:jc w:val="both"/>
        <w:rPr>
          <w:rFonts w:ascii="Times New Roman" w:hAnsi="Times New Roman" w:cs="Times New Roman"/>
          <w:sz w:val="28"/>
          <w:szCs w:val="28"/>
          <w:lang w:val="uk-UA"/>
        </w:rPr>
      </w:pPr>
    </w:p>
    <w:p w:rsidR="00647FA7" w:rsidRPr="001B5DE3" w:rsidRDefault="00647FA7" w:rsidP="008B1901">
      <w:pPr>
        <w:shd w:val="clear" w:color="auto" w:fill="FFFFFF"/>
        <w:spacing w:after="0" w:line="240" w:lineRule="auto"/>
        <w:ind w:firstLine="425"/>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Урожайність зернових культур у підприємствах</w:t>
      </w:r>
    </w:p>
    <w:p w:rsidR="00647FA7" w:rsidRPr="001B5DE3" w:rsidRDefault="00647FA7" w:rsidP="008B1901">
      <w:pPr>
        <w:shd w:val="clear" w:color="auto" w:fill="FFFFFF"/>
        <w:spacing w:after="0" w:line="240" w:lineRule="auto"/>
        <w:ind w:firstLine="425"/>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 по районах у січні</w:t>
      </w:r>
      <w:r w:rsidR="00456034" w:rsidRPr="001B5DE3">
        <w:rPr>
          <w:rFonts w:ascii="Times New Roman" w:hAnsi="Times New Roman" w:cs="Times New Roman"/>
          <w:b/>
          <w:sz w:val="28"/>
          <w:szCs w:val="28"/>
          <w:lang w:val="uk-UA"/>
        </w:rPr>
        <w:t xml:space="preserve"> – </w:t>
      </w:r>
      <w:r w:rsidRPr="001B5DE3">
        <w:rPr>
          <w:rFonts w:ascii="Times New Roman" w:hAnsi="Times New Roman" w:cs="Times New Roman"/>
          <w:b/>
          <w:sz w:val="28"/>
          <w:szCs w:val="28"/>
          <w:lang w:val="uk-UA"/>
        </w:rPr>
        <w:t>червні 2021 року</w:t>
      </w:r>
    </w:p>
    <w:p w:rsidR="00647FA7" w:rsidRPr="001B5DE3" w:rsidRDefault="00647FA7" w:rsidP="008B1901">
      <w:pPr>
        <w:shd w:val="clear" w:color="auto" w:fill="FFFFFF"/>
        <w:spacing w:after="0" w:line="240" w:lineRule="auto"/>
        <w:ind w:firstLine="425"/>
        <w:jc w:val="both"/>
        <w:rPr>
          <w:rFonts w:ascii="Times New Roman" w:hAnsi="Times New Roman" w:cs="Times New Roman"/>
          <w:sz w:val="28"/>
          <w:szCs w:val="28"/>
          <w:lang w:val="uk-UA"/>
        </w:rPr>
      </w:pPr>
    </w:p>
    <w:p w:rsidR="00647FA7" w:rsidRPr="001B5DE3" w:rsidRDefault="00647FA7" w:rsidP="008B1901">
      <w:pPr>
        <w:shd w:val="clear" w:color="auto" w:fill="FFFFFF"/>
        <w:spacing w:after="0" w:line="240" w:lineRule="auto"/>
        <w:ind w:firstLine="425"/>
        <w:jc w:val="both"/>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16C527D5" wp14:editId="2495C343">
            <wp:extent cx="5398936" cy="1956021"/>
            <wp:effectExtent l="0" t="0" r="0"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7A09" w:rsidRDefault="00B27A09" w:rsidP="008B1901">
      <w:pPr>
        <w:autoSpaceDE w:val="0"/>
        <w:autoSpaceDN w:val="0"/>
        <w:adjustRightInd w:val="0"/>
        <w:spacing w:after="0" w:line="240" w:lineRule="auto"/>
        <w:ind w:firstLine="709"/>
        <w:jc w:val="both"/>
        <w:rPr>
          <w:rFonts w:ascii="Times New Roman" w:hAnsi="Times New Roman" w:cs="Times New Roman"/>
          <w:sz w:val="28"/>
          <w:szCs w:val="28"/>
          <w:lang w:val="uk-UA" w:eastAsia="uk-UA"/>
        </w:rPr>
      </w:pPr>
    </w:p>
    <w:p w:rsidR="00647FA7" w:rsidRPr="001B5DE3" w:rsidRDefault="00647FA7" w:rsidP="008B1901">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У січні – червні індекс продукції тваринництва порівняно з січнем – березнем попереднього року становив 109,4%, у т.ч. у підприємствах – 113,7%, у господарствах населення – 95,4%.</w:t>
      </w:r>
    </w:p>
    <w:p w:rsidR="00647FA7" w:rsidRPr="001B5DE3" w:rsidRDefault="00647FA7" w:rsidP="00B27A09">
      <w:pPr>
        <w:autoSpaceDE w:val="0"/>
        <w:autoSpaceDN w:val="0"/>
        <w:adjustRightInd w:val="0"/>
        <w:spacing w:after="0" w:line="247"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lastRenderedPageBreak/>
        <w:t>Обсяги виробництва м’яса (реалізація худоби та птиці на забій у живій вазі) у січні – червні склали 116,7%, молока – 91,2%, яєць – 94,1% порівняно з обсягами січня – червня минулого року.</w:t>
      </w:r>
    </w:p>
    <w:p w:rsidR="00647FA7" w:rsidRPr="001B5DE3" w:rsidRDefault="00647FA7" w:rsidP="00B27A09">
      <w:pPr>
        <w:autoSpaceDE w:val="0"/>
        <w:autoSpaceDN w:val="0"/>
        <w:adjustRightInd w:val="0"/>
        <w:spacing w:after="0" w:line="247"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За шість місяців поточного року господарствами всіх форм власності реалізовано на забій худоби і птиці в живій масі 180,7 тис. тонн, вироблено 118,8 тис. тонн молока, 366,2</w:t>
      </w:r>
      <w:r w:rsidR="00456034"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млн шт. яєць.</w:t>
      </w:r>
    </w:p>
    <w:p w:rsidR="00647FA7" w:rsidRPr="001B5DE3" w:rsidRDefault="00647FA7" w:rsidP="00B27A09">
      <w:pPr>
        <w:autoSpaceDE w:val="0"/>
        <w:autoSpaceDN w:val="0"/>
        <w:adjustRightInd w:val="0"/>
        <w:spacing w:after="0" w:line="247"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Порівняно з аналогічним періодом 2020 року, у всіх категоріях господарств обсяги реалізації на забій худоби та птиці (в живій масі) збільшилися на 16,7%, зменшилося виробництво молока – на 8,8%, яєць – на 5,9%.</w:t>
      </w:r>
    </w:p>
    <w:p w:rsidR="00647FA7" w:rsidRPr="001B5DE3" w:rsidRDefault="00647FA7" w:rsidP="00B27A09">
      <w:pPr>
        <w:autoSpaceDE w:val="0"/>
        <w:autoSpaceDN w:val="0"/>
        <w:adjustRightInd w:val="0"/>
        <w:spacing w:after="0" w:line="247"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У структурі реалізації сільськогосподарських тварин на забій у живій масі частка птиці свійської склала 87%, свиней – 11,6%, великої рогатої худоби – 1,4%.</w:t>
      </w:r>
    </w:p>
    <w:p w:rsidR="00647FA7" w:rsidRPr="001B5DE3" w:rsidRDefault="00647FA7" w:rsidP="00B27A09">
      <w:pPr>
        <w:autoSpaceDE w:val="0"/>
        <w:autoSpaceDN w:val="0"/>
        <w:adjustRightInd w:val="0"/>
        <w:spacing w:after="0" w:line="247"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Найвищих показників з реалізації худоби та птиці досягли підприємства Дніпровського (65,7</w:t>
      </w:r>
      <w:r w:rsidR="00456034"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тис. тонн), Нікопольського (49,0 тис. тонн) та Новомосковського (43,1 тис. тонн) районів.</w:t>
      </w:r>
    </w:p>
    <w:p w:rsidR="00647FA7" w:rsidRPr="001B5DE3" w:rsidRDefault="00647FA7" w:rsidP="008B1901">
      <w:pPr>
        <w:spacing w:after="0" w:line="240" w:lineRule="auto"/>
        <w:jc w:val="center"/>
        <w:rPr>
          <w:rFonts w:ascii="Times New Roman" w:hAnsi="Times New Roman" w:cs="Times New Roman"/>
          <w:b/>
          <w:sz w:val="28"/>
          <w:szCs w:val="28"/>
          <w:lang w:val="uk-UA"/>
        </w:rPr>
      </w:pPr>
    </w:p>
    <w:p w:rsidR="00B408E8"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Реалізація на забій худоби та птиці (в живій масі) у </w:t>
      </w:r>
    </w:p>
    <w:p w:rsidR="00B408E8"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сільгосппідприємствах районів</w:t>
      </w:r>
      <w:r w:rsidR="00530E7F" w:rsidRPr="001B5DE3">
        <w:rPr>
          <w:rFonts w:ascii="Times New Roman" w:hAnsi="Times New Roman" w:cs="Times New Roman"/>
          <w:b/>
          <w:sz w:val="28"/>
          <w:szCs w:val="28"/>
          <w:lang w:val="uk-UA"/>
        </w:rPr>
        <w:t xml:space="preserve"> </w:t>
      </w:r>
    </w:p>
    <w:p w:rsidR="00647FA7"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за січень – червень 2021 року (тис. тонн)</w:t>
      </w:r>
    </w:p>
    <w:p w:rsidR="00647FA7" w:rsidRPr="001B5DE3" w:rsidRDefault="00647FA7" w:rsidP="008B1901">
      <w:pPr>
        <w:spacing w:after="0" w:line="240" w:lineRule="auto"/>
        <w:jc w:val="center"/>
        <w:rPr>
          <w:rFonts w:ascii="Times New Roman" w:hAnsi="Times New Roman" w:cs="Times New Roman"/>
          <w:b/>
          <w:sz w:val="28"/>
          <w:szCs w:val="28"/>
          <w:lang w:val="uk-UA"/>
        </w:rPr>
      </w:pPr>
    </w:p>
    <w:p w:rsidR="00647FA7" w:rsidRPr="001B5DE3" w:rsidRDefault="00647FA7"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noProof/>
          <w:sz w:val="28"/>
          <w:szCs w:val="28"/>
        </w:rPr>
        <w:drawing>
          <wp:inline distT="0" distB="0" distL="0" distR="0" wp14:anchorId="2070B39D" wp14:editId="1EA75272">
            <wp:extent cx="5454594" cy="2282024"/>
            <wp:effectExtent l="0" t="0" r="0" b="444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7FA7" w:rsidRPr="001B5DE3" w:rsidRDefault="00647FA7" w:rsidP="008B1901">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За січень – червень 2021 року на переробні під</w:t>
      </w:r>
      <w:r w:rsidR="00DE3CD3" w:rsidRPr="001B5DE3">
        <w:rPr>
          <w:rFonts w:ascii="Times New Roman" w:hAnsi="Times New Roman" w:cs="Times New Roman"/>
          <w:sz w:val="28"/>
          <w:szCs w:val="28"/>
          <w:lang w:val="uk-UA" w:eastAsia="uk-UA"/>
        </w:rPr>
        <w:t xml:space="preserve">приємства області збільшилися </w:t>
      </w:r>
      <w:r w:rsidRPr="001B5DE3">
        <w:rPr>
          <w:rFonts w:ascii="Times New Roman" w:hAnsi="Times New Roman" w:cs="Times New Roman"/>
          <w:sz w:val="28"/>
          <w:szCs w:val="28"/>
          <w:lang w:val="uk-UA" w:eastAsia="uk-UA"/>
        </w:rPr>
        <w:t>надходження сільськогосподарських тварин (у живій масі)</w:t>
      </w:r>
      <w:r w:rsidR="00D35381"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 xml:space="preserve">– </w:t>
      </w:r>
      <w:r w:rsidR="00DE3CD3" w:rsidRPr="001B5DE3">
        <w:rPr>
          <w:rFonts w:ascii="Times New Roman" w:hAnsi="Times New Roman" w:cs="Times New Roman"/>
          <w:sz w:val="28"/>
          <w:szCs w:val="28"/>
          <w:lang w:val="uk-UA" w:eastAsia="uk-UA"/>
        </w:rPr>
        <w:t xml:space="preserve">на </w:t>
      </w:r>
      <w:r w:rsidRPr="001B5DE3">
        <w:rPr>
          <w:rFonts w:ascii="Times New Roman" w:hAnsi="Times New Roman" w:cs="Times New Roman"/>
          <w:sz w:val="28"/>
          <w:szCs w:val="28"/>
          <w:lang w:val="uk-UA" w:eastAsia="uk-UA"/>
        </w:rPr>
        <w:t>17,6%, зменшилися</w:t>
      </w:r>
      <w:r w:rsidR="00DE3CD3" w:rsidRPr="001B5DE3">
        <w:rPr>
          <w:rFonts w:ascii="Times New Roman" w:hAnsi="Times New Roman" w:cs="Times New Roman"/>
          <w:sz w:val="28"/>
          <w:szCs w:val="28"/>
          <w:lang w:val="uk-UA" w:eastAsia="uk-UA"/>
        </w:rPr>
        <w:t xml:space="preserve"> </w:t>
      </w:r>
      <w:r w:rsidR="00D35381" w:rsidRPr="001B5DE3">
        <w:rPr>
          <w:rFonts w:ascii="Times New Roman" w:hAnsi="Times New Roman" w:cs="Times New Roman"/>
          <w:sz w:val="28"/>
          <w:szCs w:val="28"/>
          <w:lang w:val="uk-UA" w:eastAsia="uk-UA"/>
        </w:rPr>
        <w:t>надходження молока– на 9%</w:t>
      </w:r>
      <w:r w:rsidRPr="001B5DE3">
        <w:rPr>
          <w:rFonts w:ascii="Times New Roman" w:hAnsi="Times New Roman" w:cs="Times New Roman"/>
          <w:sz w:val="28"/>
          <w:szCs w:val="28"/>
          <w:lang w:val="uk-UA" w:eastAsia="uk-UA"/>
        </w:rPr>
        <w:t xml:space="preserve"> порівнян</w:t>
      </w:r>
      <w:r w:rsidR="00D651F9" w:rsidRPr="001B5DE3">
        <w:rPr>
          <w:rFonts w:ascii="Times New Roman" w:hAnsi="Times New Roman" w:cs="Times New Roman"/>
          <w:sz w:val="28"/>
          <w:szCs w:val="28"/>
          <w:lang w:val="uk-UA" w:eastAsia="uk-UA"/>
        </w:rPr>
        <w:t>о</w:t>
      </w:r>
      <w:r w:rsidRPr="001B5DE3">
        <w:rPr>
          <w:rFonts w:ascii="Times New Roman" w:hAnsi="Times New Roman" w:cs="Times New Roman"/>
          <w:sz w:val="28"/>
          <w:szCs w:val="28"/>
          <w:lang w:val="uk-UA" w:eastAsia="uk-UA"/>
        </w:rPr>
        <w:t xml:space="preserve"> </w:t>
      </w:r>
      <w:r w:rsidR="00D651F9" w:rsidRPr="001B5DE3">
        <w:rPr>
          <w:rFonts w:ascii="Times New Roman" w:hAnsi="Times New Roman" w:cs="Times New Roman"/>
          <w:sz w:val="28"/>
          <w:szCs w:val="28"/>
          <w:lang w:val="uk-UA" w:eastAsia="uk-UA"/>
        </w:rPr>
        <w:t>з</w:t>
      </w:r>
      <w:r w:rsidRPr="001B5DE3">
        <w:rPr>
          <w:rFonts w:ascii="Times New Roman" w:hAnsi="Times New Roman" w:cs="Times New Roman"/>
          <w:sz w:val="28"/>
          <w:szCs w:val="28"/>
          <w:lang w:val="uk-UA" w:eastAsia="uk-UA"/>
        </w:rPr>
        <w:t xml:space="preserve"> відповідн</w:t>
      </w:r>
      <w:r w:rsidR="00D651F9" w:rsidRPr="001B5DE3">
        <w:rPr>
          <w:rFonts w:ascii="Times New Roman" w:hAnsi="Times New Roman" w:cs="Times New Roman"/>
          <w:sz w:val="28"/>
          <w:szCs w:val="28"/>
          <w:lang w:val="uk-UA" w:eastAsia="uk-UA"/>
        </w:rPr>
        <w:t>им</w:t>
      </w:r>
      <w:r w:rsidRPr="001B5DE3">
        <w:rPr>
          <w:rFonts w:ascii="Times New Roman" w:hAnsi="Times New Roman" w:cs="Times New Roman"/>
          <w:sz w:val="28"/>
          <w:szCs w:val="28"/>
          <w:lang w:val="uk-UA" w:eastAsia="uk-UA"/>
        </w:rPr>
        <w:t xml:space="preserve"> період</w:t>
      </w:r>
      <w:r w:rsidR="00D651F9" w:rsidRPr="001B5DE3">
        <w:rPr>
          <w:rFonts w:ascii="Times New Roman" w:hAnsi="Times New Roman" w:cs="Times New Roman"/>
          <w:sz w:val="28"/>
          <w:szCs w:val="28"/>
          <w:lang w:val="uk-UA" w:eastAsia="uk-UA"/>
        </w:rPr>
        <w:t>ом</w:t>
      </w:r>
      <w:r w:rsidRPr="001B5DE3">
        <w:rPr>
          <w:rFonts w:ascii="Times New Roman" w:hAnsi="Times New Roman" w:cs="Times New Roman"/>
          <w:sz w:val="28"/>
          <w:szCs w:val="28"/>
          <w:lang w:val="uk-UA" w:eastAsia="uk-UA"/>
        </w:rPr>
        <w:t xml:space="preserve"> минулого року.</w:t>
      </w:r>
    </w:p>
    <w:p w:rsidR="00647FA7" w:rsidRPr="001B5DE3" w:rsidRDefault="00647FA7" w:rsidP="008B1901">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Станом на 01 липня у всіх категоріях господарств утримується великої рогатої худоби 120,8 тис. голів, у тому числі корів – 59,8 тис. голів, свиней – 319,6 тис. голів,</w:t>
      </w:r>
      <w:r w:rsidR="00D651F9"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овець та кіз – 69,7 тис. голів, птиці – 21691,8 тис. голів.</w:t>
      </w:r>
    </w:p>
    <w:p w:rsidR="00647FA7" w:rsidRPr="001B5DE3" w:rsidRDefault="00647FA7" w:rsidP="008B190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Порівняно з відповідною датою 2020 року, збільшилася кількість поголів’я птиці свійської – на 12,5%, зменшилася кількість великої рогатої худоби – на 14,3%, у тому числі корів – на 8,8%; свиней – на</w:t>
      </w:r>
      <w:r w:rsidRPr="001B5DE3">
        <w:rPr>
          <w:rFonts w:ascii="Times New Roman" w:hAnsi="Times New Roman" w:cs="Times New Roman"/>
          <w:sz w:val="28"/>
          <w:szCs w:val="28"/>
          <w:lang w:val="uk-UA"/>
        </w:rPr>
        <w:br/>
        <w:t>9,4%; овець та кіз – на 3,4%.</w:t>
      </w:r>
    </w:p>
    <w:p w:rsidR="00647FA7" w:rsidRPr="001B5DE3" w:rsidRDefault="00647FA7" w:rsidP="007C3299">
      <w:pPr>
        <w:autoSpaceDE w:val="0"/>
        <w:autoSpaceDN w:val="0"/>
        <w:adjustRightInd w:val="0"/>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 xml:space="preserve">В області діє </w:t>
      </w:r>
      <w:r w:rsidR="00D651F9"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анадський</w:t>
      </w:r>
      <w:r w:rsidR="00DE3CD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проєкт “Розвиток молочного бізнесу в Україні” із залученням іноземних інвестицій, спрямований на вирішення проблем, малих та середніх виробників молока шляхом створення та посилення існуючих кооперативів, що пропонують послуги, необхідні для ефективної системи молочного виробництва.</w:t>
      </w:r>
    </w:p>
    <w:p w:rsidR="00647FA7" w:rsidRPr="001B5DE3" w:rsidRDefault="00647FA7" w:rsidP="007C3299">
      <w:pPr>
        <w:autoSpaceDE w:val="0"/>
        <w:autoSpaceDN w:val="0"/>
        <w:adjustRightInd w:val="0"/>
        <w:spacing w:after="0" w:line="252"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rPr>
        <w:t>Розвинуто мережу сільськогосподарських обслуговуючих кооперативів, які об’єднані в регіональне</w:t>
      </w:r>
      <w:r w:rsidRPr="001B5DE3">
        <w:rPr>
          <w:rFonts w:ascii="Times New Roman" w:hAnsi="Times New Roman" w:cs="Times New Roman"/>
          <w:sz w:val="28"/>
          <w:szCs w:val="28"/>
          <w:lang w:val="uk-UA" w:eastAsia="uk-UA"/>
        </w:rPr>
        <w:t xml:space="preserve"> об’єднання сільськогосподарських обслуговуючих кооперативів “Господар”, на</w:t>
      </w:r>
      <w:r w:rsidR="00DE3CD3"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базі яких створено 117 сучасних молокоприймальних пунктів, обладнаних охолоджувачами молока та спеціальним контрольно-вимірювальним обладнанням, що значно впливає на покращення якості молока та збільшення закупівельної ціни.</w:t>
      </w:r>
    </w:p>
    <w:p w:rsidR="00647FA7" w:rsidRPr="001B5DE3" w:rsidRDefault="00647FA7" w:rsidP="007C3299">
      <w:pPr>
        <w:autoSpaceDE w:val="0"/>
        <w:autoSpaceDN w:val="0"/>
        <w:adjustRightInd w:val="0"/>
        <w:spacing w:after="0" w:line="252"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Ефективно працює лабораторія якості молока, яка за допомогою сучасного обладнання здійснює аналіз компонентів молока.</w:t>
      </w:r>
      <w:r w:rsidR="00D65FEA"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У середньому за місяць аналізується до</w:t>
      </w:r>
      <w:r w:rsidR="00D651F9"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5000 зразків молока.</w:t>
      </w:r>
    </w:p>
    <w:p w:rsidR="00647FA7" w:rsidRPr="001B5DE3" w:rsidRDefault="00647FA7" w:rsidP="007C3299">
      <w:pPr>
        <w:autoSpaceDE w:val="0"/>
        <w:autoSpaceDN w:val="0"/>
        <w:adjustRightInd w:val="0"/>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eastAsia="uk-UA"/>
        </w:rPr>
        <w:t>З метою підвищення добробуту сільських родин, забезпечення соціального та економічного розвитку сільських громад створюються сімейні ферми,</w:t>
      </w:r>
      <w:r w:rsidR="00D65FEA"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впроваджуються тренінгові програми та навчання з підвищення теоретичних та практичних навичок для представників сімейних ферм та надаються консультації з фінансової грамотності щодо обрахування доходів та витрат.</w:t>
      </w:r>
    </w:p>
    <w:p w:rsidR="00647FA7" w:rsidRPr="001B5DE3" w:rsidRDefault="00647FA7" w:rsidP="007C3299">
      <w:pPr>
        <w:autoSpaceDE w:val="0"/>
        <w:autoSpaceDN w:val="0"/>
        <w:adjustRightInd w:val="0"/>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2021 році в</w:t>
      </w:r>
      <w:r w:rsidRPr="001B5DE3">
        <w:rPr>
          <w:rFonts w:ascii="Times New Roman" w:hAnsi="Times New Roman" w:cs="Times New Roman"/>
          <w:iCs/>
          <w:sz w:val="28"/>
          <w:szCs w:val="28"/>
          <w:shd w:val="clear" w:color="auto" w:fill="FFFFFF"/>
          <w:lang w:val="uk-UA"/>
        </w:rPr>
        <w:t xml:space="preserve"> області ефективно впроваджуються інвестиційні проєкти за власні кошти господарств підприємств:</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будівництво приміщення для утримання маточного поголів’я свиней на 360 голів (2500 голів поросят у рік) та приміщення для утримання поголів’я свиней на відгодівлі на 3000 голів, вартість проєктів – по 6,0 млн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w:t>
      </w:r>
      <w:r w:rsidRPr="001B5DE3">
        <w:rPr>
          <w:rFonts w:ascii="Times New Roman" w:hAnsi="Times New Roman" w:cs="Times New Roman"/>
          <w:sz w:val="28"/>
          <w:szCs w:val="28"/>
          <w:lang w:val="uk-UA"/>
        </w:rPr>
        <w:br/>
        <w:t>(ФГ “Плантераˮ);</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будівництво приміщення для утримання свиней на 12,0 тис. голів, вартість </w:t>
      </w:r>
      <w:r w:rsidR="00A11347" w:rsidRPr="001B5DE3">
        <w:rPr>
          <w:rFonts w:ascii="Times New Roman" w:hAnsi="Times New Roman" w:cs="Times New Roman"/>
          <w:sz w:val="28"/>
          <w:szCs w:val="28"/>
          <w:lang w:val="uk-UA"/>
        </w:rPr>
        <w:t>про</w:t>
      </w:r>
      <w:r w:rsidR="0047765C" w:rsidRPr="001B5DE3">
        <w:rPr>
          <w:rFonts w:ascii="Times New Roman" w:hAnsi="Times New Roman" w:cs="Times New Roman"/>
          <w:sz w:val="28"/>
          <w:szCs w:val="28"/>
          <w:lang w:val="uk-UA"/>
        </w:rPr>
        <w:t>є</w:t>
      </w:r>
      <w:r w:rsidR="00A11347" w:rsidRPr="001B5DE3">
        <w:rPr>
          <w:rFonts w:ascii="Times New Roman" w:hAnsi="Times New Roman" w:cs="Times New Roman"/>
          <w:sz w:val="28"/>
          <w:szCs w:val="28"/>
          <w:lang w:val="uk-UA"/>
        </w:rPr>
        <w:t xml:space="preserve">кту </w:t>
      </w:r>
      <w:r w:rsidRPr="001B5DE3">
        <w:rPr>
          <w:rFonts w:ascii="Times New Roman" w:hAnsi="Times New Roman" w:cs="Times New Roman"/>
          <w:sz w:val="28"/>
          <w:szCs w:val="28"/>
          <w:lang w:val="uk-UA"/>
        </w:rPr>
        <w:t>– 50 млн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(ТОВ “СтронгІнвест”);</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реконструкція будівлі цеху забою та переробки м’яса птиці на </w:t>
      </w:r>
      <w:r w:rsidRPr="001B5DE3">
        <w:rPr>
          <w:rFonts w:ascii="Times New Roman" w:hAnsi="Times New Roman" w:cs="Times New Roman"/>
          <w:sz w:val="28"/>
          <w:szCs w:val="28"/>
          <w:lang w:val="uk-UA"/>
        </w:rPr>
        <w:br/>
        <w:t>48</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млн голів на рік, вартість </w:t>
      </w:r>
      <w:r w:rsidR="00A11347" w:rsidRPr="001B5DE3">
        <w:rPr>
          <w:rFonts w:ascii="Times New Roman" w:hAnsi="Times New Roman" w:cs="Times New Roman"/>
          <w:sz w:val="28"/>
          <w:szCs w:val="28"/>
          <w:lang w:val="uk-UA"/>
        </w:rPr>
        <w:t>про</w:t>
      </w:r>
      <w:r w:rsidR="0047765C" w:rsidRPr="001B5DE3">
        <w:rPr>
          <w:rFonts w:ascii="Times New Roman" w:hAnsi="Times New Roman" w:cs="Times New Roman"/>
          <w:sz w:val="28"/>
          <w:szCs w:val="28"/>
          <w:lang w:val="uk-UA"/>
        </w:rPr>
        <w:t>є</w:t>
      </w:r>
      <w:r w:rsidR="00A11347" w:rsidRPr="001B5DE3">
        <w:rPr>
          <w:rFonts w:ascii="Times New Roman" w:hAnsi="Times New Roman" w:cs="Times New Roman"/>
          <w:sz w:val="28"/>
          <w:szCs w:val="28"/>
          <w:lang w:val="uk-UA"/>
        </w:rPr>
        <w:t xml:space="preserve">кту </w:t>
      </w:r>
      <w:r w:rsidRPr="001B5DE3">
        <w:rPr>
          <w:rFonts w:ascii="Times New Roman" w:hAnsi="Times New Roman" w:cs="Times New Roman"/>
          <w:sz w:val="28"/>
          <w:szCs w:val="28"/>
          <w:lang w:val="uk-UA"/>
        </w:rPr>
        <w:t>– 125,1 млн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 (ТОВ “Птахокомплекс “Дніпровський”);</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реконструкція частини виробничого корпусу комплексу будівель та споруд комбікормового заводу на 225 тис. тонн комбікорму на рік, вартість </w:t>
      </w:r>
      <w:r w:rsidR="00A11347" w:rsidRPr="001B5DE3">
        <w:rPr>
          <w:rFonts w:ascii="Times New Roman" w:hAnsi="Times New Roman" w:cs="Times New Roman"/>
          <w:sz w:val="28"/>
          <w:szCs w:val="28"/>
          <w:lang w:val="uk-UA"/>
        </w:rPr>
        <w:t>про</w:t>
      </w:r>
      <w:r w:rsidR="0047765C" w:rsidRPr="001B5DE3">
        <w:rPr>
          <w:rFonts w:ascii="Times New Roman" w:hAnsi="Times New Roman" w:cs="Times New Roman"/>
          <w:sz w:val="28"/>
          <w:szCs w:val="28"/>
          <w:lang w:val="uk-UA"/>
        </w:rPr>
        <w:t>є</w:t>
      </w:r>
      <w:r w:rsidR="00A11347" w:rsidRPr="001B5DE3">
        <w:rPr>
          <w:rFonts w:ascii="Times New Roman" w:hAnsi="Times New Roman" w:cs="Times New Roman"/>
          <w:sz w:val="28"/>
          <w:szCs w:val="28"/>
          <w:lang w:val="uk-UA"/>
        </w:rPr>
        <w:t xml:space="preserve">кту </w:t>
      </w:r>
      <w:r w:rsidRPr="001B5DE3">
        <w:rPr>
          <w:rFonts w:ascii="Times New Roman" w:hAnsi="Times New Roman" w:cs="Times New Roman"/>
          <w:sz w:val="28"/>
          <w:szCs w:val="28"/>
          <w:lang w:val="uk-UA"/>
        </w:rPr>
        <w:t>– 49,9 млн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 (ТОВ “Птахокомплекс “Дніпровський”);</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реконструкція комплексу будівель та споруд під свиноферму із закінченим виробничим циклом виробництва на 30,6 тис. голів на рік </w:t>
      </w:r>
      <w:r w:rsidR="000E2B80"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(ТОВ “Маунтекс Агро”);</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реконструкція приміщень ферм під тваринницьку ферму для утримання ВРХ на 300 голів та утримання свиней на 150 голів, вартість проєкту –</w:t>
      </w:r>
      <w:r w:rsidRPr="001B5DE3">
        <w:rPr>
          <w:rFonts w:ascii="Times New Roman" w:hAnsi="Times New Roman" w:cs="Times New Roman"/>
          <w:sz w:val="28"/>
          <w:szCs w:val="28"/>
          <w:lang w:val="uk-UA"/>
        </w:rPr>
        <w:br/>
        <w:t>6,0 млн</w:t>
      </w:r>
      <w:r w:rsidR="00A11347"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 (ТОВ “Олійник-Н”);</w:t>
      </w:r>
    </w:p>
    <w:p w:rsidR="00647FA7" w:rsidRPr="001B5DE3" w:rsidRDefault="00647FA7" w:rsidP="007C3299">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реконструкція племінної ферми з розведення свиней на 7,0 тис. тонн м’яса на рік (ТОВ “Сучасні аграрні інвестиції”), вартість </w:t>
      </w:r>
      <w:r w:rsidR="003357AE" w:rsidRPr="001B5DE3">
        <w:rPr>
          <w:rFonts w:ascii="Times New Roman" w:hAnsi="Times New Roman" w:cs="Times New Roman"/>
          <w:sz w:val="28"/>
          <w:szCs w:val="28"/>
          <w:lang w:val="uk-UA"/>
        </w:rPr>
        <w:t>про</w:t>
      </w:r>
      <w:r w:rsidR="0047765C" w:rsidRPr="001B5DE3">
        <w:rPr>
          <w:rFonts w:ascii="Times New Roman" w:hAnsi="Times New Roman" w:cs="Times New Roman"/>
          <w:sz w:val="28"/>
          <w:szCs w:val="28"/>
          <w:lang w:val="uk-UA"/>
        </w:rPr>
        <w:t>є</w:t>
      </w:r>
      <w:r w:rsidR="003357AE" w:rsidRPr="001B5DE3">
        <w:rPr>
          <w:rFonts w:ascii="Times New Roman" w:hAnsi="Times New Roman" w:cs="Times New Roman"/>
          <w:sz w:val="28"/>
          <w:szCs w:val="28"/>
          <w:lang w:val="uk-UA"/>
        </w:rPr>
        <w:t>кту –</w:t>
      </w:r>
      <w:r w:rsidR="0047765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115 млн грн.</w:t>
      </w:r>
    </w:p>
    <w:p w:rsidR="0047765C" w:rsidRPr="001B5DE3" w:rsidRDefault="0047765C" w:rsidP="001C4464">
      <w:pPr>
        <w:spacing w:after="0" w:line="247" w:lineRule="auto"/>
        <w:rPr>
          <w:rFonts w:ascii="Times New Roman" w:hAnsi="Times New Roman" w:cs="Times New Roman"/>
          <w:b/>
          <w:sz w:val="28"/>
          <w:szCs w:val="28"/>
          <w:lang w:val="uk-UA"/>
        </w:rPr>
      </w:pPr>
    </w:p>
    <w:p w:rsidR="00CC3037" w:rsidRPr="001B5DE3" w:rsidRDefault="00CC3037" w:rsidP="001C4464">
      <w:pPr>
        <w:spacing w:after="0" w:line="247"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Податково-бюджетна діяльність</w:t>
      </w:r>
    </w:p>
    <w:p w:rsidR="00CC3037" w:rsidRPr="001B5DE3" w:rsidRDefault="00CC3037" w:rsidP="001C4464">
      <w:pPr>
        <w:spacing w:after="0" w:line="247" w:lineRule="auto"/>
        <w:rPr>
          <w:rFonts w:ascii="Times New Roman" w:hAnsi="Times New Roman" w:cs="Times New Roman"/>
          <w:sz w:val="28"/>
          <w:szCs w:val="28"/>
          <w:lang w:val="uk-UA"/>
        </w:rPr>
      </w:pPr>
    </w:p>
    <w:p w:rsidR="00656E30" w:rsidRPr="001B5DE3" w:rsidRDefault="00656E30" w:rsidP="008B1901">
      <w:pPr>
        <w:pStyle w:val="21"/>
        <w:spacing w:after="0" w:line="240" w:lineRule="auto"/>
        <w:ind w:firstLine="709"/>
        <w:jc w:val="both"/>
        <w:rPr>
          <w:sz w:val="28"/>
          <w:szCs w:val="28"/>
          <w:lang w:val="uk-UA"/>
        </w:rPr>
      </w:pPr>
      <w:r w:rsidRPr="001B5DE3">
        <w:rPr>
          <w:sz w:val="28"/>
          <w:szCs w:val="28"/>
          <w:lang w:val="uk-UA"/>
        </w:rPr>
        <w:t>З початку року забезпечено підготовку щоденного, щомісячного та квартального</w:t>
      </w:r>
      <w:r w:rsidR="00F90689" w:rsidRPr="001B5DE3">
        <w:rPr>
          <w:sz w:val="28"/>
          <w:szCs w:val="28"/>
          <w:lang w:val="uk-UA"/>
        </w:rPr>
        <w:t xml:space="preserve"> моніторингу для розміщення на </w:t>
      </w:r>
      <w:r w:rsidR="003357AE" w:rsidRPr="001B5DE3">
        <w:rPr>
          <w:sz w:val="28"/>
          <w:szCs w:val="28"/>
          <w:lang w:val="uk-UA"/>
        </w:rPr>
        <w:t>офіційному веб</w:t>
      </w:r>
      <w:r w:rsidRPr="001B5DE3">
        <w:rPr>
          <w:sz w:val="28"/>
          <w:szCs w:val="28"/>
          <w:lang w:val="uk-UA"/>
        </w:rPr>
        <w:t>сайті облдержадміністрації інформації про виконання дохідної частини бюджету області, у тому числі обласного бюджету</w:t>
      </w:r>
      <w:r w:rsidR="00F90689" w:rsidRPr="001B5DE3">
        <w:rPr>
          <w:sz w:val="28"/>
          <w:szCs w:val="28"/>
          <w:lang w:val="uk-UA"/>
        </w:rPr>
        <w:t>.</w:t>
      </w:r>
    </w:p>
    <w:p w:rsidR="00882B32" w:rsidRPr="001B5DE3" w:rsidRDefault="00882B32" w:rsidP="008B1901">
      <w:pPr>
        <w:pStyle w:val="21"/>
        <w:spacing w:after="0" w:line="240" w:lineRule="auto"/>
        <w:ind w:firstLine="709"/>
        <w:jc w:val="both"/>
        <w:rPr>
          <w:sz w:val="28"/>
          <w:szCs w:val="28"/>
          <w:lang w:val="uk-UA"/>
        </w:rPr>
      </w:pPr>
      <w:r w:rsidRPr="001B5DE3">
        <w:rPr>
          <w:sz w:val="28"/>
          <w:szCs w:val="28"/>
          <w:lang w:val="uk-UA"/>
        </w:rPr>
        <w:t>З метою забезпечення збільшення надходжень до місцевих бюджетів області місцевими органами влади та органами Державної податкової служби проведено заход</w:t>
      </w:r>
      <w:r w:rsidR="003357AE" w:rsidRPr="001B5DE3">
        <w:rPr>
          <w:sz w:val="28"/>
          <w:szCs w:val="28"/>
          <w:lang w:val="uk-UA"/>
        </w:rPr>
        <w:t>и</w:t>
      </w:r>
      <w:r w:rsidRPr="001B5DE3">
        <w:rPr>
          <w:sz w:val="28"/>
          <w:szCs w:val="28"/>
          <w:lang w:val="uk-UA"/>
        </w:rPr>
        <w:t xml:space="preserve"> щодо залучення додаткових резервів.</w:t>
      </w:r>
    </w:p>
    <w:p w:rsidR="00882B32" w:rsidRPr="001B5DE3" w:rsidRDefault="005C3C4A" w:rsidP="008B1901">
      <w:pPr>
        <w:pStyle w:val="21"/>
        <w:spacing w:after="0" w:line="240" w:lineRule="auto"/>
        <w:ind w:firstLine="709"/>
        <w:jc w:val="both"/>
        <w:rPr>
          <w:sz w:val="28"/>
          <w:szCs w:val="28"/>
          <w:lang w:val="uk-UA"/>
        </w:rPr>
      </w:pPr>
      <w:r w:rsidRPr="001B5DE3">
        <w:rPr>
          <w:sz w:val="28"/>
          <w:szCs w:val="28"/>
          <w:lang w:val="uk-UA"/>
        </w:rPr>
        <w:t>П</w:t>
      </w:r>
      <w:r w:rsidR="00882B32" w:rsidRPr="001B5DE3">
        <w:rPr>
          <w:sz w:val="28"/>
          <w:szCs w:val="28"/>
          <w:lang w:val="uk-UA"/>
        </w:rPr>
        <w:t>ротягом січня – червня місцевими органами влади області спільно з територіальними органами ДПС продовжено практику проведення засідань комісій органів місцевого самоврядування з питань забезпечення своєчасності і повноти сплати податків і зборів (обов’язкових платежів) до державного та місцевих бюджетів.</w:t>
      </w:r>
    </w:p>
    <w:p w:rsidR="00882B32" w:rsidRPr="001B5DE3" w:rsidRDefault="00882B32" w:rsidP="008B1901">
      <w:pPr>
        <w:pStyle w:val="21"/>
        <w:spacing w:after="0" w:line="240" w:lineRule="auto"/>
        <w:ind w:firstLine="709"/>
        <w:jc w:val="both"/>
        <w:rPr>
          <w:sz w:val="28"/>
          <w:szCs w:val="28"/>
          <w:lang w:val="uk-UA"/>
        </w:rPr>
      </w:pPr>
      <w:r w:rsidRPr="001B5DE3">
        <w:rPr>
          <w:sz w:val="28"/>
          <w:szCs w:val="28"/>
          <w:lang w:val="uk-UA"/>
        </w:rPr>
        <w:t>За інформацією Головного управління Державної податкової служби у</w:t>
      </w:r>
      <w:r w:rsidRPr="001B5DE3">
        <w:rPr>
          <w:sz w:val="28"/>
          <w:szCs w:val="28"/>
        </w:rPr>
        <w:t> </w:t>
      </w:r>
      <w:r w:rsidRPr="001B5DE3">
        <w:rPr>
          <w:sz w:val="28"/>
          <w:szCs w:val="28"/>
          <w:lang w:val="uk-UA"/>
        </w:rPr>
        <w:t xml:space="preserve">Дніпропетровській області, за підсумками роботи комісій з питань легалізації найманої праці та підвищення рівня заробітної плати керівники </w:t>
      </w:r>
      <w:r w:rsidR="00FD596D" w:rsidRPr="001B5DE3">
        <w:rPr>
          <w:sz w:val="28"/>
          <w:szCs w:val="28"/>
          <w:lang w:val="uk-UA"/>
        </w:rPr>
        <w:br/>
        <w:t>4</w:t>
      </w:r>
      <w:r w:rsidRPr="001B5DE3">
        <w:rPr>
          <w:sz w:val="28"/>
          <w:szCs w:val="28"/>
          <w:lang w:val="uk-UA"/>
        </w:rPr>
        <w:t xml:space="preserve">416 підприємств підвищили рівень заробітної плати, додаткові надходження до місцевих бюджетів області податку на доходи фізичних осіб склали </w:t>
      </w:r>
      <w:r w:rsidR="00FD596D" w:rsidRPr="001B5DE3">
        <w:rPr>
          <w:sz w:val="28"/>
          <w:szCs w:val="28"/>
          <w:lang w:val="uk-UA"/>
        </w:rPr>
        <w:br/>
        <w:t xml:space="preserve">16,2 </w:t>
      </w:r>
      <w:r w:rsidRPr="001B5DE3">
        <w:rPr>
          <w:sz w:val="28"/>
          <w:szCs w:val="28"/>
          <w:lang w:val="uk-UA"/>
        </w:rPr>
        <w:t xml:space="preserve">млн грн. </w:t>
      </w:r>
    </w:p>
    <w:p w:rsidR="00882B32" w:rsidRPr="001B5DE3" w:rsidRDefault="00882B32" w:rsidP="008B1901">
      <w:pPr>
        <w:pStyle w:val="21"/>
        <w:spacing w:after="0" w:line="240" w:lineRule="auto"/>
        <w:ind w:firstLine="709"/>
        <w:jc w:val="both"/>
        <w:rPr>
          <w:sz w:val="28"/>
          <w:szCs w:val="28"/>
          <w:lang w:val="uk-UA"/>
        </w:rPr>
      </w:pPr>
      <w:proofErr w:type="gramStart"/>
      <w:r w:rsidRPr="001B5DE3">
        <w:rPr>
          <w:sz w:val="28"/>
          <w:szCs w:val="28"/>
        </w:rPr>
        <w:t>З</w:t>
      </w:r>
      <w:proofErr w:type="gramEnd"/>
      <w:r w:rsidRPr="001B5DE3">
        <w:rPr>
          <w:sz w:val="28"/>
          <w:szCs w:val="28"/>
        </w:rPr>
        <w:t xml:space="preserve"> початку року пога</w:t>
      </w:r>
      <w:r w:rsidRPr="001B5DE3">
        <w:rPr>
          <w:sz w:val="28"/>
          <w:szCs w:val="28"/>
          <w:lang w:val="uk-UA"/>
        </w:rPr>
        <w:t>шено</w:t>
      </w:r>
      <w:r w:rsidRPr="001B5DE3">
        <w:rPr>
          <w:sz w:val="28"/>
          <w:szCs w:val="28"/>
        </w:rPr>
        <w:t xml:space="preserve"> заборгованість із заробітної плати </w:t>
      </w:r>
      <w:r w:rsidRPr="001B5DE3">
        <w:rPr>
          <w:sz w:val="28"/>
          <w:szCs w:val="28"/>
          <w:lang w:val="uk-UA"/>
        </w:rPr>
        <w:t>по</w:t>
      </w:r>
      <w:r w:rsidRPr="001B5DE3">
        <w:rPr>
          <w:sz w:val="28"/>
          <w:szCs w:val="28"/>
        </w:rPr>
        <w:t xml:space="preserve"> </w:t>
      </w:r>
      <w:r w:rsidR="00FD596D" w:rsidRPr="001B5DE3">
        <w:rPr>
          <w:sz w:val="28"/>
          <w:szCs w:val="28"/>
          <w:lang w:val="uk-UA"/>
        </w:rPr>
        <w:br/>
        <w:t xml:space="preserve">68 </w:t>
      </w:r>
      <w:r w:rsidRPr="001B5DE3">
        <w:rPr>
          <w:sz w:val="28"/>
          <w:szCs w:val="28"/>
        </w:rPr>
        <w:t>підприємств</w:t>
      </w:r>
      <w:r w:rsidRPr="001B5DE3">
        <w:rPr>
          <w:sz w:val="28"/>
          <w:szCs w:val="28"/>
          <w:lang w:val="uk-UA"/>
        </w:rPr>
        <w:t>ах</w:t>
      </w:r>
      <w:r w:rsidRPr="001B5DE3">
        <w:rPr>
          <w:sz w:val="28"/>
          <w:szCs w:val="28"/>
        </w:rPr>
        <w:t xml:space="preserve"> області  на</w:t>
      </w:r>
      <w:r w:rsidR="00FD596D" w:rsidRPr="001B5DE3">
        <w:rPr>
          <w:sz w:val="28"/>
          <w:szCs w:val="28"/>
          <w:lang w:val="uk-UA"/>
        </w:rPr>
        <w:t xml:space="preserve"> </w:t>
      </w:r>
      <w:r w:rsidRPr="001B5DE3">
        <w:rPr>
          <w:sz w:val="28"/>
          <w:szCs w:val="28"/>
        </w:rPr>
        <w:t xml:space="preserve">загальну суму </w:t>
      </w:r>
      <w:r w:rsidRPr="001B5DE3">
        <w:rPr>
          <w:sz w:val="28"/>
          <w:szCs w:val="28"/>
          <w:lang w:val="uk-UA"/>
        </w:rPr>
        <w:t>40,5</w:t>
      </w:r>
      <w:r w:rsidRPr="001B5DE3">
        <w:rPr>
          <w:sz w:val="28"/>
          <w:szCs w:val="28"/>
        </w:rPr>
        <w:t xml:space="preserve"> млн грн</w:t>
      </w:r>
      <w:r w:rsidRPr="001B5DE3">
        <w:rPr>
          <w:sz w:val="28"/>
          <w:szCs w:val="28"/>
          <w:lang w:val="uk-UA"/>
        </w:rPr>
        <w:t xml:space="preserve">, додатково </w:t>
      </w:r>
      <w:r w:rsidRPr="001B5DE3">
        <w:rPr>
          <w:sz w:val="28"/>
          <w:szCs w:val="28"/>
        </w:rPr>
        <w:t xml:space="preserve">отримано податку у сумі </w:t>
      </w:r>
      <w:r w:rsidRPr="001B5DE3">
        <w:rPr>
          <w:sz w:val="28"/>
          <w:szCs w:val="28"/>
          <w:lang w:val="uk-UA"/>
        </w:rPr>
        <w:t>4,9</w:t>
      </w:r>
      <w:r w:rsidRPr="001B5DE3">
        <w:rPr>
          <w:sz w:val="28"/>
          <w:szCs w:val="28"/>
        </w:rPr>
        <w:t xml:space="preserve"> млн грн.</w:t>
      </w:r>
      <w:r w:rsidRPr="001B5DE3">
        <w:rPr>
          <w:sz w:val="28"/>
          <w:szCs w:val="28"/>
          <w:lang w:val="uk-UA"/>
        </w:rPr>
        <w:t xml:space="preserve"> </w:t>
      </w:r>
    </w:p>
    <w:p w:rsidR="00882B32" w:rsidRPr="001B5DE3" w:rsidRDefault="00882B32" w:rsidP="008B1901">
      <w:pPr>
        <w:pStyle w:val="21"/>
        <w:spacing w:after="0" w:line="240" w:lineRule="auto"/>
        <w:ind w:firstLine="709"/>
        <w:jc w:val="both"/>
        <w:rPr>
          <w:sz w:val="28"/>
          <w:szCs w:val="28"/>
          <w:lang w:val="uk-UA"/>
        </w:rPr>
      </w:pPr>
      <w:r w:rsidRPr="001B5DE3">
        <w:rPr>
          <w:sz w:val="28"/>
          <w:szCs w:val="28"/>
          <w:lang w:val="uk-UA"/>
        </w:rPr>
        <w:t>Крім того, з</w:t>
      </w:r>
      <w:r w:rsidRPr="001B5DE3">
        <w:rPr>
          <w:sz w:val="28"/>
          <w:szCs w:val="28"/>
        </w:rPr>
        <w:t>а підсумками декларування доходів громадян в області за</w:t>
      </w:r>
      <w:r w:rsidR="00FD596D" w:rsidRPr="001B5DE3">
        <w:rPr>
          <w:sz w:val="28"/>
          <w:szCs w:val="28"/>
          <w:lang w:val="uk-UA"/>
        </w:rPr>
        <w:t xml:space="preserve"> </w:t>
      </w:r>
      <w:r w:rsidRPr="001B5DE3">
        <w:rPr>
          <w:sz w:val="28"/>
          <w:szCs w:val="28"/>
        </w:rPr>
        <w:t>2020</w:t>
      </w:r>
      <w:r w:rsidR="00FD596D" w:rsidRPr="001B5DE3">
        <w:rPr>
          <w:sz w:val="28"/>
          <w:szCs w:val="28"/>
          <w:lang w:val="uk-UA"/>
        </w:rPr>
        <w:t xml:space="preserve"> </w:t>
      </w:r>
      <w:r w:rsidRPr="001B5DE3">
        <w:rPr>
          <w:sz w:val="28"/>
          <w:szCs w:val="28"/>
        </w:rPr>
        <w:t>рік надали декларацію про майновий стан і доходи  громадян та</w:t>
      </w:r>
      <w:r w:rsidR="00FD596D" w:rsidRPr="001B5DE3">
        <w:rPr>
          <w:sz w:val="28"/>
          <w:szCs w:val="28"/>
          <w:lang w:val="uk-UA"/>
        </w:rPr>
        <w:t xml:space="preserve"> </w:t>
      </w:r>
      <w:r w:rsidRPr="001B5DE3">
        <w:rPr>
          <w:sz w:val="28"/>
          <w:szCs w:val="28"/>
        </w:rPr>
        <w:t>фізичних</w:t>
      </w:r>
      <w:r w:rsidR="00FD596D" w:rsidRPr="001B5DE3">
        <w:rPr>
          <w:sz w:val="28"/>
          <w:szCs w:val="28"/>
        </w:rPr>
        <w:t xml:space="preserve"> осіб, які</w:t>
      </w:r>
      <w:r w:rsidR="00FD596D" w:rsidRPr="001B5DE3">
        <w:rPr>
          <w:sz w:val="28"/>
          <w:szCs w:val="28"/>
          <w:lang w:val="uk-UA"/>
        </w:rPr>
        <w:t xml:space="preserve"> </w:t>
      </w:r>
      <w:r w:rsidRPr="001B5DE3">
        <w:rPr>
          <w:sz w:val="28"/>
          <w:szCs w:val="28"/>
        </w:rPr>
        <w:t>провадять незалежну професійну діяльність</w:t>
      </w:r>
      <w:r w:rsidR="00DF6904" w:rsidRPr="001B5DE3">
        <w:rPr>
          <w:sz w:val="28"/>
          <w:szCs w:val="28"/>
          <w:lang w:val="uk-UA"/>
        </w:rPr>
        <w:t>,</w:t>
      </w:r>
      <w:r w:rsidR="000E2B80" w:rsidRPr="001B5DE3">
        <w:rPr>
          <w:sz w:val="28"/>
          <w:szCs w:val="28"/>
          <w:lang w:val="uk-UA"/>
        </w:rPr>
        <w:t xml:space="preserve"> </w:t>
      </w:r>
      <w:r w:rsidR="00457CB8" w:rsidRPr="001B5DE3">
        <w:rPr>
          <w:sz w:val="28"/>
          <w:szCs w:val="28"/>
          <w:lang w:val="uk-UA"/>
        </w:rPr>
        <w:t>43</w:t>
      </w:r>
      <w:r w:rsidRPr="001B5DE3">
        <w:rPr>
          <w:sz w:val="28"/>
          <w:szCs w:val="28"/>
          <w:lang w:val="uk-UA"/>
        </w:rPr>
        <w:t>200 фізичних осіб</w:t>
      </w:r>
      <w:r w:rsidRPr="001B5DE3">
        <w:rPr>
          <w:sz w:val="28"/>
          <w:szCs w:val="28"/>
        </w:rPr>
        <w:t xml:space="preserve">. Задекларована сума доходу склала </w:t>
      </w:r>
      <w:r w:rsidR="00457CB8" w:rsidRPr="001B5DE3">
        <w:rPr>
          <w:sz w:val="28"/>
          <w:szCs w:val="28"/>
          <w:lang w:val="uk-UA"/>
        </w:rPr>
        <w:t>6</w:t>
      </w:r>
      <w:r w:rsidRPr="001B5DE3">
        <w:rPr>
          <w:sz w:val="28"/>
          <w:szCs w:val="28"/>
          <w:lang w:val="uk-UA"/>
        </w:rPr>
        <w:t>623,4</w:t>
      </w:r>
      <w:r w:rsidR="00DF6904" w:rsidRPr="001B5DE3">
        <w:rPr>
          <w:sz w:val="28"/>
          <w:szCs w:val="28"/>
          <w:lang w:val="uk-UA"/>
        </w:rPr>
        <w:t xml:space="preserve"> </w:t>
      </w:r>
      <w:r w:rsidRPr="001B5DE3">
        <w:rPr>
          <w:sz w:val="28"/>
          <w:szCs w:val="28"/>
        </w:rPr>
        <w:t xml:space="preserve">млн грн, </w:t>
      </w:r>
      <w:r w:rsidR="00DF6904" w:rsidRPr="001B5DE3">
        <w:rPr>
          <w:sz w:val="28"/>
          <w:szCs w:val="28"/>
          <w:lang w:val="uk-UA"/>
        </w:rPr>
        <w:t xml:space="preserve">податок до сплати </w:t>
      </w:r>
      <w:r w:rsidR="000E2B80" w:rsidRPr="001B5DE3">
        <w:rPr>
          <w:sz w:val="28"/>
          <w:szCs w:val="28"/>
          <w:lang w:val="uk-UA"/>
        </w:rPr>
        <w:br/>
      </w:r>
      <w:r w:rsidRPr="001B5DE3">
        <w:rPr>
          <w:sz w:val="28"/>
          <w:szCs w:val="28"/>
          <w:lang w:val="uk-UA"/>
        </w:rPr>
        <w:t>58,4</w:t>
      </w:r>
      <w:r w:rsidR="00457CB8" w:rsidRPr="001B5DE3">
        <w:rPr>
          <w:sz w:val="28"/>
          <w:szCs w:val="28"/>
          <w:lang w:val="uk-UA"/>
        </w:rPr>
        <w:t xml:space="preserve"> </w:t>
      </w:r>
      <w:r w:rsidRPr="001B5DE3">
        <w:rPr>
          <w:sz w:val="28"/>
          <w:szCs w:val="28"/>
        </w:rPr>
        <w:t>млн грн.</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За січень – червень до загального фонду місцевих </w:t>
      </w:r>
      <w:r w:rsidR="00457CB8" w:rsidRPr="001B5DE3">
        <w:rPr>
          <w:rFonts w:ascii="Times New Roman" w:hAnsi="Times New Roman" w:cs="Times New Roman"/>
          <w:sz w:val="28"/>
          <w:szCs w:val="28"/>
        </w:rPr>
        <w:t>бюджетів області  надійшло 17</w:t>
      </w:r>
      <w:r w:rsidRPr="001B5DE3">
        <w:rPr>
          <w:rFonts w:ascii="Times New Roman" w:hAnsi="Times New Roman" w:cs="Times New Roman"/>
          <w:sz w:val="28"/>
          <w:szCs w:val="28"/>
        </w:rPr>
        <w:t>636,3 млн грн податків, зборів та інших платежів, що склало 107,3</w:t>
      </w:r>
      <w:r w:rsidR="00457CB8" w:rsidRPr="001B5DE3">
        <w:rPr>
          <w:rFonts w:ascii="Times New Roman" w:hAnsi="Times New Roman" w:cs="Times New Roman"/>
          <w:sz w:val="28"/>
          <w:szCs w:val="28"/>
        </w:rPr>
        <w:t xml:space="preserve">% </w:t>
      </w:r>
      <w:proofErr w:type="gramStart"/>
      <w:r w:rsidR="00457CB8" w:rsidRPr="001B5DE3">
        <w:rPr>
          <w:rFonts w:ascii="Times New Roman" w:hAnsi="Times New Roman" w:cs="Times New Roman"/>
          <w:sz w:val="28"/>
          <w:szCs w:val="28"/>
        </w:rPr>
        <w:t>до</w:t>
      </w:r>
      <w:proofErr w:type="gramEnd"/>
      <w:r w:rsidR="00457CB8" w:rsidRPr="001B5DE3">
        <w:rPr>
          <w:rFonts w:ascii="Times New Roman" w:hAnsi="Times New Roman" w:cs="Times New Roman"/>
          <w:sz w:val="28"/>
          <w:szCs w:val="28"/>
        </w:rPr>
        <w:t xml:space="preserve"> плану звітного періоду (+1205,3</w:t>
      </w:r>
      <w:r w:rsidR="00457CB8"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млн грн).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Планові показники не виконано по </w:t>
      </w:r>
      <w:proofErr w:type="gramStart"/>
      <w:r w:rsidRPr="001B5DE3">
        <w:rPr>
          <w:rFonts w:ascii="Times New Roman" w:hAnsi="Times New Roman" w:cs="Times New Roman"/>
          <w:sz w:val="28"/>
          <w:szCs w:val="28"/>
        </w:rPr>
        <w:t>бюджетах</w:t>
      </w:r>
      <w:proofErr w:type="gramEnd"/>
      <w:r w:rsidRPr="001B5DE3">
        <w:rPr>
          <w:rFonts w:ascii="Times New Roman" w:hAnsi="Times New Roman" w:cs="Times New Roman"/>
          <w:sz w:val="28"/>
          <w:szCs w:val="28"/>
        </w:rPr>
        <w:t xml:space="preserve"> 14 територіальн</w:t>
      </w:r>
      <w:r w:rsidR="009872CB" w:rsidRPr="001B5DE3">
        <w:rPr>
          <w:rFonts w:ascii="Times New Roman" w:hAnsi="Times New Roman" w:cs="Times New Roman"/>
          <w:sz w:val="28"/>
          <w:szCs w:val="28"/>
          <w:lang w:val="uk-UA"/>
        </w:rPr>
        <w:t>их</w:t>
      </w:r>
      <w:r w:rsidRPr="001B5DE3">
        <w:rPr>
          <w:rFonts w:ascii="Times New Roman" w:hAnsi="Times New Roman" w:cs="Times New Roman"/>
          <w:sz w:val="28"/>
          <w:szCs w:val="28"/>
        </w:rPr>
        <w:t xml:space="preserve"> гром</w:t>
      </w:r>
      <w:r w:rsidR="009872CB" w:rsidRPr="001B5DE3">
        <w:rPr>
          <w:rFonts w:ascii="Times New Roman" w:hAnsi="Times New Roman" w:cs="Times New Roman"/>
          <w:sz w:val="28"/>
          <w:szCs w:val="28"/>
        </w:rPr>
        <w:t>ад</w:t>
      </w:r>
      <w:r w:rsidRPr="001B5DE3">
        <w:rPr>
          <w:rFonts w:ascii="Times New Roman" w:hAnsi="Times New Roman" w:cs="Times New Roman"/>
          <w:sz w:val="28"/>
          <w:szCs w:val="28"/>
        </w:rPr>
        <w:t xml:space="preserve"> на загальну суму 92,0 млн грн.</w:t>
      </w:r>
    </w:p>
    <w:p w:rsidR="00882B32" w:rsidRPr="001B5DE3" w:rsidRDefault="00882B32" w:rsidP="008B1901">
      <w:pPr>
        <w:spacing w:after="0" w:line="240" w:lineRule="auto"/>
        <w:ind w:firstLine="1560"/>
        <w:jc w:val="both"/>
        <w:rPr>
          <w:rFonts w:ascii="Times New Roman" w:hAnsi="Times New Roman" w:cs="Times New Roman"/>
          <w:sz w:val="28"/>
          <w:szCs w:val="28"/>
        </w:rPr>
      </w:pPr>
      <w:r w:rsidRPr="001B5DE3">
        <w:rPr>
          <w:rFonts w:ascii="Times New Roman" w:hAnsi="Times New Roman" w:cs="Times New Roman"/>
          <w:noProof/>
          <w:sz w:val="28"/>
          <w:szCs w:val="28"/>
        </w:rPr>
        <w:drawing>
          <wp:inline distT="0" distB="0" distL="0" distR="0" wp14:anchorId="1412B309" wp14:editId="2C6B2F05">
            <wp:extent cx="4029075" cy="2139406"/>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cstate="print"/>
                    <a:srcRect t="10332" r="18997" b="42400"/>
                    <a:stretch>
                      <a:fillRect/>
                    </a:stretch>
                  </pic:blipFill>
                  <pic:spPr bwMode="auto">
                    <a:xfrm>
                      <a:off x="0" y="0"/>
                      <a:ext cx="4035180" cy="2142648"/>
                    </a:xfrm>
                    <a:prstGeom prst="rect">
                      <a:avLst/>
                    </a:prstGeom>
                    <a:noFill/>
                  </pic:spPr>
                </pic:pic>
              </a:graphicData>
            </a:graphic>
          </wp:inline>
        </w:drawing>
      </w:r>
    </w:p>
    <w:p w:rsidR="00882B32" w:rsidRPr="001B5DE3" w:rsidRDefault="00882B32" w:rsidP="00014F69">
      <w:pPr>
        <w:spacing w:after="0" w:line="216"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Найнижчий рівень виконання планових</w:t>
      </w:r>
      <w:r w:rsidR="00457CB8" w:rsidRPr="001B5DE3">
        <w:rPr>
          <w:rFonts w:ascii="Times New Roman" w:hAnsi="Times New Roman" w:cs="Times New Roman"/>
          <w:sz w:val="28"/>
          <w:szCs w:val="28"/>
          <w:lang w:val="uk-UA"/>
        </w:rPr>
        <w:t xml:space="preserve"> показників загального фонду по </w:t>
      </w:r>
      <w:r w:rsidRPr="001B5DE3">
        <w:rPr>
          <w:rFonts w:ascii="Times New Roman" w:hAnsi="Times New Roman" w:cs="Times New Roman"/>
          <w:sz w:val="28"/>
          <w:szCs w:val="28"/>
          <w:lang w:val="uk-UA"/>
        </w:rPr>
        <w:t>Роздорській селищній (78,3%), Богданівській сільській (79,6%), Миколаївській сільській Синельниківського району (83,6%), Тернівській та Покровській міських (83,8%), Троїцькій сільській (87,3%) територіальних громадах.</w:t>
      </w:r>
    </w:p>
    <w:p w:rsidR="00882B32" w:rsidRPr="001B5DE3" w:rsidRDefault="00882B32" w:rsidP="00014F69">
      <w:pPr>
        <w:spacing w:after="0" w:line="216"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Відносно січня – червня 2020 року доходи загального фон</w:t>
      </w:r>
      <w:r w:rsidR="00457CB8" w:rsidRPr="001B5DE3">
        <w:rPr>
          <w:rFonts w:ascii="Times New Roman" w:hAnsi="Times New Roman" w:cs="Times New Roman"/>
          <w:sz w:val="28"/>
          <w:szCs w:val="28"/>
        </w:rPr>
        <w:t xml:space="preserve">ду </w:t>
      </w:r>
      <w:proofErr w:type="gramStart"/>
      <w:r w:rsidR="00457CB8" w:rsidRPr="001B5DE3">
        <w:rPr>
          <w:rFonts w:ascii="Times New Roman" w:hAnsi="Times New Roman" w:cs="Times New Roman"/>
          <w:sz w:val="28"/>
          <w:szCs w:val="28"/>
        </w:rPr>
        <w:t>у</w:t>
      </w:r>
      <w:proofErr w:type="gramEnd"/>
      <w:r w:rsidR="00457CB8" w:rsidRPr="001B5DE3">
        <w:rPr>
          <w:rFonts w:ascii="Times New Roman" w:hAnsi="Times New Roman" w:cs="Times New Roman"/>
          <w:sz w:val="28"/>
          <w:szCs w:val="28"/>
        </w:rPr>
        <w:t xml:space="preserve"> поточному році зросли на 3</w:t>
      </w:r>
      <w:r w:rsidRPr="001B5DE3">
        <w:rPr>
          <w:rFonts w:ascii="Times New Roman" w:hAnsi="Times New Roman" w:cs="Times New Roman"/>
          <w:sz w:val="28"/>
          <w:szCs w:val="28"/>
        </w:rPr>
        <w:t xml:space="preserve">996,9 млн грн або  на 29,3%. </w:t>
      </w:r>
    </w:p>
    <w:p w:rsidR="00882B32" w:rsidRPr="001B5DE3" w:rsidRDefault="00882B32" w:rsidP="00014F69">
      <w:pPr>
        <w:spacing w:after="0" w:line="216"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Найбільшого зростання доходів до аналогічного періоду минулого </w:t>
      </w:r>
      <w:r w:rsidRPr="001B5DE3">
        <w:rPr>
          <w:rFonts w:ascii="Times New Roman" w:hAnsi="Times New Roman" w:cs="Times New Roman"/>
          <w:sz w:val="28"/>
          <w:szCs w:val="28"/>
        </w:rPr>
        <w:br/>
        <w:t>року досягли такі територіальні громади: серед міських – Криворізька – 31,1% й</w:t>
      </w:r>
      <w:proofErr w:type="gramStart"/>
      <w:r w:rsidRPr="001B5DE3">
        <w:rPr>
          <w:rFonts w:ascii="Times New Roman" w:hAnsi="Times New Roman" w:cs="Times New Roman"/>
          <w:sz w:val="28"/>
          <w:szCs w:val="28"/>
        </w:rPr>
        <w:t xml:space="preserve"> В</w:t>
      </w:r>
      <w:proofErr w:type="gramEnd"/>
      <w:r w:rsidRPr="001B5DE3">
        <w:rPr>
          <w:rFonts w:ascii="Times New Roman" w:hAnsi="Times New Roman" w:cs="Times New Roman"/>
          <w:sz w:val="28"/>
          <w:szCs w:val="28"/>
        </w:rPr>
        <w:t>ільногірська – 28,8%</w:t>
      </w:r>
      <w:r w:rsidR="00457CB8" w:rsidRPr="001B5DE3">
        <w:rPr>
          <w:rFonts w:ascii="Times New Roman" w:hAnsi="Times New Roman" w:cs="Times New Roman"/>
          <w:sz w:val="28"/>
          <w:szCs w:val="28"/>
        </w:rPr>
        <w:t xml:space="preserve">, серед сільських (селищних) – </w:t>
      </w:r>
      <w:r w:rsidRPr="001B5DE3">
        <w:rPr>
          <w:rFonts w:ascii="Times New Roman" w:hAnsi="Times New Roman" w:cs="Times New Roman"/>
          <w:sz w:val="28"/>
          <w:szCs w:val="28"/>
        </w:rPr>
        <w:t xml:space="preserve">Глеюватська сільська – 85,6%, Затишнянська сільська – 51,2%, </w:t>
      </w:r>
      <w:r w:rsidR="00457CB8" w:rsidRPr="001B5DE3">
        <w:rPr>
          <w:rFonts w:ascii="Times New Roman" w:hAnsi="Times New Roman" w:cs="Times New Roman"/>
          <w:sz w:val="28"/>
          <w:szCs w:val="28"/>
        </w:rPr>
        <w:t>Нивотрудівська сільська – 43,2%</w:t>
      </w:r>
      <w:r w:rsidR="00457CB8" w:rsidRPr="001B5DE3">
        <w:rPr>
          <w:rFonts w:ascii="Times New Roman" w:hAnsi="Times New Roman" w:cs="Times New Roman"/>
          <w:sz w:val="28"/>
          <w:szCs w:val="28"/>
          <w:lang w:val="uk-UA"/>
        </w:rPr>
        <w:t>,</w:t>
      </w:r>
      <w:r w:rsidRPr="001B5DE3">
        <w:rPr>
          <w:rFonts w:ascii="Times New Roman" w:hAnsi="Times New Roman" w:cs="Times New Roman"/>
          <w:sz w:val="28"/>
          <w:szCs w:val="28"/>
        </w:rPr>
        <w:t xml:space="preserve"> Личківська  сільська –</w:t>
      </w:r>
      <w:r w:rsidR="009872C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39,6%.  </w:t>
      </w:r>
    </w:p>
    <w:p w:rsidR="00882B32" w:rsidRPr="001B5DE3" w:rsidRDefault="00882B32" w:rsidP="00014F69">
      <w:pPr>
        <w:spacing w:after="0" w:line="216"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rPr>
        <w:t>Не забезпечено зростання надходжень до загального фонду відносно аналогічного періоду минулого року по 11 територіальних громадах.</w:t>
      </w:r>
    </w:p>
    <w:p w:rsidR="00882B32" w:rsidRPr="001B5DE3" w:rsidRDefault="002502FD" w:rsidP="008B190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91" type="#_x0000_t202" style="position:absolute;left:0;text-align:left;margin-left:90.45pt;margin-top:4.05pt;width:356.25pt;height:57.55pt;z-index:251700224" strokecolor="white [3212]">
            <v:textbox>
              <w:txbxContent>
                <w:p w:rsidR="000710D4" w:rsidRPr="00283960" w:rsidRDefault="000710D4" w:rsidP="00283960">
                  <w:pPr>
                    <w:jc w:val="center"/>
                    <w:rPr>
                      <w:rFonts w:ascii="Times New Roman" w:hAnsi="Times New Roman" w:cs="Times New Roman"/>
                      <w:b/>
                      <w:sz w:val="24"/>
                      <w:szCs w:val="24"/>
                      <w:lang w:val="uk-UA"/>
                    </w:rPr>
                  </w:pPr>
                  <w:r w:rsidRPr="00283960">
                    <w:rPr>
                      <w:rFonts w:ascii="Times New Roman" w:hAnsi="Times New Roman" w:cs="Times New Roman"/>
                      <w:b/>
                      <w:sz w:val="24"/>
                      <w:szCs w:val="24"/>
                      <w:lang w:val="uk-UA"/>
                    </w:rPr>
                    <w:t>Місцеві бюджети, по яких відбулося найбільше зниження доходів загального фонду за І півріччя 2021 року у порівнянні з аналогічним періодом минулого року, тис. грн</w:t>
                  </w:r>
                </w:p>
              </w:txbxContent>
            </v:textbox>
          </v:shape>
        </w:pict>
      </w:r>
      <w:r w:rsidR="00882B32" w:rsidRPr="001B5DE3">
        <w:rPr>
          <w:rFonts w:ascii="Times New Roman" w:hAnsi="Times New Roman" w:cs="Times New Roman"/>
          <w:noProof/>
          <w:sz w:val="28"/>
          <w:szCs w:val="28"/>
        </w:rPr>
        <w:drawing>
          <wp:inline distT="0" distB="0" distL="0" distR="0" wp14:anchorId="26F7A8FC" wp14:editId="061AA10B">
            <wp:extent cx="4962525" cy="2628207"/>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clrChange>
                        <a:clrFrom>
                          <a:srgbClr val="FFFFFF"/>
                        </a:clrFrom>
                        <a:clrTo>
                          <a:srgbClr val="FFFFFF">
                            <a:alpha val="0"/>
                          </a:srgbClr>
                        </a:clrTo>
                      </a:clrChange>
                    </a:blip>
                    <a:srcRect t="3999" b="3574"/>
                    <a:stretch>
                      <a:fillRect/>
                    </a:stretch>
                  </pic:blipFill>
                  <pic:spPr bwMode="auto">
                    <a:xfrm>
                      <a:off x="0" y="0"/>
                      <a:ext cx="4970881" cy="2632632"/>
                    </a:xfrm>
                    <a:prstGeom prst="rect">
                      <a:avLst/>
                    </a:prstGeom>
                    <a:noFill/>
                  </pic:spPr>
                </pic:pic>
              </a:graphicData>
            </a:graphic>
          </wp:inline>
        </w:drawing>
      </w:r>
    </w:p>
    <w:p w:rsidR="00882B32" w:rsidRPr="001B5DE3" w:rsidRDefault="00882B32" w:rsidP="00014F69">
      <w:pPr>
        <w:spacing w:after="0" w:line="216"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Податку на доходи фізичних</w:t>
      </w:r>
      <w:r w:rsidR="00457CB8" w:rsidRPr="001B5DE3">
        <w:rPr>
          <w:rFonts w:ascii="Times New Roman" w:hAnsi="Times New Roman" w:cs="Times New Roman"/>
          <w:sz w:val="28"/>
          <w:szCs w:val="28"/>
        </w:rPr>
        <w:t xml:space="preserve"> осіб з початку року надійшло</w:t>
      </w:r>
      <w:r w:rsidR="000846CA">
        <w:rPr>
          <w:rFonts w:ascii="Times New Roman" w:hAnsi="Times New Roman" w:cs="Times New Roman"/>
          <w:sz w:val="28"/>
          <w:szCs w:val="28"/>
          <w:lang w:val="uk-UA"/>
        </w:rPr>
        <w:t xml:space="preserve"> </w:t>
      </w:r>
      <w:r w:rsidR="00457CB8" w:rsidRPr="001B5DE3">
        <w:rPr>
          <w:rFonts w:ascii="Times New Roman" w:hAnsi="Times New Roman" w:cs="Times New Roman"/>
          <w:sz w:val="28"/>
          <w:szCs w:val="28"/>
        </w:rPr>
        <w:t>9903,2 млн грн або 104,0% до плану та на 1</w:t>
      </w:r>
      <w:r w:rsidRPr="001B5DE3">
        <w:rPr>
          <w:rFonts w:ascii="Times New Roman" w:hAnsi="Times New Roman" w:cs="Times New Roman"/>
          <w:sz w:val="28"/>
          <w:szCs w:val="28"/>
        </w:rPr>
        <w:t>227,4 млн грн або 14,1% біл</w:t>
      </w:r>
      <w:r w:rsidR="000B7F0E" w:rsidRPr="001B5DE3">
        <w:rPr>
          <w:rFonts w:ascii="Times New Roman" w:hAnsi="Times New Roman" w:cs="Times New Roman"/>
          <w:sz w:val="28"/>
          <w:szCs w:val="28"/>
        </w:rPr>
        <w:t>ьше надходжень минулого року за</w:t>
      </w:r>
      <w:r w:rsidR="000B7F0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рахунок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ідвищення розміру заробітної плати працівників, зайнятих в економіці та у бюджетній сфері, та вжиття місцевими органами влади та органами Державної фіскальної служби заходів, спрямованих на забезпечення дотримання суб’єктами господарювання норм податкового законодавства та законодавства про працю.</w:t>
      </w:r>
    </w:p>
    <w:p w:rsidR="00882B32" w:rsidRPr="001B5DE3" w:rsidRDefault="00882B32" w:rsidP="00014F69">
      <w:pPr>
        <w:spacing w:after="0" w:line="216"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Планові показники зві</w:t>
      </w:r>
      <w:r w:rsidR="000B7F0E" w:rsidRPr="001B5DE3">
        <w:rPr>
          <w:rFonts w:ascii="Times New Roman" w:hAnsi="Times New Roman" w:cs="Times New Roman"/>
          <w:sz w:val="28"/>
          <w:szCs w:val="28"/>
        </w:rPr>
        <w:t>тного періоду не виконано по 19</w:t>
      </w:r>
      <w:r w:rsidR="000B7F0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територіальних </w:t>
      </w:r>
      <w:proofErr w:type="gramStart"/>
      <w:r w:rsidRPr="001B5DE3">
        <w:rPr>
          <w:rFonts w:ascii="Times New Roman" w:hAnsi="Times New Roman" w:cs="Times New Roman"/>
          <w:sz w:val="28"/>
          <w:szCs w:val="28"/>
        </w:rPr>
        <w:t>громадах</w:t>
      </w:r>
      <w:proofErr w:type="gramEnd"/>
      <w:r w:rsidRPr="001B5DE3">
        <w:rPr>
          <w:rFonts w:ascii="Times New Roman" w:hAnsi="Times New Roman" w:cs="Times New Roman"/>
          <w:sz w:val="28"/>
          <w:szCs w:val="28"/>
        </w:rPr>
        <w:t xml:space="preserve"> та обласному бюджету.</w:t>
      </w:r>
    </w:p>
    <w:p w:rsidR="00882B32" w:rsidRPr="001B5DE3" w:rsidRDefault="00882B32" w:rsidP="00702094">
      <w:pPr>
        <w:spacing w:after="0" w:line="240" w:lineRule="auto"/>
        <w:jc w:val="center"/>
        <w:rPr>
          <w:rFonts w:ascii="Times New Roman" w:hAnsi="Times New Roman" w:cs="Times New Roman"/>
          <w:sz w:val="28"/>
          <w:szCs w:val="28"/>
        </w:rPr>
      </w:pPr>
      <w:r w:rsidRPr="001B5DE3">
        <w:rPr>
          <w:rFonts w:ascii="Times New Roman" w:hAnsi="Times New Roman" w:cs="Times New Roman"/>
          <w:noProof/>
          <w:sz w:val="28"/>
          <w:szCs w:val="28"/>
        </w:rPr>
        <w:drawing>
          <wp:inline distT="0" distB="0" distL="0" distR="0" wp14:anchorId="46A0E023" wp14:editId="24C380F3">
            <wp:extent cx="5191125" cy="2489362"/>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cstate="print"/>
                    <a:srcRect t="5740" b="2148"/>
                    <a:stretch>
                      <a:fillRect/>
                    </a:stretch>
                  </pic:blipFill>
                  <pic:spPr bwMode="auto">
                    <a:xfrm>
                      <a:off x="0" y="0"/>
                      <a:ext cx="5191125" cy="2489362"/>
                    </a:xfrm>
                    <a:prstGeom prst="rect">
                      <a:avLst/>
                    </a:prstGeom>
                    <a:noFill/>
                  </pic:spPr>
                </pic:pic>
              </a:graphicData>
            </a:graphic>
          </wp:inline>
        </w:drawing>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lastRenderedPageBreak/>
        <w:t xml:space="preserve">Зменшення надходжень податку на доходи фізичних осіб відносно аналогічного періоду минулого року відбулося по 12 територіальних громадах, найбільш суттєве </w:t>
      </w:r>
      <w:proofErr w:type="gramStart"/>
      <w:r w:rsidRPr="001B5DE3">
        <w:rPr>
          <w:rFonts w:ascii="Times New Roman" w:hAnsi="Times New Roman" w:cs="Times New Roman"/>
          <w:sz w:val="28"/>
          <w:szCs w:val="28"/>
        </w:rPr>
        <w:t>по</w:t>
      </w:r>
      <w:proofErr w:type="gramEnd"/>
      <w:r w:rsidRPr="001B5DE3">
        <w:rPr>
          <w:rFonts w:ascii="Times New Roman" w:hAnsi="Times New Roman" w:cs="Times New Roman"/>
          <w:sz w:val="28"/>
          <w:szCs w:val="28"/>
        </w:rPr>
        <w:t>: Черкаській селищній (-22,2%), Миколаївській сіль</w:t>
      </w:r>
      <w:r w:rsidR="000B7F0E" w:rsidRPr="001B5DE3">
        <w:rPr>
          <w:rFonts w:ascii="Times New Roman" w:hAnsi="Times New Roman" w:cs="Times New Roman"/>
          <w:sz w:val="28"/>
          <w:szCs w:val="28"/>
        </w:rPr>
        <w:t xml:space="preserve">ській Синельниківського району </w:t>
      </w:r>
      <w:r w:rsidRPr="001B5DE3">
        <w:rPr>
          <w:rFonts w:ascii="Times New Roman" w:hAnsi="Times New Roman" w:cs="Times New Roman"/>
          <w:sz w:val="28"/>
          <w:szCs w:val="28"/>
        </w:rPr>
        <w:t>(- 18,8%), Троїцькій сільській (</w:t>
      </w:r>
      <w:r w:rsidR="000B7F0E" w:rsidRPr="001B5DE3">
        <w:rPr>
          <w:rFonts w:ascii="Times New Roman" w:hAnsi="Times New Roman" w:cs="Times New Roman"/>
          <w:sz w:val="28"/>
          <w:szCs w:val="28"/>
          <w:lang w:val="uk-UA"/>
        </w:rPr>
        <w:t>-</w:t>
      </w:r>
      <w:r w:rsidRPr="001B5DE3">
        <w:rPr>
          <w:rFonts w:ascii="Times New Roman" w:hAnsi="Times New Roman" w:cs="Times New Roman"/>
          <w:sz w:val="28"/>
          <w:szCs w:val="28"/>
        </w:rPr>
        <w:t>12,2%), Зайцівській сільській (-10,7%), Бог</w:t>
      </w:r>
      <w:r w:rsidR="000B7F0E" w:rsidRPr="001B5DE3">
        <w:rPr>
          <w:rFonts w:ascii="Times New Roman" w:hAnsi="Times New Roman" w:cs="Times New Roman"/>
          <w:sz w:val="28"/>
          <w:szCs w:val="28"/>
        </w:rPr>
        <w:t xml:space="preserve">данівській сільській (-10,0%), </w:t>
      </w:r>
      <w:r w:rsidRPr="001B5DE3">
        <w:rPr>
          <w:rFonts w:ascii="Times New Roman" w:hAnsi="Times New Roman" w:cs="Times New Roman"/>
          <w:sz w:val="28"/>
          <w:szCs w:val="28"/>
        </w:rPr>
        <w:t xml:space="preserve">Тернівській міській </w:t>
      </w:r>
      <w:r w:rsidR="005053EB" w:rsidRPr="001B5DE3">
        <w:rPr>
          <w:rFonts w:ascii="Times New Roman" w:hAnsi="Times New Roman" w:cs="Times New Roman"/>
          <w:sz w:val="28"/>
          <w:szCs w:val="28"/>
          <w:lang w:val="uk-UA"/>
        </w:rPr>
        <w:br/>
      </w:r>
      <w:r w:rsidRPr="001B5DE3">
        <w:rPr>
          <w:rFonts w:ascii="Times New Roman" w:hAnsi="Times New Roman" w:cs="Times New Roman"/>
          <w:sz w:val="28"/>
          <w:szCs w:val="28"/>
        </w:rPr>
        <w:t>(-9,6%).</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Найбільш суттєве зростання відбулося по: Нивотрудівській на 84,1%, Покровській – 50,6%, Любимівській – 49,3%, Новоолександрівській – 47,6%, Вакулівській – 41,4%,  Глеюватській – 40,9%</w:t>
      </w:r>
      <w:r w:rsidR="007C7168" w:rsidRPr="001B5DE3">
        <w:rPr>
          <w:rFonts w:ascii="Times New Roman" w:hAnsi="Times New Roman" w:cs="Times New Roman"/>
          <w:sz w:val="28"/>
          <w:szCs w:val="28"/>
        </w:rPr>
        <w:t>, Личківська та Перещепинська –</w:t>
      </w:r>
      <w:r w:rsidR="007C7168"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3</w:t>
      </w:r>
      <w:r w:rsidR="007C7168" w:rsidRPr="001B5DE3">
        <w:rPr>
          <w:rFonts w:ascii="Times New Roman" w:hAnsi="Times New Roman" w:cs="Times New Roman"/>
          <w:sz w:val="28"/>
          <w:szCs w:val="28"/>
        </w:rPr>
        <w:t>7,8%, Дубовиківська</w:t>
      </w:r>
      <w:r w:rsidR="007C7168" w:rsidRPr="001B5DE3">
        <w:rPr>
          <w:rFonts w:ascii="Times New Roman" w:hAnsi="Times New Roman" w:cs="Times New Roman"/>
          <w:sz w:val="28"/>
          <w:szCs w:val="28"/>
          <w:lang w:val="uk-UA"/>
        </w:rPr>
        <w:t xml:space="preserve"> </w:t>
      </w:r>
      <w:r w:rsidR="007C7168" w:rsidRPr="001B5DE3">
        <w:rPr>
          <w:rFonts w:ascii="Times New Roman" w:hAnsi="Times New Roman" w:cs="Times New Roman"/>
          <w:sz w:val="28"/>
          <w:szCs w:val="28"/>
        </w:rPr>
        <w:t>– 37,1%, Великомихайлівській –</w:t>
      </w:r>
      <w:r w:rsidR="007C7168"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36,7%,</w:t>
      </w:r>
      <w:r w:rsidR="005053E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Брагинівській – 36,5% та  Новолатівській </w:t>
      </w:r>
      <w:r w:rsidR="007C7168"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 35,6% територіальних громадах. </w:t>
      </w:r>
    </w:p>
    <w:p w:rsidR="00882B32" w:rsidRPr="001B5DE3" w:rsidRDefault="00882B32" w:rsidP="008B1901">
      <w:pPr>
        <w:pStyle w:val="a5"/>
        <w:spacing w:after="0"/>
        <w:ind w:left="0" w:firstLine="709"/>
        <w:jc w:val="both"/>
        <w:rPr>
          <w:sz w:val="28"/>
          <w:szCs w:val="28"/>
        </w:rPr>
      </w:pPr>
      <w:r w:rsidRPr="001B5DE3">
        <w:rPr>
          <w:sz w:val="28"/>
          <w:szCs w:val="28"/>
        </w:rPr>
        <w:t xml:space="preserve">Надходження </w:t>
      </w:r>
      <w:proofErr w:type="gramStart"/>
      <w:r w:rsidRPr="001B5DE3">
        <w:rPr>
          <w:sz w:val="28"/>
          <w:szCs w:val="28"/>
        </w:rPr>
        <w:t>земельного</w:t>
      </w:r>
      <w:proofErr w:type="gramEnd"/>
      <w:r w:rsidRPr="001B5DE3">
        <w:rPr>
          <w:sz w:val="28"/>
          <w:szCs w:val="28"/>
        </w:rPr>
        <w:t xml:space="preserve"> податку та орендної плати за зем</w:t>
      </w:r>
      <w:r w:rsidR="000B7F0E" w:rsidRPr="001B5DE3">
        <w:rPr>
          <w:sz w:val="28"/>
          <w:szCs w:val="28"/>
        </w:rPr>
        <w:t>лю у звітному періоді  склали 2</w:t>
      </w:r>
      <w:r w:rsidRPr="001B5DE3">
        <w:rPr>
          <w:sz w:val="28"/>
          <w:szCs w:val="28"/>
        </w:rPr>
        <w:t xml:space="preserve">447,2 млн грн, що становить 106,4% до плану на звітний період.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Виконання планових показників не забезпечено по 27 територіальних громадах, зокрема, по Ляшківській сільській (</w:t>
      </w:r>
      <w:proofErr w:type="gramStart"/>
      <w:r w:rsidRPr="001B5DE3">
        <w:rPr>
          <w:rFonts w:ascii="Times New Roman" w:hAnsi="Times New Roman" w:cs="Times New Roman"/>
          <w:sz w:val="28"/>
          <w:szCs w:val="28"/>
        </w:rPr>
        <w:t>р</w:t>
      </w:r>
      <w:proofErr w:type="gramEnd"/>
      <w:r w:rsidRPr="001B5DE3">
        <w:rPr>
          <w:rFonts w:ascii="Times New Roman" w:hAnsi="Times New Roman" w:cs="Times New Roman"/>
          <w:sz w:val="28"/>
          <w:szCs w:val="28"/>
        </w:rPr>
        <w:t>івень виконання 60,8%), Жовтоводській міській (61,5%), Зайцівській сільській (65,3%), Черкаській селищній (84,9%), Зеленодольській міській (86,3%), Тро</w:t>
      </w:r>
      <w:r w:rsidR="00272542" w:rsidRPr="001B5DE3">
        <w:rPr>
          <w:rFonts w:ascii="Times New Roman" w:hAnsi="Times New Roman" w:cs="Times New Roman"/>
          <w:sz w:val="28"/>
          <w:szCs w:val="28"/>
          <w:lang w:val="uk-UA"/>
        </w:rPr>
        <w:t>ї</w:t>
      </w:r>
      <w:r w:rsidRPr="001B5DE3">
        <w:rPr>
          <w:rFonts w:ascii="Times New Roman" w:hAnsi="Times New Roman" w:cs="Times New Roman"/>
          <w:sz w:val="28"/>
          <w:szCs w:val="28"/>
        </w:rPr>
        <w:t>цькій  сільській (88,6%), П’ятихатській міській (88,7%).</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Відносно аналогічного періоду попереднього року надходження збільшилися на 810,8 млн грн або у 1,5 раза за рахунок перерахування платежів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 xml:space="preserve">ідприємствами гірничо-металургійного комплексу, які у 2020 році скористалися переплатами, що виникли за результатами попередніх звітних періодів, а також зміни ставок оподаткування відповідно до прийнятих органами місцевого самоврядування </w:t>
      </w:r>
      <w:proofErr w:type="gramStart"/>
      <w:r w:rsidRPr="001B5DE3">
        <w:rPr>
          <w:rFonts w:ascii="Times New Roman" w:hAnsi="Times New Roman" w:cs="Times New Roman"/>
          <w:sz w:val="28"/>
          <w:szCs w:val="28"/>
        </w:rPr>
        <w:t>р</w:t>
      </w:r>
      <w:proofErr w:type="gramEnd"/>
      <w:r w:rsidRPr="001B5DE3">
        <w:rPr>
          <w:rFonts w:ascii="Times New Roman" w:hAnsi="Times New Roman" w:cs="Times New Roman"/>
          <w:sz w:val="28"/>
          <w:szCs w:val="28"/>
        </w:rPr>
        <w:t xml:space="preserve">ішень.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Найбільш суттєве збільшення надходжень відбулося </w:t>
      </w:r>
      <w:proofErr w:type="gramStart"/>
      <w:r w:rsidRPr="001B5DE3">
        <w:rPr>
          <w:rFonts w:ascii="Times New Roman" w:hAnsi="Times New Roman" w:cs="Times New Roman"/>
          <w:sz w:val="28"/>
          <w:szCs w:val="28"/>
        </w:rPr>
        <w:t>по</w:t>
      </w:r>
      <w:proofErr w:type="gramEnd"/>
      <w:r w:rsidRPr="001B5DE3">
        <w:rPr>
          <w:rFonts w:ascii="Times New Roman" w:hAnsi="Times New Roman" w:cs="Times New Roman"/>
          <w:sz w:val="28"/>
          <w:szCs w:val="28"/>
        </w:rPr>
        <w:t xml:space="preserve"> </w:t>
      </w:r>
      <w:r w:rsidR="007C7168" w:rsidRPr="001B5DE3">
        <w:rPr>
          <w:rFonts w:ascii="Times New Roman" w:hAnsi="Times New Roman" w:cs="Times New Roman"/>
          <w:sz w:val="28"/>
          <w:szCs w:val="28"/>
          <w:lang w:val="uk-UA"/>
        </w:rPr>
        <w:t>таких</w:t>
      </w:r>
      <w:r w:rsidRPr="001B5DE3">
        <w:rPr>
          <w:rFonts w:ascii="Times New Roman" w:hAnsi="Times New Roman" w:cs="Times New Roman"/>
          <w:sz w:val="28"/>
          <w:szCs w:val="28"/>
        </w:rPr>
        <w:t xml:space="preserve"> територіальних громадах: </w:t>
      </w:r>
      <w:proofErr w:type="gramStart"/>
      <w:r w:rsidRPr="001B5DE3">
        <w:rPr>
          <w:rFonts w:ascii="Times New Roman" w:hAnsi="Times New Roman" w:cs="Times New Roman"/>
          <w:sz w:val="28"/>
          <w:szCs w:val="28"/>
        </w:rPr>
        <w:t>Глеюватській – майже у 10 разів, Криворізькій міській –  у 2,4 раза, Затишнянській – у 2,1 раза, Карпівській – у 1,9 раз</w:t>
      </w:r>
      <w:r w:rsidR="00272542" w:rsidRPr="001B5DE3">
        <w:rPr>
          <w:rFonts w:ascii="Times New Roman" w:hAnsi="Times New Roman" w:cs="Times New Roman"/>
          <w:sz w:val="28"/>
          <w:szCs w:val="28"/>
          <w:lang w:val="uk-UA"/>
        </w:rPr>
        <w:t>ів</w:t>
      </w:r>
      <w:r w:rsidRPr="001B5DE3">
        <w:rPr>
          <w:rFonts w:ascii="Times New Roman" w:hAnsi="Times New Roman" w:cs="Times New Roman"/>
          <w:sz w:val="28"/>
          <w:szCs w:val="28"/>
        </w:rPr>
        <w:t>, Першотравневській сільській – у 1,7 раз</w:t>
      </w:r>
      <w:r w:rsidR="00272542" w:rsidRPr="001B5DE3">
        <w:rPr>
          <w:rFonts w:ascii="Times New Roman" w:hAnsi="Times New Roman" w:cs="Times New Roman"/>
          <w:sz w:val="28"/>
          <w:szCs w:val="28"/>
          <w:lang w:val="uk-UA"/>
        </w:rPr>
        <w:t>ів</w:t>
      </w:r>
      <w:r w:rsidRPr="001B5DE3">
        <w:rPr>
          <w:rFonts w:ascii="Times New Roman" w:hAnsi="Times New Roman" w:cs="Times New Roman"/>
          <w:sz w:val="28"/>
          <w:szCs w:val="28"/>
        </w:rPr>
        <w:t>, Перещепинській, Лихівській, Личківській  – у 1,6 раз</w:t>
      </w:r>
      <w:r w:rsidR="00272542" w:rsidRPr="001B5DE3">
        <w:rPr>
          <w:rFonts w:ascii="Times New Roman" w:hAnsi="Times New Roman" w:cs="Times New Roman"/>
          <w:sz w:val="28"/>
          <w:szCs w:val="28"/>
          <w:lang w:val="uk-UA"/>
        </w:rPr>
        <w:t>ів</w:t>
      </w:r>
      <w:r w:rsidRPr="001B5DE3">
        <w:rPr>
          <w:rFonts w:ascii="Times New Roman" w:hAnsi="Times New Roman" w:cs="Times New Roman"/>
          <w:sz w:val="28"/>
          <w:szCs w:val="28"/>
        </w:rPr>
        <w:t>,  Мирівській та Любимівській сільських – в 1,5</w:t>
      </w:r>
      <w:proofErr w:type="gramEnd"/>
      <w:r w:rsidRPr="001B5DE3">
        <w:rPr>
          <w:rFonts w:ascii="Times New Roman" w:hAnsi="Times New Roman" w:cs="Times New Roman"/>
          <w:sz w:val="28"/>
          <w:szCs w:val="28"/>
        </w:rPr>
        <w:t xml:space="preserve"> раз</w:t>
      </w:r>
      <w:r w:rsidR="00272542" w:rsidRPr="001B5DE3">
        <w:rPr>
          <w:rFonts w:ascii="Times New Roman" w:hAnsi="Times New Roman" w:cs="Times New Roman"/>
          <w:sz w:val="28"/>
          <w:szCs w:val="28"/>
          <w:lang w:val="uk-UA"/>
        </w:rPr>
        <w:t>і</w:t>
      </w:r>
      <w:proofErr w:type="gramStart"/>
      <w:r w:rsidR="00272542" w:rsidRPr="001B5DE3">
        <w:rPr>
          <w:rFonts w:ascii="Times New Roman" w:hAnsi="Times New Roman" w:cs="Times New Roman"/>
          <w:sz w:val="28"/>
          <w:szCs w:val="28"/>
          <w:lang w:val="uk-UA"/>
        </w:rPr>
        <w:t>в</w:t>
      </w:r>
      <w:proofErr w:type="gramEnd"/>
      <w:r w:rsidRPr="001B5DE3">
        <w:rPr>
          <w:rFonts w:ascii="Times New Roman" w:hAnsi="Times New Roman" w:cs="Times New Roman"/>
          <w:sz w:val="28"/>
          <w:szCs w:val="28"/>
        </w:rPr>
        <w:t xml:space="preserve">, Вільногірській міській – у 1,4 раза,  Софіївській селищній – в 1,4 раза.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Одночасно, по 18 територіальних </w:t>
      </w:r>
      <w:proofErr w:type="gramStart"/>
      <w:r w:rsidRPr="001B5DE3">
        <w:rPr>
          <w:rFonts w:ascii="Times New Roman" w:hAnsi="Times New Roman" w:cs="Times New Roman"/>
          <w:sz w:val="28"/>
          <w:szCs w:val="28"/>
        </w:rPr>
        <w:t>громадах</w:t>
      </w:r>
      <w:proofErr w:type="gramEnd"/>
      <w:r w:rsidRPr="001B5DE3">
        <w:rPr>
          <w:rFonts w:ascii="Times New Roman" w:hAnsi="Times New Roman" w:cs="Times New Roman"/>
          <w:sz w:val="28"/>
          <w:szCs w:val="28"/>
        </w:rPr>
        <w:t xml:space="preserve"> спостерігається зменшення надходжень, найбільше – по Ляшківській сільській (-55,0%), П’ятихатській міській  (-35,6%), Черкаській селищній (-25,4), Жовтоводській міській </w:t>
      </w:r>
      <w:r w:rsidR="007C7168" w:rsidRPr="001B5DE3">
        <w:rPr>
          <w:rFonts w:ascii="Times New Roman" w:hAnsi="Times New Roman" w:cs="Times New Roman"/>
          <w:sz w:val="28"/>
          <w:szCs w:val="28"/>
          <w:lang w:val="uk-UA"/>
        </w:rPr>
        <w:br/>
      </w:r>
      <w:r w:rsidRPr="001B5DE3">
        <w:rPr>
          <w:rFonts w:ascii="Times New Roman" w:hAnsi="Times New Roman" w:cs="Times New Roman"/>
          <w:sz w:val="28"/>
          <w:szCs w:val="28"/>
        </w:rPr>
        <w:t>(-24,4%),  Брагинівській (-24,1%), Святовасилівській сільській (-18,2%).</w:t>
      </w:r>
    </w:p>
    <w:p w:rsidR="00882B32" w:rsidRPr="001B5DE3" w:rsidRDefault="00882B32" w:rsidP="008B1901">
      <w:pPr>
        <w:pStyle w:val="21"/>
        <w:spacing w:after="0" w:line="240" w:lineRule="auto"/>
        <w:ind w:firstLine="709"/>
        <w:jc w:val="both"/>
        <w:rPr>
          <w:sz w:val="28"/>
          <w:szCs w:val="28"/>
        </w:rPr>
      </w:pPr>
      <w:r w:rsidRPr="001B5DE3">
        <w:rPr>
          <w:sz w:val="28"/>
          <w:szCs w:val="28"/>
        </w:rPr>
        <w:t xml:space="preserve">Єдиного податку надійшло </w:t>
      </w:r>
      <w:r w:rsidR="006B74F4" w:rsidRPr="001B5DE3">
        <w:rPr>
          <w:sz w:val="28"/>
          <w:szCs w:val="28"/>
          <w:lang w:val="uk-UA"/>
        </w:rPr>
        <w:t>1</w:t>
      </w:r>
      <w:r w:rsidRPr="001B5DE3">
        <w:rPr>
          <w:sz w:val="28"/>
          <w:szCs w:val="28"/>
          <w:lang w:val="uk-UA"/>
        </w:rPr>
        <w:t>630,7</w:t>
      </w:r>
      <w:r w:rsidR="006B74F4" w:rsidRPr="001B5DE3">
        <w:rPr>
          <w:sz w:val="28"/>
          <w:szCs w:val="28"/>
          <w:lang w:val="uk-UA"/>
        </w:rPr>
        <w:t xml:space="preserve"> </w:t>
      </w:r>
      <w:r w:rsidRPr="001B5DE3">
        <w:rPr>
          <w:sz w:val="28"/>
          <w:szCs w:val="28"/>
        </w:rPr>
        <w:t>млн грн або 106,</w:t>
      </w:r>
      <w:r w:rsidRPr="001B5DE3">
        <w:rPr>
          <w:sz w:val="28"/>
          <w:szCs w:val="28"/>
          <w:lang w:val="uk-UA"/>
        </w:rPr>
        <w:t>6</w:t>
      </w:r>
      <w:r w:rsidR="006B74F4" w:rsidRPr="001B5DE3">
        <w:rPr>
          <w:sz w:val="28"/>
          <w:szCs w:val="28"/>
        </w:rPr>
        <w:t>% до плану, що</w:t>
      </w:r>
      <w:r w:rsidR="006B74F4" w:rsidRPr="001B5DE3">
        <w:rPr>
          <w:sz w:val="28"/>
          <w:szCs w:val="28"/>
          <w:lang w:val="uk-UA"/>
        </w:rPr>
        <w:t xml:space="preserve"> </w:t>
      </w:r>
      <w:r w:rsidR="006B74F4" w:rsidRPr="001B5DE3">
        <w:rPr>
          <w:sz w:val="28"/>
          <w:szCs w:val="28"/>
        </w:rPr>
        <w:t>на</w:t>
      </w:r>
      <w:r w:rsidR="006B74F4" w:rsidRPr="001B5DE3">
        <w:rPr>
          <w:sz w:val="28"/>
          <w:szCs w:val="28"/>
          <w:lang w:val="uk-UA"/>
        </w:rPr>
        <w:t xml:space="preserve"> </w:t>
      </w:r>
      <w:r w:rsidRPr="001B5DE3">
        <w:rPr>
          <w:sz w:val="28"/>
          <w:szCs w:val="28"/>
          <w:lang w:val="uk-UA"/>
        </w:rPr>
        <w:t>224,6</w:t>
      </w:r>
      <w:r w:rsidR="006B74F4" w:rsidRPr="001B5DE3">
        <w:rPr>
          <w:sz w:val="28"/>
          <w:szCs w:val="28"/>
          <w:lang w:val="uk-UA"/>
        </w:rPr>
        <w:t xml:space="preserve"> </w:t>
      </w:r>
      <w:r w:rsidRPr="001B5DE3">
        <w:rPr>
          <w:sz w:val="28"/>
          <w:szCs w:val="28"/>
        </w:rPr>
        <w:t>млн грн або на 1</w:t>
      </w:r>
      <w:r w:rsidRPr="001B5DE3">
        <w:rPr>
          <w:sz w:val="28"/>
          <w:szCs w:val="28"/>
          <w:lang w:val="uk-UA"/>
        </w:rPr>
        <w:t>6,0%</w:t>
      </w:r>
      <w:r w:rsidRPr="001B5DE3">
        <w:rPr>
          <w:sz w:val="28"/>
          <w:szCs w:val="28"/>
        </w:rPr>
        <w:t xml:space="preserve"> більше надходжень за аналогічний період минулого року внаслідок збільшення фіксованих ставок податку для платників І</w:t>
      </w:r>
      <w:r w:rsidR="00EB30A6" w:rsidRPr="001B5DE3">
        <w:rPr>
          <w:sz w:val="28"/>
          <w:szCs w:val="28"/>
          <w:lang w:val="uk-UA"/>
        </w:rPr>
        <w:t xml:space="preserve"> </w:t>
      </w:r>
      <w:r w:rsidRPr="001B5DE3">
        <w:rPr>
          <w:sz w:val="28"/>
          <w:szCs w:val="28"/>
        </w:rPr>
        <w:t>та</w:t>
      </w:r>
      <w:r w:rsidR="00EB30A6" w:rsidRPr="001B5DE3">
        <w:rPr>
          <w:sz w:val="28"/>
          <w:szCs w:val="28"/>
          <w:lang w:val="uk-UA"/>
        </w:rPr>
        <w:t xml:space="preserve"> </w:t>
      </w:r>
      <w:r w:rsidRPr="001B5DE3">
        <w:rPr>
          <w:sz w:val="28"/>
          <w:szCs w:val="28"/>
        </w:rPr>
        <w:t>ІІ груп</w:t>
      </w:r>
      <w:r w:rsidRPr="001B5DE3">
        <w:rPr>
          <w:sz w:val="28"/>
          <w:szCs w:val="28"/>
          <w:lang w:val="uk-UA"/>
        </w:rPr>
        <w:t xml:space="preserve"> відповідно до </w:t>
      </w:r>
      <w:proofErr w:type="gramStart"/>
      <w:r w:rsidRPr="001B5DE3">
        <w:rPr>
          <w:sz w:val="28"/>
          <w:szCs w:val="28"/>
          <w:lang w:val="uk-UA"/>
        </w:rPr>
        <w:t>р</w:t>
      </w:r>
      <w:proofErr w:type="gramEnd"/>
      <w:r w:rsidRPr="001B5DE3">
        <w:rPr>
          <w:sz w:val="28"/>
          <w:szCs w:val="28"/>
          <w:lang w:val="uk-UA"/>
        </w:rPr>
        <w:t xml:space="preserve">ішень місцевих рад та </w:t>
      </w:r>
      <w:r w:rsidRPr="001B5DE3">
        <w:rPr>
          <w:sz w:val="28"/>
          <w:szCs w:val="28"/>
        </w:rPr>
        <w:t xml:space="preserve">у зв’язку з підвищенням розміру </w:t>
      </w:r>
      <w:proofErr w:type="gramStart"/>
      <w:r w:rsidRPr="001B5DE3">
        <w:rPr>
          <w:sz w:val="28"/>
          <w:szCs w:val="28"/>
        </w:rPr>
        <w:t>соц</w:t>
      </w:r>
      <w:proofErr w:type="gramEnd"/>
      <w:r w:rsidRPr="001B5DE3">
        <w:rPr>
          <w:sz w:val="28"/>
          <w:szCs w:val="28"/>
        </w:rPr>
        <w:t>іальних стандартів (прожиткового мінімуму для працездатних осіб та</w:t>
      </w:r>
      <w:r w:rsidR="00EB30A6" w:rsidRPr="001B5DE3">
        <w:rPr>
          <w:sz w:val="28"/>
          <w:szCs w:val="28"/>
          <w:lang w:val="uk-UA"/>
        </w:rPr>
        <w:t xml:space="preserve"> </w:t>
      </w:r>
      <w:r w:rsidRPr="001B5DE3">
        <w:rPr>
          <w:sz w:val="28"/>
          <w:szCs w:val="28"/>
        </w:rPr>
        <w:t>мінімальної заробітної плати відповідно), та сум доходу</w:t>
      </w:r>
      <w:r w:rsidRPr="001B5DE3">
        <w:rPr>
          <w:sz w:val="28"/>
          <w:szCs w:val="28"/>
          <w:lang w:val="uk-UA"/>
        </w:rPr>
        <w:t>,</w:t>
      </w:r>
      <w:r w:rsidRPr="001B5DE3">
        <w:rPr>
          <w:sz w:val="28"/>
          <w:szCs w:val="28"/>
        </w:rPr>
        <w:t xml:space="preserve"> задекларованого платник</w:t>
      </w:r>
      <w:r w:rsidRPr="001B5DE3">
        <w:rPr>
          <w:sz w:val="28"/>
          <w:szCs w:val="28"/>
          <w:lang w:val="uk-UA"/>
        </w:rPr>
        <w:t>ами</w:t>
      </w:r>
      <w:r w:rsidRPr="001B5DE3">
        <w:rPr>
          <w:sz w:val="28"/>
          <w:szCs w:val="28"/>
        </w:rPr>
        <w:t xml:space="preserve"> ІІ</w:t>
      </w:r>
      <w:r w:rsidRPr="001B5DE3">
        <w:rPr>
          <w:sz w:val="28"/>
          <w:szCs w:val="28"/>
          <w:lang w:val="uk-UA"/>
        </w:rPr>
        <w:t>І</w:t>
      </w:r>
      <w:r w:rsidRPr="001B5DE3">
        <w:rPr>
          <w:sz w:val="28"/>
          <w:szCs w:val="28"/>
        </w:rPr>
        <w:t xml:space="preserve"> груп</w:t>
      </w:r>
      <w:r w:rsidRPr="001B5DE3">
        <w:rPr>
          <w:sz w:val="28"/>
          <w:szCs w:val="28"/>
          <w:lang w:val="uk-UA"/>
        </w:rPr>
        <w:t>и</w:t>
      </w:r>
      <w:r w:rsidRPr="001B5DE3">
        <w:rPr>
          <w:sz w:val="28"/>
          <w:szCs w:val="28"/>
        </w:rPr>
        <w:t>.</w:t>
      </w:r>
      <w:r w:rsidRPr="001B5DE3">
        <w:rPr>
          <w:sz w:val="28"/>
          <w:szCs w:val="28"/>
          <w:lang w:val="uk-UA"/>
        </w:rPr>
        <w:t xml:space="preserve"> </w:t>
      </w:r>
      <w:r w:rsidRPr="001B5DE3">
        <w:rPr>
          <w:sz w:val="28"/>
          <w:szCs w:val="28"/>
        </w:rPr>
        <w:t>Планові показники із заз</w:t>
      </w:r>
      <w:r w:rsidR="00EB30A6" w:rsidRPr="001B5DE3">
        <w:rPr>
          <w:sz w:val="28"/>
          <w:szCs w:val="28"/>
        </w:rPr>
        <w:t>наченого податку не виконані по</w:t>
      </w:r>
      <w:r w:rsidR="00EB30A6" w:rsidRPr="001B5DE3">
        <w:rPr>
          <w:sz w:val="28"/>
          <w:szCs w:val="28"/>
          <w:lang w:val="uk-UA"/>
        </w:rPr>
        <w:t xml:space="preserve"> </w:t>
      </w:r>
      <w:r w:rsidRPr="001B5DE3">
        <w:rPr>
          <w:sz w:val="28"/>
          <w:szCs w:val="28"/>
        </w:rPr>
        <w:t>2</w:t>
      </w:r>
      <w:r w:rsidRPr="001B5DE3">
        <w:rPr>
          <w:sz w:val="28"/>
          <w:szCs w:val="28"/>
          <w:lang w:val="uk-UA"/>
        </w:rPr>
        <w:t>5</w:t>
      </w:r>
      <w:r w:rsidR="00EB30A6" w:rsidRPr="001B5DE3">
        <w:rPr>
          <w:sz w:val="28"/>
          <w:szCs w:val="28"/>
          <w:lang w:val="uk-UA"/>
        </w:rPr>
        <w:t xml:space="preserve"> </w:t>
      </w:r>
      <w:r w:rsidRPr="001B5DE3">
        <w:rPr>
          <w:sz w:val="28"/>
          <w:szCs w:val="28"/>
        </w:rPr>
        <w:t xml:space="preserve">територіальних </w:t>
      </w:r>
      <w:proofErr w:type="gramStart"/>
      <w:r w:rsidRPr="001B5DE3">
        <w:rPr>
          <w:sz w:val="28"/>
          <w:szCs w:val="28"/>
        </w:rPr>
        <w:t>громадах</w:t>
      </w:r>
      <w:proofErr w:type="gramEnd"/>
      <w:r w:rsidRPr="001B5DE3">
        <w:rPr>
          <w:sz w:val="28"/>
          <w:szCs w:val="28"/>
        </w:rPr>
        <w:t>, зменшення надходжень відносно аналогічного періоду минулого року відбулося по</w:t>
      </w:r>
      <w:r w:rsidR="00272542" w:rsidRPr="001B5DE3">
        <w:rPr>
          <w:sz w:val="28"/>
          <w:szCs w:val="28"/>
          <w:lang w:val="uk-UA"/>
        </w:rPr>
        <w:t xml:space="preserve"> </w:t>
      </w:r>
      <w:r w:rsidRPr="001B5DE3">
        <w:rPr>
          <w:sz w:val="28"/>
          <w:szCs w:val="28"/>
        </w:rPr>
        <w:t>3</w:t>
      </w:r>
      <w:r w:rsidRPr="001B5DE3">
        <w:rPr>
          <w:sz w:val="28"/>
          <w:szCs w:val="28"/>
          <w:lang w:val="uk-UA"/>
        </w:rPr>
        <w:t>0</w:t>
      </w:r>
      <w:r w:rsidRPr="001B5DE3">
        <w:rPr>
          <w:sz w:val="28"/>
          <w:szCs w:val="28"/>
        </w:rPr>
        <w:t xml:space="preserve"> територіальних громадах.</w:t>
      </w:r>
    </w:p>
    <w:p w:rsidR="00882B32" w:rsidRPr="001B5DE3" w:rsidRDefault="00882B32" w:rsidP="008B1901">
      <w:pPr>
        <w:pStyle w:val="rvps2"/>
        <w:shd w:val="clear" w:color="auto" w:fill="FFFFFF"/>
        <w:spacing w:before="0" w:beforeAutospacing="0" w:after="0" w:afterAutospacing="0"/>
        <w:ind w:firstLine="709"/>
        <w:jc w:val="both"/>
        <w:rPr>
          <w:sz w:val="28"/>
          <w:szCs w:val="28"/>
          <w:lang w:val="uk-UA"/>
        </w:rPr>
      </w:pPr>
      <w:r w:rsidRPr="001B5DE3">
        <w:rPr>
          <w:sz w:val="28"/>
          <w:szCs w:val="28"/>
          <w:lang w:val="uk-UA"/>
        </w:rPr>
        <w:lastRenderedPageBreak/>
        <w:t>Надходження до місцевих бюджетів податку на нерухоме майно відмінне від земельної ділянки з початку року склали 295,2 млн грн або 115,7% до плану звітного періоду. Відносно минулого року н</w:t>
      </w:r>
      <w:r w:rsidR="00EB30A6" w:rsidRPr="001B5DE3">
        <w:rPr>
          <w:sz w:val="28"/>
          <w:szCs w:val="28"/>
          <w:lang w:val="uk-UA"/>
        </w:rPr>
        <w:t>адходження  збільш</w:t>
      </w:r>
      <w:r w:rsidR="00B702EC" w:rsidRPr="001B5DE3">
        <w:rPr>
          <w:sz w:val="28"/>
          <w:szCs w:val="28"/>
          <w:lang w:val="uk-UA"/>
        </w:rPr>
        <w:t xml:space="preserve">илися на </w:t>
      </w:r>
      <w:r w:rsidR="00E82AEE" w:rsidRPr="001B5DE3">
        <w:rPr>
          <w:sz w:val="28"/>
          <w:szCs w:val="28"/>
          <w:lang w:val="uk-UA"/>
        </w:rPr>
        <w:br/>
      </w:r>
      <w:r w:rsidR="00EB30A6" w:rsidRPr="001B5DE3">
        <w:rPr>
          <w:sz w:val="28"/>
          <w:szCs w:val="28"/>
          <w:lang w:val="uk-UA"/>
        </w:rPr>
        <w:t xml:space="preserve">96,8 млн </w:t>
      </w:r>
      <w:r w:rsidRPr="001B5DE3">
        <w:rPr>
          <w:sz w:val="28"/>
          <w:szCs w:val="28"/>
          <w:lang w:val="uk-UA"/>
        </w:rPr>
        <w:t>грн або майже у 1,5 раза.</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lang w:val="uk-UA"/>
        </w:rPr>
        <w:t xml:space="preserve">Надходження до бюджетів місцевого самоврядування податку на нерухоме майно, відмінне від земельної ділянки, склали 295,2 млн грн або 115,7% до плану, що на 96,8 млн грн або 1,5 раза більше надходжень </w:t>
      </w:r>
      <w:r w:rsidR="00EB30A6"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за І півріччя 2020 року за</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рахунок перегляду органами місцевого самоврядування ставок та залучення до</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оподаткування нових платників. </w:t>
      </w:r>
      <w:r w:rsidR="00EB30A6" w:rsidRPr="001B5DE3">
        <w:rPr>
          <w:rFonts w:ascii="Times New Roman" w:hAnsi="Times New Roman" w:cs="Times New Roman"/>
          <w:sz w:val="28"/>
          <w:szCs w:val="28"/>
        </w:rPr>
        <w:t>У</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менших обсягах, ніж заплановано, отримано заз</w:t>
      </w:r>
      <w:r w:rsidR="00EB30A6" w:rsidRPr="001B5DE3">
        <w:rPr>
          <w:rFonts w:ascii="Times New Roman" w:hAnsi="Times New Roman" w:cs="Times New Roman"/>
          <w:sz w:val="28"/>
          <w:szCs w:val="28"/>
        </w:rPr>
        <w:t xml:space="preserve">наченого податку </w:t>
      </w:r>
      <w:proofErr w:type="gramStart"/>
      <w:r w:rsidR="00EB30A6" w:rsidRPr="001B5DE3">
        <w:rPr>
          <w:rFonts w:ascii="Times New Roman" w:hAnsi="Times New Roman" w:cs="Times New Roman"/>
          <w:sz w:val="28"/>
          <w:szCs w:val="28"/>
        </w:rPr>
        <w:t>до</w:t>
      </w:r>
      <w:proofErr w:type="gramEnd"/>
      <w:r w:rsidR="00EB30A6" w:rsidRPr="001B5DE3">
        <w:rPr>
          <w:rFonts w:ascii="Times New Roman" w:hAnsi="Times New Roman" w:cs="Times New Roman"/>
          <w:sz w:val="28"/>
          <w:szCs w:val="28"/>
        </w:rPr>
        <w:t xml:space="preserve"> </w:t>
      </w:r>
      <w:proofErr w:type="gramStart"/>
      <w:r w:rsidR="00EB30A6" w:rsidRPr="001B5DE3">
        <w:rPr>
          <w:rFonts w:ascii="Times New Roman" w:hAnsi="Times New Roman" w:cs="Times New Roman"/>
          <w:sz w:val="28"/>
          <w:szCs w:val="28"/>
        </w:rPr>
        <w:t>бюджет</w:t>
      </w:r>
      <w:proofErr w:type="gramEnd"/>
      <w:r w:rsidR="00EB30A6" w:rsidRPr="001B5DE3">
        <w:rPr>
          <w:rFonts w:ascii="Times New Roman" w:hAnsi="Times New Roman" w:cs="Times New Roman"/>
          <w:sz w:val="28"/>
          <w:szCs w:val="28"/>
        </w:rPr>
        <w:t>ів 16</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тер</w:t>
      </w:r>
      <w:r w:rsidR="00EB30A6" w:rsidRPr="001B5DE3">
        <w:rPr>
          <w:rFonts w:ascii="Times New Roman" w:hAnsi="Times New Roman" w:cs="Times New Roman"/>
          <w:sz w:val="28"/>
          <w:szCs w:val="28"/>
        </w:rPr>
        <w:t>иторіальних громад, порівняно з 2020</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роком надходження зменшилися по 8 територіальних громадах.</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Надходження до спеціального фонду міс</w:t>
      </w:r>
      <w:r w:rsidR="00EB30A6" w:rsidRPr="001B5DE3">
        <w:rPr>
          <w:rFonts w:ascii="Times New Roman" w:hAnsi="Times New Roman" w:cs="Times New Roman"/>
          <w:sz w:val="28"/>
          <w:szCs w:val="28"/>
        </w:rPr>
        <w:t>цевих бюджетів області склали 1150,5</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rPr>
        <w:t>млн</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rPr>
        <w:t>грн, що на 363,5</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 грн або у 1,5 раза біль</w:t>
      </w:r>
      <w:r w:rsidR="00EB30A6" w:rsidRPr="001B5DE3">
        <w:rPr>
          <w:rFonts w:ascii="Times New Roman" w:hAnsi="Times New Roman" w:cs="Times New Roman"/>
          <w:sz w:val="28"/>
          <w:szCs w:val="28"/>
        </w:rPr>
        <w:t xml:space="preserve">ше ніж </w:t>
      </w:r>
      <w:proofErr w:type="gramStart"/>
      <w:r w:rsidR="00EB30A6" w:rsidRPr="001B5DE3">
        <w:rPr>
          <w:rFonts w:ascii="Times New Roman" w:hAnsi="Times New Roman" w:cs="Times New Roman"/>
          <w:sz w:val="28"/>
          <w:szCs w:val="28"/>
        </w:rPr>
        <w:t>за</w:t>
      </w:r>
      <w:proofErr w:type="gramEnd"/>
      <w:r w:rsidR="00EB30A6" w:rsidRPr="001B5DE3">
        <w:rPr>
          <w:rFonts w:ascii="Times New Roman" w:hAnsi="Times New Roman" w:cs="Times New Roman"/>
          <w:sz w:val="28"/>
          <w:szCs w:val="28"/>
        </w:rPr>
        <w:t xml:space="preserve"> </w:t>
      </w:r>
      <w:r w:rsidR="00E82AEE" w:rsidRPr="001B5DE3">
        <w:rPr>
          <w:rFonts w:ascii="Times New Roman" w:hAnsi="Times New Roman" w:cs="Times New Roman"/>
          <w:sz w:val="28"/>
          <w:szCs w:val="28"/>
          <w:lang w:val="uk-UA"/>
        </w:rPr>
        <w:br/>
      </w:r>
      <w:r w:rsidR="00EB30A6" w:rsidRPr="001B5DE3">
        <w:rPr>
          <w:rFonts w:ascii="Times New Roman" w:hAnsi="Times New Roman" w:cs="Times New Roman"/>
          <w:sz w:val="28"/>
          <w:szCs w:val="28"/>
        </w:rPr>
        <w:t>січень – червень 2020</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року. У цілому до загального та спеціального фонд</w:t>
      </w:r>
      <w:r w:rsidR="00EB30A6" w:rsidRPr="001B5DE3">
        <w:rPr>
          <w:rFonts w:ascii="Times New Roman" w:hAnsi="Times New Roman" w:cs="Times New Roman"/>
          <w:sz w:val="28"/>
          <w:szCs w:val="28"/>
        </w:rPr>
        <w:t>ів місцевих бюджетів області за</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І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івріччя 2021</w:t>
      </w:r>
      <w:r w:rsidR="00EB30A6" w:rsidRPr="001B5DE3">
        <w:rPr>
          <w:rFonts w:ascii="Times New Roman" w:hAnsi="Times New Roman" w:cs="Times New Roman"/>
          <w:sz w:val="28"/>
          <w:szCs w:val="28"/>
        </w:rPr>
        <w:t xml:space="preserve"> року надійшло 18786,8</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 грн податків, збо</w:t>
      </w:r>
      <w:r w:rsidR="00EB30A6" w:rsidRPr="001B5DE3">
        <w:rPr>
          <w:rFonts w:ascii="Times New Roman" w:hAnsi="Times New Roman" w:cs="Times New Roman"/>
          <w:sz w:val="28"/>
          <w:szCs w:val="28"/>
        </w:rPr>
        <w:t>рів та інших платежів, що на 30</w:t>
      </w:r>
      <w:r w:rsidRPr="001B5DE3">
        <w:rPr>
          <w:rFonts w:ascii="Times New Roman" w:hAnsi="Times New Roman" w:cs="Times New Roman"/>
          <w:sz w:val="28"/>
          <w:szCs w:val="28"/>
        </w:rPr>
        <w:t xml:space="preserve">% більше за минулорічні  надходження.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bCs/>
          <w:sz w:val="28"/>
          <w:szCs w:val="28"/>
        </w:rPr>
        <w:t>До загального фон</w:t>
      </w:r>
      <w:r w:rsidR="00EB30A6" w:rsidRPr="001B5DE3">
        <w:rPr>
          <w:rFonts w:ascii="Times New Roman" w:hAnsi="Times New Roman" w:cs="Times New Roman"/>
          <w:bCs/>
          <w:sz w:val="28"/>
          <w:szCs w:val="28"/>
        </w:rPr>
        <w:t>ду обласного бюджету надійшло 4280,4</w:t>
      </w:r>
      <w:r w:rsidR="00EB30A6" w:rsidRPr="001B5DE3">
        <w:rPr>
          <w:rFonts w:ascii="Times New Roman" w:hAnsi="Times New Roman" w:cs="Times New Roman"/>
          <w:bCs/>
          <w:sz w:val="28"/>
          <w:szCs w:val="28"/>
          <w:lang w:val="uk-UA"/>
        </w:rPr>
        <w:t xml:space="preserve"> </w:t>
      </w:r>
      <w:r w:rsidR="00EB30A6" w:rsidRPr="001B5DE3">
        <w:rPr>
          <w:rFonts w:ascii="Times New Roman" w:hAnsi="Times New Roman" w:cs="Times New Roman"/>
          <w:sz w:val="28"/>
          <w:szCs w:val="28"/>
        </w:rPr>
        <w:t>млн грн, що</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rPr>
        <w:t>становить 108,2</w:t>
      </w:r>
      <w:r w:rsidRPr="001B5DE3">
        <w:rPr>
          <w:rFonts w:ascii="Times New Roman" w:hAnsi="Times New Roman" w:cs="Times New Roman"/>
          <w:sz w:val="28"/>
          <w:szCs w:val="28"/>
        </w:rPr>
        <w:t xml:space="preserve">% </w:t>
      </w:r>
      <w:proofErr w:type="gramStart"/>
      <w:r w:rsidRPr="001B5DE3">
        <w:rPr>
          <w:rFonts w:ascii="Times New Roman" w:hAnsi="Times New Roman" w:cs="Times New Roman"/>
          <w:sz w:val="28"/>
          <w:szCs w:val="28"/>
        </w:rPr>
        <w:t>до</w:t>
      </w:r>
      <w:proofErr w:type="gramEnd"/>
      <w:r w:rsidRPr="001B5DE3">
        <w:rPr>
          <w:rFonts w:ascii="Times New Roman" w:hAnsi="Times New Roman" w:cs="Times New Roman"/>
          <w:sz w:val="28"/>
          <w:szCs w:val="28"/>
        </w:rPr>
        <w:t xml:space="preserve"> </w:t>
      </w:r>
      <w:proofErr w:type="gramStart"/>
      <w:r w:rsidRPr="001B5DE3">
        <w:rPr>
          <w:rFonts w:ascii="Times New Roman" w:hAnsi="Times New Roman" w:cs="Times New Roman"/>
          <w:sz w:val="28"/>
          <w:szCs w:val="28"/>
        </w:rPr>
        <w:t>п</w:t>
      </w:r>
      <w:r w:rsidR="00EB30A6" w:rsidRPr="001B5DE3">
        <w:rPr>
          <w:rFonts w:ascii="Times New Roman" w:hAnsi="Times New Roman" w:cs="Times New Roman"/>
          <w:sz w:val="28"/>
          <w:szCs w:val="28"/>
        </w:rPr>
        <w:t>лану</w:t>
      </w:r>
      <w:proofErr w:type="gramEnd"/>
      <w:r w:rsidR="00EB30A6" w:rsidRPr="001B5DE3">
        <w:rPr>
          <w:rFonts w:ascii="Times New Roman" w:hAnsi="Times New Roman" w:cs="Times New Roman"/>
          <w:sz w:val="28"/>
          <w:szCs w:val="28"/>
        </w:rPr>
        <w:t xml:space="preserve"> (понад план отримано 324,5</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rPr>
        <w:t>млн грн) та</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rPr>
        <w:t>на</w:t>
      </w:r>
      <w:r w:rsidR="00EB30A6" w:rsidRPr="001B5DE3">
        <w:rPr>
          <w:rFonts w:ascii="Times New Roman" w:hAnsi="Times New Roman" w:cs="Times New Roman"/>
          <w:sz w:val="28"/>
          <w:szCs w:val="28"/>
          <w:lang w:val="uk-UA"/>
        </w:rPr>
        <w:t xml:space="preserve"> </w:t>
      </w:r>
      <w:r w:rsidR="00EB30A6" w:rsidRPr="001B5DE3">
        <w:rPr>
          <w:rFonts w:ascii="Times New Roman" w:hAnsi="Times New Roman" w:cs="Times New Roman"/>
          <w:sz w:val="28"/>
          <w:szCs w:val="28"/>
          <w:lang w:val="uk-UA"/>
        </w:rPr>
        <w:br/>
      </w:r>
      <w:r w:rsidRPr="001B5DE3">
        <w:rPr>
          <w:rFonts w:ascii="Times New Roman" w:hAnsi="Times New Roman" w:cs="Times New Roman"/>
          <w:sz w:val="28"/>
          <w:szCs w:val="28"/>
        </w:rPr>
        <w:t>49,6</w:t>
      </w:r>
      <w:r w:rsidR="00EB30A6"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 грн або у 1,6 раза перевищує надходження за аналогічний період минулого року.</w:t>
      </w:r>
    </w:p>
    <w:p w:rsidR="00882B32" w:rsidRPr="001B5DE3" w:rsidRDefault="00882B32" w:rsidP="008B1901">
      <w:pPr>
        <w:spacing w:after="0" w:line="240" w:lineRule="auto"/>
        <w:jc w:val="center"/>
        <w:rPr>
          <w:rFonts w:ascii="Times New Roman" w:hAnsi="Times New Roman" w:cs="Times New Roman"/>
          <w:sz w:val="28"/>
          <w:szCs w:val="28"/>
        </w:rPr>
      </w:pPr>
      <w:r w:rsidRPr="001B5DE3">
        <w:rPr>
          <w:rFonts w:ascii="Times New Roman" w:hAnsi="Times New Roman" w:cs="Times New Roman"/>
          <w:noProof/>
          <w:sz w:val="28"/>
          <w:szCs w:val="28"/>
        </w:rPr>
        <w:drawing>
          <wp:inline distT="0" distB="0" distL="0" distR="0" wp14:anchorId="7B36A2C5" wp14:editId="7A0F5E1E">
            <wp:extent cx="4572000" cy="293370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4572000" cy="2933700"/>
                    </a:xfrm>
                    <a:prstGeom prst="rect">
                      <a:avLst/>
                    </a:prstGeom>
                    <a:noFill/>
                    <a:ln w="9525">
                      <a:noFill/>
                      <a:miter lim="800000"/>
                      <a:headEnd/>
                      <a:tailEnd/>
                    </a:ln>
                  </pic:spPr>
                </pic:pic>
              </a:graphicData>
            </a:graphic>
          </wp:inline>
        </w:drawing>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За основними дохідними джерелами обласного бюджету (</w:t>
      </w:r>
      <w:proofErr w:type="gramStart"/>
      <w:r w:rsidRPr="001B5DE3">
        <w:rPr>
          <w:rFonts w:ascii="Times New Roman" w:hAnsi="Times New Roman" w:cs="Times New Roman"/>
          <w:sz w:val="28"/>
          <w:szCs w:val="28"/>
        </w:rPr>
        <w:t>кр</w:t>
      </w:r>
      <w:proofErr w:type="gramEnd"/>
      <w:r w:rsidRPr="001B5DE3">
        <w:rPr>
          <w:rFonts w:ascii="Times New Roman" w:hAnsi="Times New Roman" w:cs="Times New Roman"/>
          <w:sz w:val="28"/>
          <w:szCs w:val="28"/>
        </w:rPr>
        <w:t xml:space="preserve">ім податку на доходи фізичних осіб) забезпечено перевиконання планових показників та позитивна динаміка надходжень, зокрема: </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податку на </w:t>
      </w:r>
      <w:r w:rsidR="00EB30A6" w:rsidRPr="001B5DE3">
        <w:rPr>
          <w:rFonts w:ascii="Times New Roman" w:hAnsi="Times New Roman" w:cs="Times New Roman"/>
          <w:sz w:val="28"/>
          <w:szCs w:val="28"/>
        </w:rPr>
        <w:t>доходи фізичних осіб надійшло 1</w:t>
      </w:r>
      <w:r w:rsidRPr="001B5DE3">
        <w:rPr>
          <w:rFonts w:ascii="Times New Roman" w:hAnsi="Times New Roman" w:cs="Times New Roman"/>
          <w:sz w:val="28"/>
          <w:szCs w:val="28"/>
        </w:rPr>
        <w:t>980,6 млн грн, що стан</w:t>
      </w:r>
      <w:r w:rsidR="004D47AC" w:rsidRPr="001B5DE3">
        <w:rPr>
          <w:rFonts w:ascii="Times New Roman" w:hAnsi="Times New Roman" w:cs="Times New Roman"/>
          <w:sz w:val="28"/>
          <w:szCs w:val="28"/>
        </w:rPr>
        <w:t xml:space="preserve">овить 98,0% </w:t>
      </w:r>
      <w:proofErr w:type="gramStart"/>
      <w:r w:rsidR="004D47AC" w:rsidRPr="001B5DE3">
        <w:rPr>
          <w:rFonts w:ascii="Times New Roman" w:hAnsi="Times New Roman" w:cs="Times New Roman"/>
          <w:sz w:val="28"/>
          <w:szCs w:val="28"/>
        </w:rPr>
        <w:t>до</w:t>
      </w:r>
      <w:proofErr w:type="gramEnd"/>
      <w:r w:rsidR="004D47AC" w:rsidRPr="001B5DE3">
        <w:rPr>
          <w:rFonts w:ascii="Times New Roman" w:hAnsi="Times New Roman" w:cs="Times New Roman"/>
          <w:sz w:val="28"/>
          <w:szCs w:val="28"/>
        </w:rPr>
        <w:t xml:space="preserve"> плану та на 14,1</w:t>
      </w:r>
      <w:r w:rsidRPr="001B5DE3">
        <w:rPr>
          <w:rFonts w:ascii="Times New Roman" w:hAnsi="Times New Roman" w:cs="Times New Roman"/>
          <w:sz w:val="28"/>
          <w:szCs w:val="28"/>
        </w:rPr>
        <w:t>% більше надходжень за січень</w:t>
      </w:r>
      <w:r w:rsidR="00B702EC" w:rsidRPr="001B5DE3">
        <w:rPr>
          <w:rFonts w:ascii="Times New Roman" w:hAnsi="Times New Roman" w:cs="Times New Roman"/>
          <w:sz w:val="28"/>
          <w:szCs w:val="28"/>
          <w:lang w:val="uk-UA"/>
        </w:rPr>
        <w:t xml:space="preserve"> – </w:t>
      </w:r>
      <w:r w:rsidRPr="001B5DE3">
        <w:rPr>
          <w:rFonts w:ascii="Times New Roman" w:hAnsi="Times New Roman" w:cs="Times New Roman"/>
          <w:sz w:val="28"/>
          <w:szCs w:val="28"/>
        </w:rPr>
        <w:t>червень 2020 року:</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податку на прибуток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ідприємств прива</w:t>
      </w:r>
      <w:r w:rsidR="004D47AC" w:rsidRPr="001B5DE3">
        <w:rPr>
          <w:rFonts w:ascii="Times New Roman" w:hAnsi="Times New Roman" w:cs="Times New Roman"/>
          <w:sz w:val="28"/>
          <w:szCs w:val="28"/>
        </w:rPr>
        <w:t>тного сектору економіки –</w:t>
      </w:r>
      <w:r w:rsidR="004D47AC" w:rsidRPr="001B5DE3">
        <w:rPr>
          <w:rFonts w:ascii="Times New Roman" w:hAnsi="Times New Roman" w:cs="Times New Roman"/>
          <w:sz w:val="28"/>
          <w:szCs w:val="28"/>
          <w:lang w:val="uk-UA"/>
        </w:rPr>
        <w:t xml:space="preserve"> </w:t>
      </w:r>
      <w:r w:rsidR="004D47AC" w:rsidRPr="001B5DE3">
        <w:rPr>
          <w:rFonts w:ascii="Times New Roman" w:hAnsi="Times New Roman" w:cs="Times New Roman"/>
          <w:sz w:val="28"/>
          <w:szCs w:val="28"/>
          <w:lang w:val="uk-UA"/>
        </w:rPr>
        <w:br/>
      </w:r>
      <w:r w:rsidR="004D47AC" w:rsidRPr="001B5DE3">
        <w:rPr>
          <w:rFonts w:ascii="Times New Roman" w:hAnsi="Times New Roman" w:cs="Times New Roman"/>
          <w:sz w:val="28"/>
          <w:szCs w:val="28"/>
        </w:rPr>
        <w:t>1521,0</w:t>
      </w:r>
      <w:r w:rsidR="004D47A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 грн або 127,0% до плану (темп приросту – 62,3%);</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lastRenderedPageBreak/>
        <w:t>рентної плати за користування надрам</w:t>
      </w:r>
      <w:r w:rsidR="004D47AC" w:rsidRPr="001B5DE3">
        <w:rPr>
          <w:rFonts w:ascii="Times New Roman" w:hAnsi="Times New Roman" w:cs="Times New Roman"/>
          <w:sz w:val="28"/>
          <w:szCs w:val="28"/>
        </w:rPr>
        <w:t xml:space="preserve">и – 645,6 млн грн або 101,8% </w:t>
      </w:r>
      <w:proofErr w:type="gramStart"/>
      <w:r w:rsidR="004D47AC" w:rsidRPr="001B5DE3">
        <w:rPr>
          <w:rFonts w:ascii="Times New Roman" w:hAnsi="Times New Roman" w:cs="Times New Roman"/>
          <w:sz w:val="28"/>
          <w:szCs w:val="28"/>
        </w:rPr>
        <w:t>до</w:t>
      </w:r>
      <w:proofErr w:type="gramEnd"/>
      <w:r w:rsidR="004D47AC" w:rsidRPr="001B5DE3">
        <w:rPr>
          <w:rFonts w:ascii="Times New Roman" w:hAnsi="Times New Roman" w:cs="Times New Roman"/>
          <w:sz w:val="28"/>
          <w:szCs w:val="28"/>
          <w:lang w:val="uk-UA"/>
        </w:rPr>
        <w:t xml:space="preserve"> </w:t>
      </w:r>
      <w:proofErr w:type="gramStart"/>
      <w:r w:rsidRPr="001B5DE3">
        <w:rPr>
          <w:rFonts w:ascii="Times New Roman" w:hAnsi="Times New Roman" w:cs="Times New Roman"/>
          <w:sz w:val="28"/>
          <w:szCs w:val="28"/>
        </w:rPr>
        <w:t>плану</w:t>
      </w:r>
      <w:proofErr w:type="gramEnd"/>
      <w:r w:rsidRPr="001B5DE3">
        <w:rPr>
          <w:rFonts w:ascii="Times New Roman" w:hAnsi="Times New Roman" w:cs="Times New Roman"/>
          <w:sz w:val="28"/>
          <w:szCs w:val="28"/>
        </w:rPr>
        <w:t xml:space="preserve"> (збільшення у 3 раза);</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рентної плати за спеціальне використання води – 46,2 млн грн або 101,9% </w:t>
      </w:r>
      <w:proofErr w:type="gramStart"/>
      <w:r w:rsidRPr="001B5DE3">
        <w:rPr>
          <w:rFonts w:ascii="Times New Roman" w:hAnsi="Times New Roman" w:cs="Times New Roman"/>
          <w:sz w:val="28"/>
          <w:szCs w:val="28"/>
        </w:rPr>
        <w:t>до</w:t>
      </w:r>
      <w:proofErr w:type="gramEnd"/>
      <w:r w:rsidRPr="001B5DE3">
        <w:rPr>
          <w:rFonts w:ascii="Times New Roman" w:hAnsi="Times New Roman" w:cs="Times New Roman"/>
          <w:sz w:val="28"/>
          <w:szCs w:val="28"/>
        </w:rPr>
        <w:t xml:space="preserve"> плану (темп приросту – 32,1%);</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плати за надання </w:t>
      </w:r>
      <w:proofErr w:type="gramStart"/>
      <w:r w:rsidRPr="001B5DE3">
        <w:rPr>
          <w:rFonts w:ascii="Times New Roman" w:hAnsi="Times New Roman" w:cs="Times New Roman"/>
          <w:sz w:val="28"/>
          <w:szCs w:val="28"/>
        </w:rPr>
        <w:t>адм</w:t>
      </w:r>
      <w:proofErr w:type="gramEnd"/>
      <w:r w:rsidRPr="001B5DE3">
        <w:rPr>
          <w:rFonts w:ascii="Times New Roman" w:hAnsi="Times New Roman" w:cs="Times New Roman"/>
          <w:sz w:val="28"/>
          <w:szCs w:val="28"/>
        </w:rPr>
        <w:t>іністративних послуг – 55,0 млн грн або 107,5% до плану (темп приросту – 5,8%).</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Надходження до спеціального фонду</w:t>
      </w:r>
      <w:r w:rsidR="004D47AC" w:rsidRPr="001B5DE3">
        <w:rPr>
          <w:rFonts w:ascii="Times New Roman" w:hAnsi="Times New Roman" w:cs="Times New Roman"/>
          <w:sz w:val="28"/>
          <w:szCs w:val="28"/>
        </w:rPr>
        <w:t xml:space="preserve"> обласного бюджету склали </w:t>
      </w:r>
      <w:r w:rsidR="004D47AC" w:rsidRPr="001B5DE3">
        <w:rPr>
          <w:rFonts w:ascii="Times New Roman" w:hAnsi="Times New Roman" w:cs="Times New Roman"/>
          <w:sz w:val="28"/>
          <w:szCs w:val="28"/>
          <w:lang w:val="uk-UA"/>
        </w:rPr>
        <w:br/>
      </w:r>
      <w:r w:rsidR="004D47AC" w:rsidRPr="001B5DE3">
        <w:rPr>
          <w:rFonts w:ascii="Times New Roman" w:hAnsi="Times New Roman" w:cs="Times New Roman"/>
          <w:sz w:val="28"/>
          <w:szCs w:val="28"/>
        </w:rPr>
        <w:t>240,0</w:t>
      </w:r>
      <w:r w:rsidR="004D47A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млн грн, що на 17,1 </w:t>
      </w:r>
      <w:r w:rsidR="004D47AC" w:rsidRPr="001B5DE3">
        <w:rPr>
          <w:rFonts w:ascii="Times New Roman" w:hAnsi="Times New Roman" w:cs="Times New Roman"/>
          <w:sz w:val="28"/>
          <w:szCs w:val="28"/>
        </w:rPr>
        <w:t>млн грн або на 7,7% більше, ніж</w:t>
      </w:r>
      <w:r w:rsidR="004D47AC" w:rsidRPr="001B5DE3">
        <w:rPr>
          <w:rFonts w:ascii="Times New Roman" w:hAnsi="Times New Roman" w:cs="Times New Roman"/>
          <w:sz w:val="28"/>
          <w:szCs w:val="28"/>
          <w:lang w:val="uk-UA"/>
        </w:rPr>
        <w:t xml:space="preserve"> </w:t>
      </w:r>
      <w:proofErr w:type="gramStart"/>
      <w:r w:rsidR="004D47AC" w:rsidRPr="001B5DE3">
        <w:rPr>
          <w:rFonts w:ascii="Times New Roman" w:hAnsi="Times New Roman" w:cs="Times New Roman"/>
          <w:sz w:val="28"/>
          <w:szCs w:val="28"/>
        </w:rPr>
        <w:t>за</w:t>
      </w:r>
      <w:proofErr w:type="gramEnd"/>
      <w:r w:rsidR="004D47A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відповідний період минулого року. </w:t>
      </w:r>
    </w:p>
    <w:p w:rsidR="00882B32" w:rsidRPr="001B5DE3" w:rsidRDefault="00882B32" w:rsidP="008B1901">
      <w:pPr>
        <w:spacing w:after="0" w:line="240" w:lineRule="auto"/>
        <w:ind w:firstLine="709"/>
        <w:jc w:val="both"/>
        <w:rPr>
          <w:rFonts w:ascii="Times New Roman" w:hAnsi="Times New Roman" w:cs="Times New Roman"/>
          <w:sz w:val="28"/>
          <w:szCs w:val="28"/>
        </w:rPr>
      </w:pPr>
      <w:proofErr w:type="gramStart"/>
      <w:r w:rsidRPr="001B5DE3">
        <w:rPr>
          <w:rFonts w:ascii="Times New Roman" w:hAnsi="Times New Roman" w:cs="Times New Roman"/>
          <w:sz w:val="28"/>
          <w:szCs w:val="28"/>
        </w:rPr>
        <w:t>До екологічного фонду обласн</w:t>
      </w:r>
      <w:r w:rsidR="004D47AC" w:rsidRPr="001B5DE3">
        <w:rPr>
          <w:rFonts w:ascii="Times New Roman" w:hAnsi="Times New Roman" w:cs="Times New Roman"/>
          <w:sz w:val="28"/>
          <w:szCs w:val="28"/>
        </w:rPr>
        <w:t>ого бюджету надійшло 112,3</w:t>
      </w:r>
      <w:r w:rsidR="004D47A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 грн (екологічного податку та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що склало 105,9% до планових показників</w:t>
      </w:r>
      <w:r w:rsidR="004D47AC" w:rsidRPr="001B5DE3">
        <w:rPr>
          <w:rFonts w:ascii="Times New Roman" w:hAnsi="Times New Roman" w:cs="Times New Roman"/>
          <w:sz w:val="28"/>
          <w:szCs w:val="28"/>
        </w:rPr>
        <w:t xml:space="preserve"> і</w:t>
      </w:r>
      <w:r w:rsidR="004D47A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0,8% до фактичних надходжень за січень – червень 2020 року.</w:t>
      </w:r>
      <w:proofErr w:type="gramEnd"/>
    </w:p>
    <w:p w:rsidR="00882B32" w:rsidRPr="001B5DE3" w:rsidRDefault="00882B32" w:rsidP="008B1901">
      <w:pPr>
        <w:pStyle w:val="a5"/>
        <w:spacing w:after="0"/>
        <w:ind w:left="0" w:firstLine="709"/>
        <w:jc w:val="both"/>
        <w:rPr>
          <w:sz w:val="28"/>
          <w:szCs w:val="28"/>
          <w:lang w:val="uk-UA"/>
        </w:rPr>
      </w:pPr>
      <w:r w:rsidRPr="001B5DE3">
        <w:rPr>
          <w:sz w:val="28"/>
          <w:szCs w:val="28"/>
        </w:rPr>
        <w:t>У цілому до загального та спеціальн</w:t>
      </w:r>
      <w:r w:rsidR="004D47AC" w:rsidRPr="001B5DE3">
        <w:rPr>
          <w:sz w:val="28"/>
          <w:szCs w:val="28"/>
        </w:rPr>
        <w:t>ого фондів обласного бюджету за</w:t>
      </w:r>
      <w:r w:rsidR="004D47AC" w:rsidRPr="001B5DE3">
        <w:rPr>
          <w:sz w:val="28"/>
          <w:szCs w:val="28"/>
          <w:lang w:val="uk-UA"/>
        </w:rPr>
        <w:t xml:space="preserve"> </w:t>
      </w:r>
      <w:r w:rsidR="004D47AC" w:rsidRPr="001B5DE3">
        <w:rPr>
          <w:sz w:val="28"/>
          <w:szCs w:val="28"/>
          <w:lang w:val="uk-UA"/>
        </w:rPr>
        <w:br/>
      </w:r>
      <w:r w:rsidR="004D47AC" w:rsidRPr="001B5DE3">
        <w:rPr>
          <w:sz w:val="28"/>
          <w:szCs w:val="28"/>
        </w:rPr>
        <w:t>І</w:t>
      </w:r>
      <w:r w:rsidR="004D47AC" w:rsidRPr="001B5DE3">
        <w:rPr>
          <w:sz w:val="28"/>
          <w:szCs w:val="28"/>
          <w:lang w:val="uk-UA"/>
        </w:rPr>
        <w:t xml:space="preserve"> </w:t>
      </w:r>
      <w:proofErr w:type="gramStart"/>
      <w:r w:rsidR="004D47AC" w:rsidRPr="001B5DE3">
        <w:rPr>
          <w:sz w:val="28"/>
          <w:szCs w:val="28"/>
        </w:rPr>
        <w:t>п</w:t>
      </w:r>
      <w:proofErr w:type="gramEnd"/>
      <w:r w:rsidR="004D47AC" w:rsidRPr="001B5DE3">
        <w:rPr>
          <w:sz w:val="28"/>
          <w:szCs w:val="28"/>
        </w:rPr>
        <w:t>івріччя 2021</w:t>
      </w:r>
      <w:r w:rsidR="004D47AC" w:rsidRPr="001B5DE3">
        <w:rPr>
          <w:sz w:val="28"/>
          <w:szCs w:val="28"/>
          <w:lang w:val="uk-UA"/>
        </w:rPr>
        <w:t xml:space="preserve"> </w:t>
      </w:r>
      <w:r w:rsidR="004D47AC" w:rsidRPr="001B5DE3">
        <w:rPr>
          <w:sz w:val="28"/>
          <w:szCs w:val="28"/>
        </w:rPr>
        <w:t>року надійшло 4520,4</w:t>
      </w:r>
      <w:r w:rsidR="004D47AC" w:rsidRPr="001B5DE3">
        <w:rPr>
          <w:sz w:val="28"/>
          <w:szCs w:val="28"/>
          <w:lang w:val="uk-UA"/>
        </w:rPr>
        <w:t xml:space="preserve"> </w:t>
      </w:r>
      <w:r w:rsidRPr="001B5DE3">
        <w:rPr>
          <w:sz w:val="28"/>
          <w:szCs w:val="28"/>
        </w:rPr>
        <w:t>мл</w:t>
      </w:r>
      <w:r w:rsidR="004D47AC" w:rsidRPr="001B5DE3">
        <w:rPr>
          <w:sz w:val="28"/>
          <w:szCs w:val="28"/>
        </w:rPr>
        <w:t>н грн, що у 1,6 раз</w:t>
      </w:r>
      <w:r w:rsidR="00342E13" w:rsidRPr="001B5DE3">
        <w:rPr>
          <w:sz w:val="28"/>
          <w:szCs w:val="28"/>
          <w:lang w:val="uk-UA"/>
        </w:rPr>
        <w:t>ів</w:t>
      </w:r>
      <w:r w:rsidR="004D47AC" w:rsidRPr="001B5DE3">
        <w:rPr>
          <w:sz w:val="28"/>
          <w:szCs w:val="28"/>
        </w:rPr>
        <w:t xml:space="preserve"> більше за </w:t>
      </w:r>
      <w:r w:rsidRPr="001B5DE3">
        <w:rPr>
          <w:sz w:val="28"/>
          <w:szCs w:val="28"/>
        </w:rPr>
        <w:t>минулорічні  надходження.</w:t>
      </w:r>
    </w:p>
    <w:p w:rsidR="00882B32" w:rsidRPr="001B5DE3" w:rsidRDefault="00882B32" w:rsidP="006A549F">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Розпорядженням</w:t>
      </w:r>
      <w:r w:rsidRPr="001B5DE3">
        <w:rPr>
          <w:rFonts w:ascii="Times New Roman" w:hAnsi="Times New Roman" w:cs="Times New Roman"/>
          <w:sz w:val="28"/>
          <w:szCs w:val="28"/>
        </w:rPr>
        <w:t> </w:t>
      </w:r>
      <w:r w:rsidR="00342E1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голови</w:t>
      </w:r>
      <w:r w:rsidRPr="001B5DE3">
        <w:rPr>
          <w:rFonts w:ascii="Times New Roman" w:hAnsi="Times New Roman" w:cs="Times New Roman"/>
          <w:sz w:val="28"/>
          <w:szCs w:val="28"/>
        </w:rPr>
        <w:t> </w:t>
      </w:r>
      <w:r w:rsidR="00342E13" w:rsidRPr="001B5DE3">
        <w:rPr>
          <w:rFonts w:ascii="Times New Roman" w:hAnsi="Times New Roman" w:cs="Times New Roman"/>
          <w:sz w:val="28"/>
          <w:szCs w:val="28"/>
          <w:lang w:val="uk-UA"/>
        </w:rPr>
        <w:t xml:space="preserve"> </w:t>
      </w:r>
      <w:r w:rsidR="00B07EB9" w:rsidRPr="001B5DE3">
        <w:rPr>
          <w:rFonts w:ascii="Times New Roman" w:hAnsi="Times New Roman" w:cs="Times New Roman"/>
          <w:sz w:val="28"/>
          <w:szCs w:val="28"/>
          <w:lang w:val="uk-UA"/>
        </w:rPr>
        <w:t xml:space="preserve">облдержадміністрації від </w:t>
      </w:r>
      <w:r w:rsidR="00B702EC" w:rsidRPr="001B5DE3">
        <w:rPr>
          <w:rFonts w:ascii="Times New Roman" w:hAnsi="Times New Roman" w:cs="Times New Roman"/>
          <w:sz w:val="28"/>
          <w:szCs w:val="28"/>
          <w:lang w:val="uk-UA"/>
        </w:rPr>
        <w:t>11.02.</w:t>
      </w:r>
      <w:r w:rsidR="00FA5531" w:rsidRPr="001B5DE3">
        <w:rPr>
          <w:rFonts w:ascii="Times New Roman" w:hAnsi="Times New Roman" w:cs="Times New Roman"/>
          <w:sz w:val="28"/>
          <w:szCs w:val="28"/>
          <w:lang w:val="uk-UA"/>
        </w:rPr>
        <w:t>2021</w:t>
      </w:r>
      <w:r w:rsidR="00B07EB9" w:rsidRPr="001B5DE3">
        <w:rPr>
          <w:rFonts w:ascii="Times New Roman" w:hAnsi="Times New Roman" w:cs="Times New Roman"/>
          <w:sz w:val="28"/>
          <w:szCs w:val="28"/>
          <w:lang w:val="uk-UA"/>
        </w:rPr>
        <w:t xml:space="preserve"> </w:t>
      </w:r>
      <w:r w:rsidR="00DB022A"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w:t>
      </w:r>
      <w:r w:rsidRPr="001B5DE3">
        <w:rPr>
          <w:rFonts w:ascii="Times New Roman" w:hAnsi="Times New Roman" w:cs="Times New Roman"/>
          <w:sz w:val="28"/>
          <w:szCs w:val="28"/>
        </w:rPr>
        <w:t> </w:t>
      </w:r>
      <w:r w:rsidR="006A549F" w:rsidRPr="001B5DE3">
        <w:rPr>
          <w:rFonts w:ascii="Times New Roman" w:hAnsi="Times New Roman" w:cs="Times New Roman"/>
          <w:sz w:val="28"/>
          <w:szCs w:val="28"/>
          <w:lang w:val="uk-UA"/>
        </w:rPr>
        <w:t xml:space="preserve">Р-134/0/3-21 </w:t>
      </w:r>
      <w:r w:rsidRPr="001B5DE3">
        <w:rPr>
          <w:rFonts w:ascii="Times New Roman" w:hAnsi="Times New Roman" w:cs="Times New Roman"/>
          <w:sz w:val="28"/>
          <w:szCs w:val="28"/>
          <w:lang w:val="uk-UA"/>
        </w:rPr>
        <w:t xml:space="preserve">“Про затвердження плану заходів на 2021 рік щодо наповнення місцевих бюджетів, ефективного використання бюджетних коштів та посилення фінансово – бюджетної дисципліни” органам </w:t>
      </w:r>
      <w:r w:rsidR="0036102F" w:rsidRPr="001B5DE3">
        <w:rPr>
          <w:rFonts w:ascii="Times New Roman" w:hAnsi="Times New Roman" w:cs="Times New Roman"/>
          <w:sz w:val="28"/>
          <w:szCs w:val="28"/>
          <w:lang w:val="uk-UA"/>
        </w:rPr>
        <w:t>місцевого самоврядування рекомендовано</w:t>
      </w:r>
      <w:r w:rsidRPr="001B5DE3">
        <w:rPr>
          <w:rFonts w:ascii="Times New Roman" w:hAnsi="Times New Roman" w:cs="Times New Roman"/>
          <w:sz w:val="28"/>
          <w:szCs w:val="28"/>
          <w:lang w:val="uk-UA"/>
        </w:rPr>
        <w:t xml:space="preserve"> затвердити заход</w:t>
      </w:r>
      <w:r w:rsidR="0036102F" w:rsidRPr="001B5DE3">
        <w:rPr>
          <w:rFonts w:ascii="Times New Roman" w:hAnsi="Times New Roman" w:cs="Times New Roman"/>
          <w:sz w:val="28"/>
          <w:szCs w:val="28"/>
          <w:lang w:val="uk-UA"/>
        </w:rPr>
        <w:t>и</w:t>
      </w:r>
      <w:r w:rsidRPr="001B5DE3">
        <w:rPr>
          <w:rFonts w:ascii="Times New Roman" w:hAnsi="Times New Roman" w:cs="Times New Roman"/>
          <w:sz w:val="28"/>
          <w:szCs w:val="28"/>
          <w:lang w:val="uk-UA"/>
        </w:rPr>
        <w:t xml:space="preserve"> на 2021 рік щодо наповнення місцевих бюджетів, ефективного використання бюджетних коштів та </w:t>
      </w:r>
      <w:r w:rsidR="00FA5531" w:rsidRPr="001B5DE3">
        <w:rPr>
          <w:rFonts w:ascii="Times New Roman" w:hAnsi="Times New Roman" w:cs="Times New Roman"/>
          <w:sz w:val="28"/>
          <w:szCs w:val="28"/>
          <w:lang w:val="uk-UA"/>
        </w:rPr>
        <w:t>посилення фінансово-</w:t>
      </w:r>
      <w:r w:rsidRPr="001B5DE3">
        <w:rPr>
          <w:rFonts w:ascii="Times New Roman" w:hAnsi="Times New Roman" w:cs="Times New Roman"/>
          <w:sz w:val="28"/>
          <w:szCs w:val="28"/>
          <w:lang w:val="uk-UA"/>
        </w:rPr>
        <w:t>бюджетної дисципліни.</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Згідно із проведеним аналізом стану заборгованості встановлено:</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двома територіальними громадами допущено прострочену заборгованість із заробітної плати з нарахуваннями: Зеленодольська міська громада у сумі 0,6 млн грн та Межиріцька сільська громада у сумі</w:t>
      </w:r>
      <w:r w:rsidR="00DB022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rPr>
        <w:t xml:space="preserve">0,4 млн грн. Погашення зазначеної заборгованості відбулося у липні </w:t>
      </w:r>
      <w:proofErr w:type="gramStart"/>
      <w:r w:rsidRPr="001B5DE3">
        <w:rPr>
          <w:rFonts w:ascii="Times New Roman" w:hAnsi="Times New Roman" w:cs="Times New Roman"/>
          <w:sz w:val="28"/>
          <w:szCs w:val="28"/>
        </w:rPr>
        <w:t>поточного</w:t>
      </w:r>
      <w:proofErr w:type="gramEnd"/>
      <w:r w:rsidRPr="001B5DE3">
        <w:rPr>
          <w:rFonts w:ascii="Times New Roman" w:hAnsi="Times New Roman" w:cs="Times New Roman"/>
          <w:sz w:val="28"/>
          <w:szCs w:val="28"/>
        </w:rPr>
        <w:t xml:space="preserve"> року;</w:t>
      </w:r>
    </w:p>
    <w:p w:rsidR="00882B32" w:rsidRPr="001B5DE3" w:rsidRDefault="00882B32" w:rsidP="008B1901">
      <w:pPr>
        <w:spacing w:after="0" w:line="240"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прострочена кредиторська заборгованість загального фонду бюджету області за видатками, пов’язаними з поточним утриманням бюджетних установ, протягом І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 xml:space="preserve">івріччя 2021 року зменшилася на 28,1 млн грн і станом на 01 липня 2021 року – становить 19,8 млн грн. Із загальної суми простроченої заборгованості 16,0 млн грн це заборгованість по бюджету міста Кам’янське, з якої станом на 10 серпня 2021 року вже </w:t>
      </w:r>
      <w:proofErr w:type="gramStart"/>
      <w:r w:rsidRPr="001B5DE3">
        <w:rPr>
          <w:rFonts w:ascii="Times New Roman" w:hAnsi="Times New Roman" w:cs="Times New Roman"/>
          <w:sz w:val="28"/>
          <w:szCs w:val="28"/>
        </w:rPr>
        <w:t>проф</w:t>
      </w:r>
      <w:proofErr w:type="gramEnd"/>
      <w:r w:rsidRPr="001B5DE3">
        <w:rPr>
          <w:rFonts w:ascii="Times New Roman" w:hAnsi="Times New Roman" w:cs="Times New Roman"/>
          <w:sz w:val="28"/>
          <w:szCs w:val="28"/>
        </w:rPr>
        <w:t>інансовано 2,6 млн грн.</w:t>
      </w:r>
    </w:p>
    <w:p w:rsidR="00882B32" w:rsidRPr="001B5DE3" w:rsidRDefault="00882B32" w:rsidP="008B1901">
      <w:pPr>
        <w:spacing w:after="0" w:line="240" w:lineRule="auto"/>
        <w:ind w:firstLine="709"/>
        <w:jc w:val="both"/>
        <w:rPr>
          <w:rFonts w:ascii="Times New Roman" w:hAnsi="Times New Roman" w:cs="Times New Roman"/>
          <w:sz w:val="28"/>
          <w:szCs w:val="28"/>
        </w:rPr>
      </w:pPr>
      <w:proofErr w:type="gramStart"/>
      <w:r w:rsidRPr="001B5DE3">
        <w:rPr>
          <w:rFonts w:ascii="Times New Roman" w:hAnsi="Times New Roman" w:cs="Times New Roman"/>
          <w:sz w:val="28"/>
          <w:szCs w:val="28"/>
        </w:rPr>
        <w:t>Прострочена</w:t>
      </w:r>
      <w:proofErr w:type="gramEnd"/>
      <w:r w:rsidRPr="001B5DE3">
        <w:rPr>
          <w:rFonts w:ascii="Times New Roman" w:hAnsi="Times New Roman" w:cs="Times New Roman"/>
          <w:sz w:val="28"/>
          <w:szCs w:val="28"/>
        </w:rPr>
        <w:t xml:space="preserve"> кредиторська заборгованість спеціального фонду за видатками капітального характеру протягом звітного періоду зменшилася на 6,9 млн грн і станом на 01 липня 2021 року становить 11,4 млн грн, у тому числі по обласному бюджету – 8,6 млн грн, із них:</w:t>
      </w:r>
    </w:p>
    <w:p w:rsidR="00882B32" w:rsidRPr="001B5DE3" w:rsidRDefault="002612A0" w:rsidP="008B1901">
      <w:pPr>
        <w:spacing w:after="0" w:line="240" w:lineRule="auto"/>
        <w:ind w:firstLine="709"/>
        <w:jc w:val="both"/>
        <w:rPr>
          <w:rFonts w:ascii="Times New Roman" w:hAnsi="Times New Roman" w:cs="Times New Roman"/>
          <w:sz w:val="28"/>
          <w:szCs w:val="28"/>
          <w:lang w:eastAsia="uk-UA"/>
        </w:rPr>
      </w:pPr>
      <w:proofErr w:type="gramStart"/>
      <w:r w:rsidRPr="001B5DE3">
        <w:rPr>
          <w:rFonts w:ascii="Times New Roman" w:hAnsi="Times New Roman" w:cs="Times New Roman"/>
          <w:sz w:val="28"/>
          <w:szCs w:val="28"/>
        </w:rPr>
        <w:t>по департаменту житлово</w:t>
      </w:r>
      <w:r w:rsidRPr="001B5DE3">
        <w:rPr>
          <w:rFonts w:ascii="Times New Roman" w:hAnsi="Times New Roman" w:cs="Times New Roman"/>
          <w:sz w:val="28"/>
          <w:szCs w:val="28"/>
          <w:lang w:val="uk-UA"/>
        </w:rPr>
        <w:t>-</w:t>
      </w:r>
      <w:r w:rsidR="00882B32" w:rsidRPr="001B5DE3">
        <w:rPr>
          <w:rFonts w:ascii="Times New Roman" w:hAnsi="Times New Roman" w:cs="Times New Roman"/>
          <w:sz w:val="28"/>
          <w:szCs w:val="28"/>
        </w:rPr>
        <w:t>комунального господарства та будівництва облдержадміністрації – 8,4 млн грн, у тому числі 4,0 млн грн за рахунок коштів субвенції з державного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roofErr w:type="gramEnd"/>
    </w:p>
    <w:p w:rsidR="00315E69" w:rsidRDefault="00882B32" w:rsidP="00A60BE1">
      <w:pPr>
        <w:spacing w:after="0" w:line="252" w:lineRule="auto"/>
        <w:ind w:firstLine="709"/>
        <w:jc w:val="both"/>
        <w:rPr>
          <w:rFonts w:ascii="Times New Roman" w:hAnsi="Times New Roman" w:cs="Times New Roman"/>
          <w:spacing w:val="-2"/>
          <w:sz w:val="28"/>
          <w:szCs w:val="28"/>
          <w:lang w:val="uk-UA"/>
        </w:rPr>
      </w:pPr>
      <w:r w:rsidRPr="00315E69">
        <w:rPr>
          <w:rFonts w:ascii="Times New Roman" w:hAnsi="Times New Roman" w:cs="Times New Roman"/>
          <w:spacing w:val="-2"/>
          <w:sz w:val="28"/>
          <w:szCs w:val="28"/>
        </w:rPr>
        <w:lastRenderedPageBreak/>
        <w:t>по департаменту</w:t>
      </w:r>
      <w:r w:rsidR="00315E69" w:rsidRP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капітального</w:t>
      </w:r>
      <w:r w:rsidR="00315E69" w:rsidRP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буд</w:t>
      </w:r>
      <w:r w:rsidR="00315E69" w:rsidRPr="00315E69">
        <w:rPr>
          <w:rFonts w:ascii="Times New Roman" w:hAnsi="Times New Roman" w:cs="Times New Roman"/>
          <w:spacing w:val="-2"/>
          <w:sz w:val="28"/>
          <w:szCs w:val="28"/>
        </w:rPr>
        <w:t>івництва</w:t>
      </w:r>
      <w:r w:rsidR="00315E69" w:rsidRP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облдержадміністрації</w:t>
      </w:r>
      <w:r w:rsidR="00315E69" w:rsidRP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w:t>
      </w:r>
      <w:r w:rsid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0</w:t>
      </w:r>
      <w:r w:rsidR="00315E69">
        <w:rPr>
          <w:rFonts w:ascii="Times New Roman" w:hAnsi="Times New Roman" w:cs="Times New Roman"/>
          <w:spacing w:val="-2"/>
          <w:sz w:val="28"/>
          <w:szCs w:val="28"/>
        </w:rPr>
        <w:t>,2</w:t>
      </w:r>
      <w:r w:rsidR="00315E69">
        <w:rPr>
          <w:rFonts w:ascii="Times New Roman" w:hAnsi="Times New Roman" w:cs="Times New Roman"/>
          <w:spacing w:val="-2"/>
          <w:sz w:val="28"/>
          <w:szCs w:val="28"/>
          <w:lang w:val="uk-UA"/>
        </w:rPr>
        <w:t xml:space="preserve"> </w:t>
      </w:r>
      <w:r w:rsidRPr="00315E69">
        <w:rPr>
          <w:rFonts w:ascii="Times New Roman" w:hAnsi="Times New Roman" w:cs="Times New Roman"/>
          <w:spacing w:val="-2"/>
          <w:sz w:val="28"/>
          <w:szCs w:val="28"/>
        </w:rPr>
        <w:t>млн</w:t>
      </w:r>
      <w:r w:rsidR="00315E69">
        <w:rPr>
          <w:rFonts w:ascii="Times New Roman" w:hAnsi="Times New Roman" w:cs="Times New Roman"/>
          <w:bCs/>
          <w:spacing w:val="-2"/>
          <w:sz w:val="28"/>
          <w:szCs w:val="28"/>
          <w:lang w:val="uk-UA" w:eastAsia="uk-UA"/>
        </w:rPr>
        <w:t xml:space="preserve"> </w:t>
      </w:r>
      <w:r w:rsidRPr="00315E69">
        <w:rPr>
          <w:rFonts w:ascii="Times New Roman" w:hAnsi="Times New Roman" w:cs="Times New Roman"/>
          <w:spacing w:val="-2"/>
          <w:sz w:val="28"/>
          <w:szCs w:val="28"/>
        </w:rPr>
        <w:t>грн.</w:t>
      </w:r>
    </w:p>
    <w:p w:rsidR="00882B32" w:rsidRPr="00315E69" w:rsidRDefault="00882B32" w:rsidP="00A60BE1">
      <w:pPr>
        <w:spacing w:after="0" w:line="252" w:lineRule="auto"/>
        <w:ind w:firstLine="709"/>
        <w:rPr>
          <w:rFonts w:ascii="Times New Roman" w:hAnsi="Times New Roman"/>
          <w:b/>
          <w:sz w:val="28"/>
          <w:szCs w:val="28"/>
          <w:lang w:val="uk-UA"/>
        </w:rPr>
      </w:pPr>
      <w:r w:rsidRPr="00315E69">
        <w:rPr>
          <w:rFonts w:ascii="Times New Roman" w:hAnsi="Times New Roman"/>
          <w:sz w:val="28"/>
          <w:szCs w:val="28"/>
          <w:lang w:val="uk-UA"/>
        </w:rPr>
        <w:t>Зареєстрована заборгованість у розмірі 5 відсотків в</w:t>
      </w:r>
      <w:r w:rsidR="00684C71" w:rsidRPr="00315E69">
        <w:rPr>
          <w:rFonts w:ascii="Times New Roman" w:hAnsi="Times New Roman"/>
          <w:sz w:val="28"/>
          <w:szCs w:val="28"/>
          <w:lang w:val="uk-UA"/>
        </w:rPr>
        <w:t xml:space="preserve">ід обсягу виконаних робіт буде </w:t>
      </w:r>
      <w:r w:rsidRPr="00315E69">
        <w:rPr>
          <w:rFonts w:ascii="Times New Roman" w:hAnsi="Times New Roman"/>
          <w:sz w:val="28"/>
          <w:szCs w:val="28"/>
          <w:lang w:val="uk-UA"/>
        </w:rPr>
        <w:t>погашена після отримання декларацій (сертифікатів) про пр</w:t>
      </w:r>
      <w:r w:rsidR="00052B26" w:rsidRPr="00315E69">
        <w:rPr>
          <w:rFonts w:ascii="Times New Roman" w:hAnsi="Times New Roman"/>
          <w:sz w:val="28"/>
          <w:szCs w:val="28"/>
          <w:lang w:val="uk-UA"/>
        </w:rPr>
        <w:t>ийняття об’єктів в експлуатацію</w:t>
      </w:r>
      <w:r w:rsidRPr="00315E69">
        <w:rPr>
          <w:rFonts w:ascii="Times New Roman" w:hAnsi="Times New Roman"/>
          <w:sz w:val="28"/>
          <w:szCs w:val="28"/>
          <w:lang w:val="uk-UA"/>
        </w:rPr>
        <w:t xml:space="preserve"> та усунення дефектів у гарантійний термін.</w:t>
      </w:r>
    </w:p>
    <w:p w:rsidR="00882B32" w:rsidRPr="001B5DE3" w:rsidRDefault="00882B32" w:rsidP="00A60BE1">
      <w:pPr>
        <w:spacing w:after="0" w:line="252" w:lineRule="auto"/>
        <w:ind w:firstLine="709"/>
        <w:jc w:val="both"/>
        <w:rPr>
          <w:rFonts w:ascii="Times New Roman" w:hAnsi="Times New Roman" w:cs="Times New Roman"/>
          <w:sz w:val="28"/>
          <w:szCs w:val="28"/>
          <w:lang w:val="uk-UA"/>
        </w:rPr>
      </w:pPr>
      <w:r w:rsidRPr="00315E69">
        <w:rPr>
          <w:rFonts w:ascii="Times New Roman" w:hAnsi="Times New Roman" w:cs="Times New Roman"/>
          <w:sz w:val="28"/>
          <w:szCs w:val="28"/>
          <w:lang w:val="uk-UA"/>
        </w:rPr>
        <w:t>Відповідно до постанов Ка</w:t>
      </w:r>
      <w:r w:rsidR="00684C71" w:rsidRPr="00315E69">
        <w:rPr>
          <w:rFonts w:ascii="Times New Roman" w:hAnsi="Times New Roman" w:cs="Times New Roman"/>
          <w:sz w:val="28"/>
          <w:szCs w:val="28"/>
          <w:lang w:val="uk-UA"/>
        </w:rPr>
        <w:t>бінету Міністрів України</w:t>
      </w:r>
      <w:r w:rsidR="00315E69">
        <w:rPr>
          <w:rFonts w:ascii="Times New Roman" w:hAnsi="Times New Roman" w:cs="Times New Roman"/>
          <w:sz w:val="28"/>
          <w:szCs w:val="28"/>
          <w:lang w:val="uk-UA"/>
        </w:rPr>
        <w:t xml:space="preserve"> </w:t>
      </w:r>
      <w:r w:rsidR="00684C71" w:rsidRPr="00315E69">
        <w:rPr>
          <w:rFonts w:ascii="Times New Roman" w:hAnsi="Times New Roman" w:cs="Times New Roman"/>
          <w:sz w:val="28"/>
          <w:szCs w:val="28"/>
          <w:lang w:val="uk-UA"/>
        </w:rPr>
        <w:t>від</w:t>
      </w:r>
      <w:r w:rsidR="00C0072B" w:rsidRPr="001B5DE3">
        <w:rPr>
          <w:rFonts w:ascii="Times New Roman" w:hAnsi="Times New Roman" w:cs="Times New Roman"/>
          <w:sz w:val="28"/>
          <w:szCs w:val="28"/>
          <w:lang w:val="uk-UA"/>
        </w:rPr>
        <w:t xml:space="preserve"> </w:t>
      </w:r>
      <w:r w:rsidR="00684C71" w:rsidRPr="00315E69">
        <w:rPr>
          <w:rFonts w:ascii="Times New Roman" w:hAnsi="Times New Roman" w:cs="Times New Roman"/>
          <w:sz w:val="28"/>
          <w:szCs w:val="28"/>
          <w:lang w:val="uk-UA"/>
        </w:rPr>
        <w:t>27</w:t>
      </w:r>
      <w:r w:rsidR="00052B26" w:rsidRPr="001B5DE3">
        <w:rPr>
          <w:rFonts w:ascii="Times New Roman" w:hAnsi="Times New Roman" w:cs="Times New Roman"/>
          <w:sz w:val="28"/>
          <w:szCs w:val="28"/>
          <w:lang w:val="uk-UA"/>
        </w:rPr>
        <w:t>.12.</w:t>
      </w:r>
      <w:r w:rsidR="00052B26" w:rsidRPr="00315E69">
        <w:rPr>
          <w:rFonts w:ascii="Times New Roman" w:hAnsi="Times New Roman" w:cs="Times New Roman"/>
          <w:sz w:val="28"/>
          <w:szCs w:val="28"/>
          <w:lang w:val="uk-UA"/>
        </w:rPr>
        <w:t>200</w:t>
      </w:r>
      <w:r w:rsidR="00052B26" w:rsidRPr="001B5DE3">
        <w:rPr>
          <w:rFonts w:ascii="Times New Roman" w:hAnsi="Times New Roman" w:cs="Times New Roman"/>
          <w:sz w:val="28"/>
          <w:szCs w:val="28"/>
          <w:lang w:val="uk-UA"/>
        </w:rPr>
        <w:t xml:space="preserve">1 </w:t>
      </w:r>
      <w:r w:rsidRPr="00315E69">
        <w:rPr>
          <w:rFonts w:ascii="Times New Roman" w:hAnsi="Times New Roman" w:cs="Times New Roman"/>
          <w:sz w:val="28"/>
          <w:szCs w:val="28"/>
          <w:lang w:val="uk-UA"/>
        </w:rPr>
        <w:t>№</w:t>
      </w:r>
      <w:r w:rsidRPr="001B5DE3">
        <w:rPr>
          <w:rFonts w:ascii="Times New Roman" w:hAnsi="Times New Roman" w:cs="Times New Roman"/>
          <w:sz w:val="28"/>
          <w:szCs w:val="28"/>
        </w:rPr>
        <w:t> </w:t>
      </w:r>
      <w:r w:rsidRPr="00315E69">
        <w:rPr>
          <w:rFonts w:ascii="Times New Roman" w:hAnsi="Times New Roman" w:cs="Times New Roman"/>
          <w:sz w:val="28"/>
          <w:szCs w:val="28"/>
          <w:lang w:val="uk-UA"/>
        </w:rPr>
        <w:t>1764 “Про затвердження Порядку державного фінансування капітального будівництва” (</w:t>
      </w:r>
      <w:r w:rsidR="00C0072B" w:rsidRPr="001B5DE3">
        <w:rPr>
          <w:rFonts w:ascii="Times New Roman" w:hAnsi="Times New Roman" w:cs="Times New Roman"/>
          <w:sz w:val="28"/>
          <w:szCs w:val="28"/>
          <w:lang w:val="uk-UA"/>
        </w:rPr>
        <w:t>із</w:t>
      </w:r>
      <w:r w:rsidR="00C0072B" w:rsidRPr="00315E69">
        <w:rPr>
          <w:rFonts w:ascii="Times New Roman" w:hAnsi="Times New Roman" w:cs="Times New Roman"/>
          <w:sz w:val="28"/>
          <w:szCs w:val="28"/>
          <w:lang w:val="uk-UA"/>
        </w:rPr>
        <w:t xml:space="preserve"> змінами) та від 04</w:t>
      </w:r>
      <w:r w:rsidR="00C0072B" w:rsidRPr="001B5DE3">
        <w:rPr>
          <w:rFonts w:ascii="Times New Roman" w:hAnsi="Times New Roman" w:cs="Times New Roman"/>
          <w:sz w:val="28"/>
          <w:szCs w:val="28"/>
          <w:lang w:val="uk-UA"/>
        </w:rPr>
        <w:t>.12</w:t>
      </w:r>
      <w:r w:rsidR="00C0072B" w:rsidRPr="00315E69">
        <w:rPr>
          <w:rFonts w:ascii="Times New Roman" w:hAnsi="Times New Roman" w:cs="Times New Roman"/>
          <w:sz w:val="28"/>
          <w:szCs w:val="28"/>
          <w:lang w:val="uk-UA"/>
        </w:rPr>
        <w:t>2019</w:t>
      </w:r>
      <w:r w:rsidR="00C0072B" w:rsidRPr="001B5DE3">
        <w:rPr>
          <w:rFonts w:ascii="Times New Roman" w:hAnsi="Times New Roman" w:cs="Times New Roman"/>
          <w:sz w:val="28"/>
          <w:szCs w:val="28"/>
          <w:lang w:val="uk-UA"/>
        </w:rPr>
        <w:t xml:space="preserve"> </w:t>
      </w:r>
      <w:r w:rsidRPr="00315E69">
        <w:rPr>
          <w:rFonts w:ascii="Times New Roman" w:hAnsi="Times New Roman" w:cs="Times New Roman"/>
          <w:sz w:val="28"/>
          <w:szCs w:val="28"/>
          <w:lang w:val="uk-UA"/>
        </w:rPr>
        <w:t>№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(із змінами) установи, які фінансуються з місцевих бюджетів, мають право здійснювати попередню оплату за роботи та послуги капітального характеру.</w:t>
      </w:r>
    </w:p>
    <w:p w:rsidR="00882B32" w:rsidRPr="001B5DE3" w:rsidRDefault="00882B32" w:rsidP="00A60BE1">
      <w:pPr>
        <w:pStyle w:val="a5"/>
        <w:spacing w:after="0" w:line="252" w:lineRule="auto"/>
        <w:ind w:left="0" w:firstLine="709"/>
        <w:rPr>
          <w:sz w:val="28"/>
          <w:szCs w:val="28"/>
          <w:lang w:eastAsia="en-US"/>
        </w:rPr>
      </w:pPr>
      <w:r w:rsidRPr="001B5DE3">
        <w:rPr>
          <w:sz w:val="28"/>
          <w:szCs w:val="28"/>
          <w:lang w:eastAsia="en-US"/>
        </w:rPr>
        <w:t xml:space="preserve">Згідно із проведеним аналізом встановлено: </w:t>
      </w:r>
    </w:p>
    <w:p w:rsidR="00882B32" w:rsidRPr="001B5DE3" w:rsidRDefault="00882B32" w:rsidP="00A60BE1">
      <w:pPr>
        <w:spacing w:after="0" w:line="252"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прострочена дебіторська заборгованість загального фонду протягом </w:t>
      </w:r>
      <w:r w:rsidRPr="001B5DE3">
        <w:rPr>
          <w:rFonts w:ascii="Times New Roman" w:hAnsi="Times New Roman" w:cs="Times New Roman"/>
          <w:sz w:val="28"/>
          <w:szCs w:val="28"/>
        </w:rPr>
        <w:br/>
        <w:t>І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івріччя 2021 року збільшилась на 0,2 млн грн і станом на 01 липня 2021 року складає</w:t>
      </w:r>
      <w:r w:rsidR="00DE0948">
        <w:rPr>
          <w:rFonts w:ascii="Times New Roman" w:hAnsi="Times New Roman" w:cs="Times New Roman"/>
          <w:sz w:val="28"/>
          <w:szCs w:val="28"/>
          <w:lang w:val="uk-UA"/>
        </w:rPr>
        <w:t xml:space="preserve"> </w:t>
      </w:r>
      <w:r w:rsidRPr="001B5DE3">
        <w:rPr>
          <w:rFonts w:ascii="Times New Roman" w:hAnsi="Times New Roman" w:cs="Times New Roman"/>
          <w:sz w:val="28"/>
          <w:szCs w:val="28"/>
        </w:rPr>
        <w:t>1,0</w:t>
      </w:r>
      <w:r w:rsidR="00DE0948">
        <w:rPr>
          <w:rFonts w:ascii="Times New Roman" w:hAnsi="Times New Roman" w:cs="Times New Roman"/>
          <w:sz w:val="28"/>
          <w:szCs w:val="28"/>
          <w:lang w:val="uk-UA"/>
        </w:rPr>
        <w:t xml:space="preserve"> </w:t>
      </w:r>
      <w:r w:rsidRPr="001B5DE3">
        <w:rPr>
          <w:rFonts w:ascii="Times New Roman" w:hAnsi="Times New Roman" w:cs="Times New Roman"/>
          <w:sz w:val="28"/>
          <w:szCs w:val="28"/>
        </w:rPr>
        <w:t>млн</w:t>
      </w:r>
      <w:r w:rsidR="00DE0948">
        <w:rPr>
          <w:rFonts w:ascii="Times New Roman" w:hAnsi="Times New Roman" w:cs="Times New Roman"/>
          <w:sz w:val="28"/>
          <w:szCs w:val="28"/>
          <w:lang w:val="uk-UA"/>
        </w:rPr>
        <w:t xml:space="preserve"> </w:t>
      </w:r>
      <w:r w:rsidRPr="001B5DE3">
        <w:rPr>
          <w:rFonts w:ascii="Times New Roman" w:hAnsi="Times New Roman" w:cs="Times New Roman"/>
          <w:sz w:val="28"/>
          <w:szCs w:val="28"/>
        </w:rPr>
        <w:t>грн.</w:t>
      </w:r>
      <w:r w:rsidR="00DE0948">
        <w:rPr>
          <w:rFonts w:ascii="Times New Roman" w:hAnsi="Times New Roman" w:cs="Times New Roman"/>
          <w:sz w:val="28"/>
          <w:szCs w:val="28"/>
          <w:lang w:val="uk-UA"/>
        </w:rPr>
        <w:t xml:space="preserve"> </w:t>
      </w:r>
      <w:r w:rsidRPr="001B5DE3">
        <w:rPr>
          <w:rFonts w:ascii="Times New Roman" w:hAnsi="Times New Roman" w:cs="Times New Roman"/>
          <w:sz w:val="28"/>
          <w:szCs w:val="28"/>
        </w:rPr>
        <w:t>Із загальної суми простроченої заборгованості 0,5 млн грн – заборгованість по бюджету міста Нікополь за спожиті енергоносії. Процедура стягнення боргу здійснюється в судовому порядку. </w:t>
      </w:r>
    </w:p>
    <w:p w:rsidR="00882B32" w:rsidRPr="001B5DE3" w:rsidRDefault="00882B32" w:rsidP="00A60BE1">
      <w:pPr>
        <w:spacing w:after="0" w:line="252"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Прострочена дебіторська заборгованість за спеціальним фондом зведеного бюджету області по капітальних видатках протягом І </w:t>
      </w:r>
      <w:proofErr w:type="gramStart"/>
      <w:r w:rsidRPr="001B5DE3">
        <w:rPr>
          <w:rFonts w:ascii="Times New Roman" w:hAnsi="Times New Roman" w:cs="Times New Roman"/>
          <w:sz w:val="28"/>
          <w:szCs w:val="28"/>
        </w:rPr>
        <w:t>п</w:t>
      </w:r>
      <w:proofErr w:type="gramEnd"/>
      <w:r w:rsidRPr="001B5DE3">
        <w:rPr>
          <w:rFonts w:ascii="Times New Roman" w:hAnsi="Times New Roman" w:cs="Times New Roman"/>
          <w:sz w:val="28"/>
          <w:szCs w:val="28"/>
        </w:rPr>
        <w:t>івріччя 2021 року збільшилася на 0,1 млн грн і станом на 01 липня 2021 року складає 10,3 млн грн.  Із них по бюджету міста Дніпро – 5,9 млн грн</w:t>
      </w:r>
      <w:r w:rsidR="0039797E" w:rsidRPr="001B5DE3">
        <w:rPr>
          <w:rFonts w:ascii="Times New Roman" w:hAnsi="Times New Roman" w:cs="Times New Roman"/>
          <w:sz w:val="28"/>
          <w:szCs w:val="28"/>
          <w:lang w:val="uk-UA"/>
        </w:rPr>
        <w:t>,</w:t>
      </w:r>
      <w:r w:rsidRPr="001B5DE3">
        <w:rPr>
          <w:rFonts w:ascii="Times New Roman" w:hAnsi="Times New Roman" w:cs="Times New Roman"/>
          <w:sz w:val="28"/>
          <w:szCs w:val="28"/>
        </w:rPr>
        <w:t xml:space="preserve"> у тому числі:</w:t>
      </w:r>
    </w:p>
    <w:p w:rsidR="00882B32" w:rsidRPr="001B5DE3" w:rsidRDefault="00882B32" w:rsidP="00A60BE1">
      <w:pPr>
        <w:spacing w:after="0" w:line="252" w:lineRule="auto"/>
        <w:ind w:firstLine="709"/>
        <w:jc w:val="both"/>
        <w:rPr>
          <w:rFonts w:ascii="Times New Roman" w:hAnsi="Times New Roman" w:cs="Times New Roman"/>
          <w:sz w:val="28"/>
          <w:szCs w:val="28"/>
        </w:rPr>
      </w:pPr>
      <w:r w:rsidRPr="001B5DE3">
        <w:rPr>
          <w:rFonts w:ascii="Times New Roman" w:hAnsi="Times New Roman" w:cs="Times New Roman"/>
          <w:sz w:val="28"/>
          <w:szCs w:val="28"/>
        </w:rPr>
        <w:t xml:space="preserve">3,0 млн грн ‒ заборгованість, яка виникла у зв’язку з проведенням попередньої оплати на придбання будівельних </w:t>
      </w:r>
      <w:proofErr w:type="gramStart"/>
      <w:r w:rsidRPr="001B5DE3">
        <w:rPr>
          <w:rFonts w:ascii="Times New Roman" w:hAnsi="Times New Roman" w:cs="Times New Roman"/>
          <w:sz w:val="28"/>
          <w:szCs w:val="28"/>
        </w:rPr>
        <w:t>матер</w:t>
      </w:r>
      <w:proofErr w:type="gramEnd"/>
      <w:r w:rsidRPr="001B5DE3">
        <w:rPr>
          <w:rFonts w:ascii="Times New Roman" w:hAnsi="Times New Roman" w:cs="Times New Roman"/>
          <w:sz w:val="28"/>
          <w:szCs w:val="28"/>
        </w:rPr>
        <w:t xml:space="preserve">іалів для проведення робіт з реконструкції, капітального ремонту закладів освіти. Питання погашення заборгованості вирішується </w:t>
      </w:r>
      <w:proofErr w:type="gramStart"/>
      <w:r w:rsidRPr="001B5DE3">
        <w:rPr>
          <w:rFonts w:ascii="Times New Roman" w:hAnsi="Times New Roman" w:cs="Times New Roman"/>
          <w:sz w:val="28"/>
          <w:szCs w:val="28"/>
        </w:rPr>
        <w:t>в</w:t>
      </w:r>
      <w:proofErr w:type="gramEnd"/>
      <w:r w:rsidRPr="001B5DE3">
        <w:rPr>
          <w:rFonts w:ascii="Times New Roman" w:hAnsi="Times New Roman" w:cs="Times New Roman"/>
          <w:sz w:val="28"/>
          <w:szCs w:val="28"/>
        </w:rPr>
        <w:t xml:space="preserve"> судовому порядку;</w:t>
      </w:r>
    </w:p>
    <w:p w:rsidR="00882B32" w:rsidRPr="001B5DE3" w:rsidRDefault="00882B32" w:rsidP="00A60BE1">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rPr>
        <w:t xml:space="preserve">2,8 млн грн – заборгованість, яка виникла у зв’язку </w:t>
      </w:r>
      <w:r w:rsidR="0039797E" w:rsidRPr="001B5DE3">
        <w:rPr>
          <w:rFonts w:ascii="Times New Roman" w:hAnsi="Times New Roman" w:cs="Times New Roman"/>
          <w:sz w:val="28"/>
          <w:szCs w:val="28"/>
          <w:lang w:val="uk-UA"/>
        </w:rPr>
        <w:t>і</w:t>
      </w:r>
      <w:r w:rsidRPr="001B5DE3">
        <w:rPr>
          <w:rFonts w:ascii="Times New Roman" w:hAnsi="Times New Roman" w:cs="Times New Roman"/>
          <w:sz w:val="28"/>
          <w:szCs w:val="28"/>
        </w:rPr>
        <w:t xml:space="preserve">з проведенням попередньої оплати на придбання будівельних матеріалів для проведення робіт з реконструкції дренажно-паводкового каналу “Гнилокиш” (за результатами розгляду  </w:t>
      </w:r>
      <w:proofErr w:type="gramStart"/>
      <w:r w:rsidRPr="001B5DE3">
        <w:rPr>
          <w:rFonts w:ascii="Times New Roman" w:hAnsi="Times New Roman" w:cs="Times New Roman"/>
          <w:sz w:val="28"/>
          <w:szCs w:val="28"/>
        </w:rPr>
        <w:t>справи в</w:t>
      </w:r>
      <w:proofErr w:type="gramEnd"/>
      <w:r w:rsidRPr="001B5DE3">
        <w:rPr>
          <w:rFonts w:ascii="Times New Roman" w:hAnsi="Times New Roman" w:cs="Times New Roman"/>
          <w:sz w:val="28"/>
          <w:szCs w:val="28"/>
        </w:rPr>
        <w:t xml:space="preserve"> суді матеріали щодо стягнення заборгованості передані для виконавчого провадження, термін виконання якого визн</w:t>
      </w:r>
      <w:r w:rsidR="0075149E" w:rsidRPr="001B5DE3">
        <w:rPr>
          <w:rFonts w:ascii="Times New Roman" w:hAnsi="Times New Roman" w:cs="Times New Roman"/>
          <w:sz w:val="28"/>
          <w:szCs w:val="28"/>
        </w:rPr>
        <w:t>ачено до 28.11.2022)</w:t>
      </w:r>
      <w:r w:rsidR="0075149E" w:rsidRPr="001B5DE3">
        <w:rPr>
          <w:rFonts w:ascii="Times New Roman" w:hAnsi="Times New Roman" w:cs="Times New Roman"/>
          <w:sz w:val="28"/>
          <w:szCs w:val="28"/>
          <w:lang w:val="uk-UA"/>
        </w:rPr>
        <w:t>.</w:t>
      </w:r>
    </w:p>
    <w:p w:rsidR="00882B32" w:rsidRPr="001B5DE3" w:rsidRDefault="00882B32" w:rsidP="00A60BE1">
      <w:pPr>
        <w:spacing w:after="0" w:line="252" w:lineRule="auto"/>
        <w:ind w:firstLine="709"/>
        <w:jc w:val="both"/>
        <w:rPr>
          <w:rFonts w:ascii="Times New Roman" w:hAnsi="Times New Roman" w:cs="Times New Roman"/>
          <w:sz w:val="28"/>
          <w:szCs w:val="28"/>
        </w:rPr>
      </w:pPr>
      <w:r w:rsidRPr="001B5DE3">
        <w:rPr>
          <w:rFonts w:ascii="Times New Roman" w:hAnsi="Times New Roman" w:cs="Times New Roman"/>
          <w:sz w:val="28"/>
          <w:szCs w:val="28"/>
          <w:lang w:val="uk-UA"/>
        </w:rPr>
        <w:t>По бюджету міста Кривий Ріг – 2,5</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млн</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грн, із них 2,3</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млн</w:t>
      </w:r>
      <w:r w:rsidRPr="001B5DE3">
        <w:rPr>
          <w:rFonts w:ascii="Times New Roman" w:hAnsi="Times New Roman" w:cs="Times New Roman"/>
          <w:sz w:val="28"/>
          <w:szCs w:val="28"/>
        </w:rPr>
        <w:t> </w:t>
      </w:r>
      <w:r w:rsidRPr="001B5DE3">
        <w:rPr>
          <w:rFonts w:ascii="Times New Roman" w:hAnsi="Times New Roman" w:cs="Times New Roman"/>
          <w:sz w:val="28"/>
          <w:szCs w:val="28"/>
          <w:lang w:val="uk-UA"/>
        </w:rPr>
        <w:t>грн –заборгованість, яка виникла внаслідок попередньої оплати для</w:t>
      </w:r>
      <w:r w:rsidR="0075149E" w:rsidRPr="001B5DE3">
        <w:rPr>
          <w:rFonts w:ascii="Times New Roman" w:hAnsi="Times New Roman" w:cs="Times New Roman"/>
          <w:sz w:val="28"/>
          <w:szCs w:val="28"/>
          <w:lang w:val="uk-UA"/>
        </w:rPr>
        <w:t xml:space="preserve"> виконання робіт з будівництва к</w:t>
      </w:r>
      <w:r w:rsidRPr="001B5DE3">
        <w:rPr>
          <w:rFonts w:ascii="Times New Roman" w:hAnsi="Times New Roman" w:cs="Times New Roman"/>
          <w:sz w:val="28"/>
          <w:szCs w:val="28"/>
          <w:lang w:val="uk-UA"/>
        </w:rPr>
        <w:t xml:space="preserve">ладовища в районі Північного ГЗК. </w:t>
      </w:r>
      <w:r w:rsidRPr="001B5DE3">
        <w:rPr>
          <w:rFonts w:ascii="Times New Roman" w:hAnsi="Times New Roman" w:cs="Times New Roman"/>
          <w:sz w:val="28"/>
          <w:szCs w:val="28"/>
        </w:rPr>
        <w:t xml:space="preserve">Стосовно боржника триває процедура банкрутства. Заява управління капітального будівництва виконкому міської </w:t>
      </w:r>
      <w:proofErr w:type="gramStart"/>
      <w:r w:rsidRPr="001B5DE3">
        <w:rPr>
          <w:rFonts w:ascii="Times New Roman" w:hAnsi="Times New Roman" w:cs="Times New Roman"/>
          <w:sz w:val="28"/>
          <w:szCs w:val="28"/>
        </w:rPr>
        <w:t>ради</w:t>
      </w:r>
      <w:proofErr w:type="gramEnd"/>
      <w:r w:rsidRPr="001B5DE3">
        <w:rPr>
          <w:rFonts w:ascii="Times New Roman" w:hAnsi="Times New Roman" w:cs="Times New Roman"/>
          <w:sz w:val="28"/>
          <w:szCs w:val="28"/>
        </w:rPr>
        <w:t xml:space="preserve"> про визнання грошових вимог за зазначеною заборгованістю включена до реєстру вимог  кредиторів.</w:t>
      </w:r>
      <w:r w:rsidRPr="001B5DE3">
        <w:rPr>
          <w:rFonts w:ascii="Times New Roman" w:hAnsi="Times New Roman" w:cs="Times New Roman"/>
          <w:bCs/>
          <w:sz w:val="28"/>
          <w:szCs w:val="28"/>
        </w:rPr>
        <w:t xml:space="preserve"> </w:t>
      </w:r>
    </w:p>
    <w:p w:rsidR="00882B32" w:rsidRPr="001B5DE3" w:rsidRDefault="00933454" w:rsidP="00A60BE1">
      <w:pPr>
        <w:spacing w:after="0" w:line="252" w:lineRule="auto"/>
        <w:ind w:firstLine="709"/>
        <w:jc w:val="both"/>
        <w:rPr>
          <w:rFonts w:ascii="Times New Roman" w:hAnsi="Times New Roman" w:cs="Times New Roman"/>
          <w:sz w:val="28"/>
          <w:szCs w:val="28"/>
        </w:rPr>
      </w:pPr>
      <w:proofErr w:type="gramStart"/>
      <w:r w:rsidRPr="001B5DE3">
        <w:rPr>
          <w:rFonts w:ascii="Times New Roman" w:hAnsi="Times New Roman" w:cs="Times New Roman"/>
          <w:sz w:val="28"/>
          <w:szCs w:val="28"/>
        </w:rPr>
        <w:t>З</w:t>
      </w:r>
      <w:proofErr w:type="gramEnd"/>
      <w:r w:rsidRPr="001B5DE3">
        <w:rPr>
          <w:rFonts w:ascii="Times New Roman" w:hAnsi="Times New Roman" w:cs="Times New Roman"/>
          <w:sz w:val="28"/>
          <w:szCs w:val="28"/>
        </w:rPr>
        <w:t xml:space="preserve"> підприємствами</w:t>
      </w:r>
      <w:r w:rsidRPr="001B5DE3">
        <w:rPr>
          <w:rFonts w:ascii="Times New Roman" w:hAnsi="Times New Roman" w:cs="Times New Roman"/>
          <w:sz w:val="28"/>
          <w:szCs w:val="28"/>
          <w:lang w:val="uk-UA"/>
        </w:rPr>
        <w:t>-</w:t>
      </w:r>
      <w:r w:rsidR="00882B32" w:rsidRPr="001B5DE3">
        <w:rPr>
          <w:rFonts w:ascii="Times New Roman" w:hAnsi="Times New Roman" w:cs="Times New Roman"/>
          <w:sz w:val="28"/>
          <w:szCs w:val="28"/>
        </w:rPr>
        <w:t>бо</w:t>
      </w:r>
      <w:r w:rsidRPr="001B5DE3">
        <w:rPr>
          <w:rFonts w:ascii="Times New Roman" w:hAnsi="Times New Roman" w:cs="Times New Roman"/>
          <w:sz w:val="28"/>
          <w:szCs w:val="28"/>
        </w:rPr>
        <w:t>ржниками ведеться претензійно</w:t>
      </w:r>
      <w:r w:rsidRPr="001B5DE3">
        <w:rPr>
          <w:rFonts w:ascii="Times New Roman" w:hAnsi="Times New Roman" w:cs="Times New Roman"/>
          <w:sz w:val="28"/>
          <w:szCs w:val="28"/>
          <w:lang w:val="uk-UA"/>
        </w:rPr>
        <w:t>-</w:t>
      </w:r>
      <w:r w:rsidR="00882B32" w:rsidRPr="001B5DE3">
        <w:rPr>
          <w:rFonts w:ascii="Times New Roman" w:hAnsi="Times New Roman" w:cs="Times New Roman"/>
          <w:sz w:val="28"/>
          <w:szCs w:val="28"/>
        </w:rPr>
        <w:t>позовна робота, а також здійснюється підготовка документів для списання простроченої дебіторської заборгованості відповідно до вимог законодавства.</w:t>
      </w:r>
    </w:p>
    <w:p w:rsidR="00CC3037" w:rsidRPr="001B5DE3" w:rsidRDefault="00CC3037" w:rsidP="004F4048">
      <w:pPr>
        <w:spacing w:after="0" w:line="240" w:lineRule="auto"/>
        <w:rPr>
          <w:rFonts w:ascii="Times New Roman" w:hAnsi="Times New Roman" w:cs="Times New Roman"/>
          <w:b/>
          <w:sz w:val="28"/>
          <w:szCs w:val="28"/>
        </w:rPr>
      </w:pPr>
    </w:p>
    <w:p w:rsidR="00342E13" w:rsidRPr="001B5DE3" w:rsidRDefault="00342E13" w:rsidP="004F4048">
      <w:pPr>
        <w:spacing w:after="0" w:line="240" w:lineRule="auto"/>
        <w:rPr>
          <w:rFonts w:ascii="Times New Roman" w:hAnsi="Times New Roman" w:cs="Times New Roman"/>
          <w:b/>
          <w:sz w:val="28"/>
          <w:szCs w:val="28"/>
          <w:lang w:val="uk-UA"/>
        </w:rPr>
      </w:pPr>
    </w:p>
    <w:p w:rsidR="00342E13" w:rsidRPr="001B5DE3" w:rsidRDefault="00342E13" w:rsidP="004F4048">
      <w:pPr>
        <w:spacing w:after="0" w:line="240" w:lineRule="auto"/>
        <w:rPr>
          <w:rFonts w:ascii="Times New Roman" w:hAnsi="Times New Roman" w:cs="Times New Roman"/>
          <w:b/>
          <w:sz w:val="28"/>
          <w:szCs w:val="28"/>
          <w:lang w:val="uk-UA"/>
        </w:rPr>
      </w:pPr>
    </w:p>
    <w:p w:rsidR="00CC3037" w:rsidRPr="001B5DE3" w:rsidRDefault="00CC3037" w:rsidP="006E463A">
      <w:pPr>
        <w:spacing w:after="0" w:line="23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Розвиток туристичної сфери</w:t>
      </w:r>
    </w:p>
    <w:p w:rsidR="00CC3037" w:rsidRPr="001B5DE3" w:rsidRDefault="00CC3037" w:rsidP="006E463A">
      <w:pPr>
        <w:spacing w:after="0" w:line="230" w:lineRule="auto"/>
        <w:rPr>
          <w:rFonts w:ascii="Times New Roman" w:hAnsi="Times New Roman" w:cs="Times New Roman"/>
          <w:sz w:val="16"/>
          <w:szCs w:val="16"/>
          <w:lang w:val="uk-UA"/>
        </w:rPr>
      </w:pP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 метою висвітлення інформації щодо розвитку туризму в регіоні на офіційному сайті облдержадміністрації створено розділ “Туризм”, наповнення якого постійно актуалізується.</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рамках реалізації інвестиційних проєктів, спрямованих на розвиток сфери туризму, до Українського культурного фонду (реалізація грантової програми “Культура. Туризм. Регіони”) від громад Дніпропетровської області подано на розгляд 23 проєкти за трьома лотами: Культурно-туристичний маршрут, Локальний музей, Локальний фестиваль. Згідно з технічним відбором Українського культурного фонду схвалено 16 проєктів.</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Також міським головам Дніпропетровщини запропоновано взяти участь у конкурсі грантів від Ініціативи Європейського союзу “Мери за економічне зростання”.</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Сформовано проєкт заходів до Концепції Державної цільової програми розвитку внутрішнього та виїзного туризму “Мандруй Україною”.</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До переліку Туристичних магнітів України, погодженого Державним агентством розвитку туризму України, від Дніпропетровської області віднесено:</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Петриківський музей етнографії, побуту та народно-прикладного мистецтва, на який за кошти районного бюджету була виготовлена проєктно-кошторисна документація “Реконструкція території (благоустрій) районного музею етнографії, побуту та народно-прикладного мистецтва”, яким передбачається облаштування території музею, а саме: встановлення будиночків в етностилі (3 шт.), огорожі, а також розміщення альтанок і висадка декоративних насаджень;</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м. Кривий Ріг – Індустріальний туризм: розроблена концепція проєкту та дорожня карта.</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sz w:val="28"/>
          <w:szCs w:val="28"/>
          <w:lang w:val="uk-UA"/>
        </w:rPr>
        <w:t xml:space="preserve">Протягом І півріччя 2021 року виготовлено презентаційну друковану продукцію, що відображає туристичні можливості Дніпропетровського регіону. Ця продукція поширюється через: мережу центрів надання адміністративних послуг (21 лютого 2021 року в центрах надання адміністративних послуг області проведено щорічний флешмоб до Всесвітнього </w:t>
      </w:r>
      <w:r w:rsidR="00934819" w:rsidRPr="001B5DE3">
        <w:rPr>
          <w:rFonts w:ascii="Times New Roman" w:hAnsi="Times New Roman"/>
          <w:sz w:val="28"/>
          <w:szCs w:val="28"/>
          <w:lang w:val="uk-UA"/>
        </w:rPr>
        <w:t>д</w:t>
      </w:r>
      <w:r w:rsidRPr="001B5DE3">
        <w:rPr>
          <w:rFonts w:ascii="Times New Roman" w:hAnsi="Times New Roman"/>
          <w:sz w:val="28"/>
          <w:szCs w:val="28"/>
          <w:lang w:val="uk-UA"/>
        </w:rPr>
        <w:t>ня екскурсовода – презентаційний захід з візуальним контентом (відео- та друковані матеріали), Туристичний інформаційний центр м. Дніпро, заклади освіти тощо.</w:t>
      </w:r>
    </w:p>
    <w:p w:rsidR="00DF282F" w:rsidRPr="001B5DE3" w:rsidRDefault="00DF282F" w:rsidP="006E463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Забезпечено підготовчі заходи до широкого представлення туристичних можливостей Дніпропетровщини на всеукраїнському виставковому заході  “Мандруй Україною”, що відбу</w:t>
      </w:r>
      <w:r w:rsidR="00934819" w:rsidRPr="001B5DE3">
        <w:rPr>
          <w:rFonts w:ascii="Times New Roman" w:hAnsi="Times New Roman" w:cs="Times New Roman"/>
          <w:sz w:val="28"/>
          <w:szCs w:val="28"/>
          <w:lang w:val="uk-UA"/>
        </w:rPr>
        <w:t>вся</w:t>
      </w:r>
      <w:r w:rsidRPr="001B5DE3">
        <w:rPr>
          <w:rFonts w:ascii="Times New Roman" w:hAnsi="Times New Roman" w:cs="Times New Roman"/>
          <w:sz w:val="28"/>
          <w:szCs w:val="28"/>
          <w:lang w:val="uk-UA"/>
        </w:rPr>
        <w:t xml:space="preserve"> в рамках святкування 30-ї річниці незалежності України у Національному музеї архіте</w:t>
      </w:r>
      <w:r w:rsidR="00933454" w:rsidRPr="001B5DE3">
        <w:rPr>
          <w:rFonts w:ascii="Times New Roman" w:hAnsi="Times New Roman" w:cs="Times New Roman"/>
          <w:sz w:val="28"/>
          <w:szCs w:val="28"/>
          <w:lang w:val="uk-UA"/>
        </w:rPr>
        <w:t xml:space="preserve">ктури та побуту України </w:t>
      </w:r>
      <w:r w:rsidR="00DE23F9"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xml:space="preserve">(м. Київ, Пирогово). </w:t>
      </w:r>
    </w:p>
    <w:p w:rsidR="00934819" w:rsidRPr="001B5DE3" w:rsidRDefault="00934819" w:rsidP="006E463A">
      <w:pPr>
        <w:tabs>
          <w:tab w:val="right" w:pos="9638"/>
        </w:tabs>
        <w:spacing w:after="0" w:line="230" w:lineRule="auto"/>
        <w:rPr>
          <w:rFonts w:ascii="Times New Roman" w:hAnsi="Times New Roman" w:cs="Times New Roman"/>
          <w:b/>
          <w:sz w:val="28"/>
          <w:szCs w:val="28"/>
          <w:lang w:val="uk-UA"/>
        </w:rPr>
      </w:pPr>
    </w:p>
    <w:p w:rsidR="00CC3037" w:rsidRPr="001B5DE3" w:rsidRDefault="00CC3037" w:rsidP="006E463A">
      <w:pPr>
        <w:tabs>
          <w:tab w:val="right" w:pos="9638"/>
        </w:tabs>
        <w:spacing w:after="0" w:line="23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Паливно-енергетичний комплекс та енергозбереження</w:t>
      </w:r>
      <w:r w:rsidR="00DF282F" w:rsidRPr="001B5DE3">
        <w:rPr>
          <w:rFonts w:ascii="Times New Roman" w:hAnsi="Times New Roman" w:cs="Times New Roman"/>
          <w:b/>
          <w:sz w:val="28"/>
          <w:szCs w:val="28"/>
          <w:lang w:val="uk-UA"/>
        </w:rPr>
        <w:tab/>
      </w:r>
    </w:p>
    <w:p w:rsidR="00CC3037" w:rsidRPr="001B5DE3" w:rsidRDefault="00CC3037" w:rsidP="006E463A">
      <w:pPr>
        <w:spacing w:after="0" w:line="230" w:lineRule="auto"/>
        <w:rPr>
          <w:rFonts w:ascii="Times New Roman" w:hAnsi="Times New Roman" w:cs="Times New Roman"/>
          <w:b/>
          <w:sz w:val="28"/>
          <w:szCs w:val="28"/>
          <w:lang w:val="uk-UA"/>
        </w:rPr>
      </w:pPr>
    </w:p>
    <w:p w:rsidR="00514F9B" w:rsidRPr="001B5DE3" w:rsidRDefault="00514F9B" w:rsidP="00283156">
      <w:pPr>
        <w:pStyle w:val="23"/>
        <w:spacing w:line="221" w:lineRule="auto"/>
        <w:ind w:firstLine="709"/>
        <w:rPr>
          <w:sz w:val="28"/>
          <w:szCs w:val="28"/>
        </w:rPr>
      </w:pPr>
      <w:r w:rsidRPr="001B5DE3">
        <w:rPr>
          <w:sz w:val="28"/>
          <w:szCs w:val="28"/>
        </w:rPr>
        <w:t xml:space="preserve">Підприємства енергогенеруючої галузі області (ВП “Придніпровська ТЕС” ПАТ “ДТЕК Дніпроенерго”, ВП “Криворізька ТЕС” ПАТ “ДТЕК Дніпроенерго”, філія “Середньодніпровська ГЕС” ПрАТ “Укргідроенерго”, </w:t>
      </w:r>
      <w:r w:rsidRPr="001B5DE3">
        <w:rPr>
          <w:sz w:val="28"/>
          <w:szCs w:val="28"/>
        </w:rPr>
        <w:br/>
        <w:t xml:space="preserve">АТ “Дніпровська ТЕЦ”) входять до складу об’єднаної енергетичної системи </w:t>
      </w:r>
      <w:r w:rsidRPr="001B5DE3">
        <w:rPr>
          <w:sz w:val="28"/>
          <w:szCs w:val="28"/>
        </w:rPr>
        <w:lastRenderedPageBreak/>
        <w:t>України, обсяги виробництва електроенергії для кожної станції плануються та встановлюються диспетчерським центром ДП НЕК “Укренерго”, згідно</w:t>
      </w:r>
      <w:r w:rsidR="00934819" w:rsidRPr="001B5DE3">
        <w:rPr>
          <w:sz w:val="28"/>
          <w:szCs w:val="28"/>
        </w:rPr>
        <w:t xml:space="preserve"> з</w:t>
      </w:r>
      <w:r w:rsidRPr="001B5DE3">
        <w:rPr>
          <w:sz w:val="28"/>
          <w:szCs w:val="28"/>
        </w:rPr>
        <w:t xml:space="preserve"> баланс</w:t>
      </w:r>
      <w:r w:rsidR="00934819" w:rsidRPr="001B5DE3">
        <w:rPr>
          <w:sz w:val="28"/>
          <w:szCs w:val="28"/>
        </w:rPr>
        <w:t>ом</w:t>
      </w:r>
      <w:r w:rsidRPr="001B5DE3">
        <w:rPr>
          <w:sz w:val="28"/>
          <w:szCs w:val="28"/>
        </w:rPr>
        <w:t xml:space="preserve"> між виробництвом та споживанням електроенергії, а також з урахуванням роботи усіх енергогенеруючих станцій України.</w:t>
      </w:r>
    </w:p>
    <w:p w:rsidR="00514F9B" w:rsidRPr="001B5DE3" w:rsidRDefault="00514F9B" w:rsidP="00283156">
      <w:pPr>
        <w:pStyle w:val="23"/>
        <w:spacing w:line="221" w:lineRule="auto"/>
        <w:ind w:firstLine="709"/>
        <w:rPr>
          <w:sz w:val="28"/>
          <w:szCs w:val="28"/>
        </w:rPr>
      </w:pPr>
      <w:r w:rsidRPr="001B5DE3">
        <w:rPr>
          <w:sz w:val="28"/>
          <w:szCs w:val="28"/>
        </w:rPr>
        <w:t>У першому півріччі 2021 року в області вироблено 2,6 млрд кВт год електроенергії, що на 7,7% більше відповідного періоду попереднього року.</w:t>
      </w:r>
    </w:p>
    <w:p w:rsidR="00514F9B" w:rsidRPr="001B5DE3" w:rsidRDefault="00514F9B" w:rsidP="00283156">
      <w:pPr>
        <w:spacing w:after="0" w:line="221"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Рішенням Дніпропетровської обласної ради від 01.12.2017 </w:t>
      </w:r>
      <w:r w:rsidR="000758F2" w:rsidRPr="001B5DE3">
        <w:rPr>
          <w:rFonts w:ascii="Times New Roman" w:eastAsia="Times New Roman" w:hAnsi="Times New Roman" w:cs="Times New Roman"/>
          <w:sz w:val="28"/>
          <w:szCs w:val="28"/>
          <w:lang w:val="uk-UA"/>
        </w:rPr>
        <w:br/>
      </w:r>
      <w:r w:rsidRPr="001B5DE3">
        <w:rPr>
          <w:rFonts w:ascii="Times New Roman" w:eastAsia="Times New Roman" w:hAnsi="Times New Roman" w:cs="Times New Roman"/>
          <w:sz w:val="28"/>
          <w:szCs w:val="28"/>
          <w:lang w:val="uk-UA"/>
        </w:rPr>
        <w:t>№ 275-11/</w:t>
      </w:r>
      <w:r w:rsidRPr="001B5DE3">
        <w:rPr>
          <w:rFonts w:ascii="Times New Roman" w:eastAsia="Times New Roman" w:hAnsi="Times New Roman" w:cs="Times New Roman"/>
          <w:sz w:val="28"/>
          <w:szCs w:val="28"/>
          <w:lang w:val="en-US"/>
        </w:rPr>
        <w:t>VII</w:t>
      </w:r>
      <w:r w:rsidR="00934819" w:rsidRPr="001B5DE3">
        <w:rPr>
          <w:rFonts w:ascii="Times New Roman" w:eastAsia="Times New Roman" w:hAnsi="Times New Roman" w:cs="Times New Roman"/>
          <w:sz w:val="28"/>
          <w:szCs w:val="28"/>
          <w:lang w:val="uk-UA"/>
        </w:rPr>
        <w:t xml:space="preserve"> затверджена </w:t>
      </w:r>
      <w:r w:rsidRPr="001B5DE3">
        <w:rPr>
          <w:rFonts w:ascii="Times New Roman" w:eastAsia="Times New Roman" w:hAnsi="Times New Roman" w:cs="Times New Roman"/>
          <w:sz w:val="28"/>
          <w:szCs w:val="28"/>
          <w:lang w:val="uk-UA"/>
        </w:rPr>
        <w:t>Стратегія енергозбереження, енергоефективності та розвитку відновлюваних джерел енергії Дніпропетровсь</w:t>
      </w:r>
      <w:r w:rsidR="000758F2" w:rsidRPr="001B5DE3">
        <w:rPr>
          <w:rFonts w:ascii="Times New Roman" w:eastAsia="Times New Roman" w:hAnsi="Times New Roman" w:cs="Times New Roman"/>
          <w:sz w:val="28"/>
          <w:szCs w:val="28"/>
          <w:lang w:val="uk-UA"/>
        </w:rPr>
        <w:t xml:space="preserve">кої області на </w:t>
      </w:r>
      <w:r w:rsidR="000758F2" w:rsidRPr="001B5DE3">
        <w:rPr>
          <w:rFonts w:ascii="Times New Roman" w:eastAsia="Times New Roman" w:hAnsi="Times New Roman" w:cs="Times New Roman"/>
          <w:sz w:val="28"/>
          <w:szCs w:val="28"/>
          <w:lang w:val="uk-UA"/>
        </w:rPr>
        <w:br/>
        <w:t>2018 – 2035 роки</w:t>
      </w:r>
      <w:r w:rsidRPr="001B5DE3">
        <w:rPr>
          <w:rFonts w:ascii="Times New Roman" w:eastAsia="Times New Roman" w:hAnsi="Times New Roman" w:cs="Times New Roman"/>
          <w:sz w:val="28"/>
          <w:szCs w:val="28"/>
          <w:lang w:val="uk-UA"/>
        </w:rPr>
        <w:t xml:space="preserve"> (далі – Стратегія). Головною метою Стратегії є формування умов для забезпечення енергетичної безпеки області на шляху до сталого розвитку. Основними критеріями такої безпеки є поступовий повний перехід на відновлювані джерела енергії та відмова від використання викопного палива.</w:t>
      </w:r>
    </w:p>
    <w:p w:rsidR="00514F9B" w:rsidRPr="001B5DE3" w:rsidRDefault="00514F9B" w:rsidP="00283156">
      <w:pPr>
        <w:spacing w:after="0" w:line="221"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Постійно проводиться інформаційно-роз’яснювальна робота, спрямована на формування у суспільстві свідомого ставлення до необхідності підвищення енергоефективності, розвитку та використанн</w:t>
      </w:r>
      <w:r w:rsidR="000758F2" w:rsidRPr="001B5DE3">
        <w:rPr>
          <w:rFonts w:ascii="Times New Roman" w:eastAsia="Times New Roman" w:hAnsi="Times New Roman" w:cs="Times New Roman"/>
          <w:sz w:val="28"/>
          <w:szCs w:val="28"/>
          <w:lang w:val="uk-UA"/>
        </w:rPr>
        <w:t>я</w:t>
      </w:r>
      <w:r w:rsidRPr="001B5DE3">
        <w:rPr>
          <w:rFonts w:ascii="Times New Roman" w:eastAsia="Times New Roman" w:hAnsi="Times New Roman" w:cs="Times New Roman"/>
          <w:sz w:val="28"/>
          <w:szCs w:val="28"/>
          <w:lang w:val="uk-UA"/>
        </w:rPr>
        <w:t xml:space="preserve"> відновлювальних джерел енергії та альтернативних видів палива, а також надання державної фінансової підтримки населенню, ОСББ та ЖБК для впровадження енергоефективних заходів шляхом відшкодування частини суми кредиту, залученого на придбання енергоефективного обладнання та/або матеріалів.</w:t>
      </w:r>
    </w:p>
    <w:p w:rsidR="00514F9B" w:rsidRPr="001B5DE3" w:rsidRDefault="00514F9B" w:rsidP="00283156">
      <w:pPr>
        <w:spacing w:after="0" w:line="221"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Альтернативна енергетика в Дніпропетровській області представлена сонячними та вітровою електростанціями, сонячними електростанціями приватних домогосподарств, тепловими насосами, Васильківською міні-ГЕС, </w:t>
      </w:r>
      <w:r w:rsidRPr="001B5DE3">
        <w:rPr>
          <w:rFonts w:ascii="Times New Roman" w:eastAsia="Calibri" w:hAnsi="Times New Roman" w:cs="Times New Roman"/>
          <w:sz w:val="28"/>
          <w:szCs w:val="28"/>
          <w:lang w:val="uk-UA" w:eastAsia="en-US"/>
        </w:rPr>
        <w:t>філією “Середньодніпровська ГЕС” ПрАТ “Укргідроенерго”</w:t>
      </w:r>
      <w:r w:rsidRPr="001B5DE3">
        <w:rPr>
          <w:rFonts w:ascii="Times New Roman" w:eastAsia="Times New Roman" w:hAnsi="Times New Roman" w:cs="Times New Roman"/>
          <w:sz w:val="28"/>
          <w:szCs w:val="28"/>
          <w:lang w:val="uk-UA"/>
        </w:rPr>
        <w:t xml:space="preserve">, обладнанням для виробництва електричної та теплової енергії з біогазу та біомаси, а також використанням вторинних енергоресурсів ‒ промислових газів (коксівного, доменного, феросплавного). </w:t>
      </w:r>
    </w:p>
    <w:p w:rsidR="00514F9B" w:rsidRPr="001B5DE3" w:rsidRDefault="00514F9B" w:rsidP="00283156">
      <w:pPr>
        <w:spacing w:after="0" w:line="221"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В області ведеться активна робота з розвитку альтернативної енергетики. Станом на 30.06.2021 загальна кількість об’єктів альтернативної енергетики з урахуванням </w:t>
      </w:r>
      <w:r w:rsidRPr="001B5DE3">
        <w:rPr>
          <w:rFonts w:ascii="Times New Roman" w:eastAsia="Calibri" w:hAnsi="Times New Roman" w:cs="Times New Roman"/>
          <w:sz w:val="28"/>
          <w:szCs w:val="28"/>
          <w:lang w:val="uk-UA" w:eastAsia="en-US"/>
        </w:rPr>
        <w:t xml:space="preserve">філії “Середньодніпровська ГЕС” ПрАТ “Укргідроенерго” </w:t>
      </w:r>
      <w:r w:rsidRPr="001B5DE3">
        <w:rPr>
          <w:rFonts w:ascii="Times New Roman" w:eastAsia="Times New Roman" w:hAnsi="Times New Roman" w:cs="Times New Roman"/>
          <w:sz w:val="28"/>
          <w:szCs w:val="28"/>
          <w:lang w:val="uk-UA"/>
        </w:rPr>
        <w:t>дорівнює 5 424, що на 42% більше ніж за аналогічний період 2020 року.</w:t>
      </w:r>
    </w:p>
    <w:p w:rsidR="00514F9B" w:rsidRPr="001B5DE3" w:rsidRDefault="00514F9B" w:rsidP="00283156">
      <w:pPr>
        <w:spacing w:after="0" w:line="221"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Сумарна електрична потужність об’єктів з урахуванням </w:t>
      </w:r>
      <w:r w:rsidRPr="001B5DE3">
        <w:rPr>
          <w:rFonts w:ascii="Times New Roman" w:eastAsia="Calibri" w:hAnsi="Times New Roman" w:cs="Times New Roman"/>
          <w:sz w:val="28"/>
          <w:szCs w:val="28"/>
          <w:lang w:val="uk-UA" w:eastAsia="en-US"/>
        </w:rPr>
        <w:t xml:space="preserve">філії “Середньодніпровська ГЕС” ПрАТ “Укргідроенерго” – </w:t>
      </w:r>
      <w:r w:rsidRPr="001B5DE3">
        <w:rPr>
          <w:rFonts w:ascii="Times New Roman" w:eastAsia="Times New Roman" w:hAnsi="Times New Roman" w:cs="Times New Roman"/>
          <w:sz w:val="28"/>
          <w:szCs w:val="28"/>
          <w:lang w:val="uk-UA"/>
        </w:rPr>
        <w:t>1 735,74 МВт,</w:t>
      </w:r>
      <w:r w:rsidR="00B15BC3"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lang w:val="uk-UA"/>
        </w:rPr>
        <w:t xml:space="preserve">показники якої збільшились більш ніж на 4% відносно показників І півріччя 2020 року. </w:t>
      </w:r>
    </w:p>
    <w:p w:rsidR="000758F2" w:rsidRPr="001B5DE3" w:rsidRDefault="000758F2" w:rsidP="008B1901">
      <w:pPr>
        <w:spacing w:after="0" w:line="240" w:lineRule="auto"/>
        <w:ind w:firstLine="709"/>
        <w:contextualSpacing/>
        <w:jc w:val="both"/>
        <w:rPr>
          <w:rFonts w:ascii="Times New Roman" w:eastAsia="Times New Roman" w:hAnsi="Times New Roman" w:cs="Times New Roman"/>
          <w:sz w:val="28"/>
          <w:szCs w:val="28"/>
          <w:lang w:val="uk-UA"/>
        </w:rPr>
      </w:pP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Потужність об’єктів з виробництва електроенергії з </w:t>
      </w: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альтернативних джерел енергії, </w:t>
      </w: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МВт</w:t>
      </w:r>
    </w:p>
    <w:p w:rsidR="00514F9B" w:rsidRPr="001B5DE3" w:rsidRDefault="002502FD" w:rsidP="008B1901">
      <w:pPr>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pict>
          <v:shape id="_x0000_s1070" type="#_x0000_t32" style="position:absolute;left:0;text-align:left;margin-left:163.95pt;margin-top:34.05pt;width:107.4pt;height:58.8pt;flip:y;z-index:251691008" o:connectortype="straight" strokecolor="#5f497a [2407]" strokeweight="2.5pt">
            <v:stroke endarrow="block"/>
            <v:shadow color="#868686"/>
          </v:shape>
        </w:pict>
      </w:r>
      <w:r>
        <w:rPr>
          <w:rFonts w:ascii="Times New Roman" w:eastAsia="Times New Roman" w:hAnsi="Times New Roman" w:cs="Times New Roman"/>
          <w:noProof/>
          <w:sz w:val="28"/>
          <w:szCs w:val="28"/>
          <w:lang w:val="uk-UA" w:eastAsia="uk-UA"/>
        </w:rPr>
        <w:pict>
          <v:oval id="_x0000_s1071" style="position:absolute;left:0;text-align:left;margin-left:176.55pt;margin-top:38.95pt;width:1in;height:48.6pt;z-index:251692032"/>
        </w:pict>
      </w:r>
      <w:r>
        <w:rPr>
          <w:rFonts w:ascii="Times New Roman" w:eastAsia="Times New Roman" w:hAnsi="Times New Roman" w:cs="Times New Roman"/>
          <w:noProof/>
          <w:sz w:val="28"/>
          <w:szCs w:val="28"/>
          <w:lang w:val="uk-UA" w:eastAsia="uk-UA"/>
        </w:rPr>
        <w:pict>
          <v:shape id="_x0000_s1072" type="#_x0000_t202" style="position:absolute;left:0;text-align:left;margin-left:184.95pt;margin-top:49.65pt;width:54.6pt;height:22.8pt;z-index:251693056" strokecolor="white [3212]">
            <v:textbox style="mso-next-textbox:#_x0000_s1072">
              <w:txbxContent>
                <w:p w:rsidR="000710D4" w:rsidRPr="00805BD3" w:rsidRDefault="000710D4" w:rsidP="00514F9B">
                  <w:pPr>
                    <w:rPr>
                      <w:rFonts w:ascii="Times New Roman" w:hAnsi="Times New Roman" w:cs="Times New Roman"/>
                      <w:sz w:val="24"/>
                      <w:szCs w:val="24"/>
                    </w:rPr>
                  </w:pPr>
                  <w:r w:rsidRPr="00805BD3">
                    <w:rPr>
                      <w:rFonts w:ascii="Times New Roman" w:hAnsi="Times New Roman" w:cs="Times New Roman"/>
                      <w:sz w:val="24"/>
                      <w:szCs w:val="24"/>
                    </w:rPr>
                    <w:t>+4,3%</w:t>
                  </w:r>
                </w:p>
              </w:txbxContent>
            </v:textbox>
          </v:shape>
        </w:pict>
      </w:r>
      <w:r w:rsidR="00514F9B" w:rsidRPr="001B5DE3">
        <w:rPr>
          <w:rFonts w:ascii="Times New Roman" w:eastAsia="Times New Roman" w:hAnsi="Times New Roman" w:cs="Times New Roman"/>
          <w:noProof/>
          <w:sz w:val="28"/>
          <w:szCs w:val="28"/>
        </w:rPr>
        <w:drawing>
          <wp:inline distT="0" distB="0" distL="0" distR="0" wp14:anchorId="3A9A9D29" wp14:editId="588BF5E6">
            <wp:extent cx="4572000" cy="147637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23B7" w:rsidRPr="001B5DE3" w:rsidRDefault="00BF23B7" w:rsidP="008B1901">
      <w:pPr>
        <w:spacing w:after="0" w:line="240" w:lineRule="auto"/>
        <w:ind w:firstLine="709"/>
        <w:contextualSpacing/>
        <w:jc w:val="both"/>
        <w:rPr>
          <w:rFonts w:ascii="Times New Roman" w:eastAsia="Times New Roman" w:hAnsi="Times New Roman" w:cs="Times New Roman"/>
          <w:sz w:val="28"/>
          <w:szCs w:val="28"/>
          <w:lang w:val="uk-UA"/>
        </w:rPr>
      </w:pPr>
    </w:p>
    <w:p w:rsidR="00514F9B" w:rsidRPr="001B5DE3" w:rsidRDefault="00514F9B" w:rsidP="008B1901">
      <w:pPr>
        <w:spacing w:after="0" w:line="240"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lastRenderedPageBreak/>
        <w:t>Сумарна теплова потужність 2 059,32 МВт, що на 0,6% більше ніж за аналогічний період минулого року.</w:t>
      </w:r>
    </w:p>
    <w:p w:rsidR="00BF23B7" w:rsidRPr="001B5DE3" w:rsidRDefault="00BF23B7" w:rsidP="008B1901">
      <w:pPr>
        <w:spacing w:after="0" w:line="240" w:lineRule="auto"/>
        <w:jc w:val="center"/>
        <w:rPr>
          <w:rFonts w:ascii="Times New Roman" w:hAnsi="Times New Roman" w:cs="Times New Roman"/>
          <w:b/>
          <w:sz w:val="28"/>
          <w:szCs w:val="28"/>
          <w:lang w:val="uk-UA"/>
        </w:rPr>
      </w:pP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 xml:space="preserve">Потужність об’єктів з виробництва теплової енергії з </w:t>
      </w: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альтернативних джерел енергії,</w:t>
      </w:r>
    </w:p>
    <w:p w:rsidR="00514F9B" w:rsidRPr="001B5DE3" w:rsidRDefault="00514F9B" w:rsidP="008B1901">
      <w:pPr>
        <w:spacing w:after="0" w:line="240" w:lineRule="auto"/>
        <w:jc w:val="center"/>
        <w:rPr>
          <w:rFonts w:ascii="Times New Roman" w:hAnsi="Times New Roman" w:cs="Times New Roman"/>
          <w:b/>
          <w:sz w:val="28"/>
          <w:szCs w:val="28"/>
          <w:lang w:val="uk-UA"/>
        </w:rPr>
      </w:pPr>
      <w:r w:rsidRPr="001B5DE3">
        <w:rPr>
          <w:rFonts w:ascii="Times New Roman" w:hAnsi="Times New Roman" w:cs="Times New Roman"/>
          <w:b/>
          <w:sz w:val="28"/>
          <w:szCs w:val="28"/>
          <w:lang w:val="uk-UA"/>
        </w:rPr>
        <w:t>МВт</w:t>
      </w:r>
    </w:p>
    <w:p w:rsidR="00514F9B" w:rsidRPr="001B5DE3" w:rsidRDefault="002502FD" w:rsidP="008B1901">
      <w:pPr>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pict>
          <v:shape id="_x0000_s1074" type="#_x0000_t202" style="position:absolute;left:0;text-align:left;margin-left:184.35pt;margin-top:39.3pt;width:57.6pt;height:24pt;z-index:251695104">
            <v:textbox style="mso-next-textbox:#_x0000_s1074">
              <w:txbxContent>
                <w:p w:rsidR="000710D4" w:rsidRPr="004A6309" w:rsidRDefault="000710D4" w:rsidP="00514F9B">
                  <w:pPr>
                    <w:rPr>
                      <w:rFonts w:ascii="Times New Roman" w:hAnsi="Times New Roman" w:cs="Times New Roman"/>
                      <w:sz w:val="24"/>
                      <w:szCs w:val="24"/>
                    </w:rPr>
                  </w:pPr>
                  <w:r>
                    <w:rPr>
                      <w:rFonts w:ascii="Times New Roman" w:hAnsi="Times New Roman" w:cs="Times New Roman"/>
                      <w:sz w:val="24"/>
                      <w:szCs w:val="24"/>
                    </w:rPr>
                    <w:t>+ 0,6%</w:t>
                  </w:r>
                </w:p>
              </w:txbxContent>
            </v:textbox>
          </v:shape>
        </w:pict>
      </w:r>
      <w:r>
        <w:rPr>
          <w:rFonts w:ascii="Times New Roman" w:eastAsia="Times New Roman" w:hAnsi="Times New Roman" w:cs="Times New Roman"/>
          <w:noProof/>
          <w:sz w:val="28"/>
          <w:szCs w:val="28"/>
          <w:lang w:val="uk-UA" w:eastAsia="uk-UA"/>
        </w:rPr>
        <w:pict>
          <v:shape id="_x0000_s1073" type="#_x0000_t32" style="position:absolute;left:0;text-align:left;margin-left:165.75pt;margin-top:22.5pt;width:100.8pt;height:58.2pt;flip:y;z-index:251694080" o:connectortype="straight" strokecolor="#f79646 [3209]" strokeweight="5pt">
            <v:stroke endarrow="block"/>
            <v:shadow color="#868686"/>
          </v:shape>
        </w:pict>
      </w:r>
      <w:r w:rsidR="00514F9B" w:rsidRPr="001B5DE3">
        <w:rPr>
          <w:rFonts w:ascii="Times New Roman" w:eastAsia="Times New Roman" w:hAnsi="Times New Roman" w:cs="Times New Roman"/>
          <w:noProof/>
          <w:sz w:val="28"/>
          <w:szCs w:val="28"/>
        </w:rPr>
        <w:drawing>
          <wp:inline distT="0" distB="0" distL="0" distR="0" wp14:anchorId="0C6567C0" wp14:editId="2949F982">
            <wp:extent cx="4572000" cy="1647825"/>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4F9B" w:rsidRPr="001B5DE3" w:rsidRDefault="00514F9B" w:rsidP="008B1901">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Дніпропетровська область є лідером серед регіонів України з загальної кількості приватних домогосподарств, що встановили сонячні електростанції, станом на 30.06.2021 їх налічується 5 078, що на 46% перевищує показники </w:t>
      </w:r>
      <w:r w:rsidRPr="001B5DE3">
        <w:rPr>
          <w:rFonts w:ascii="Times New Roman" w:eastAsia="Times New Roman" w:hAnsi="Times New Roman" w:cs="Times New Roman"/>
          <w:sz w:val="28"/>
          <w:szCs w:val="28"/>
          <w:lang w:val="uk-UA"/>
        </w:rPr>
        <w:br/>
        <w:t xml:space="preserve">І півріччя 2020 року, потужністю 141,12 МВт, яка збільшилась на 48%. </w:t>
      </w:r>
    </w:p>
    <w:p w:rsidR="00514F9B" w:rsidRPr="001B5DE3" w:rsidRDefault="00514F9B" w:rsidP="008B1901">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За 5 місяців 2021 року об’єктами альтернативної енергетики, з урахуванням філії “Середньодніпровська ГЕС” ПрАТ “Укргідроенерго”, вироблено 1 124,7 млн. кВт*год електричної енергії, тобто спостерігаємо збільшення обсягів виробництва відносно показників січня</w:t>
      </w:r>
      <w:r w:rsidR="00F54FA6" w:rsidRPr="001B5DE3">
        <w:rPr>
          <w:rFonts w:ascii="Times New Roman" w:eastAsia="Times New Roman" w:hAnsi="Times New Roman" w:cs="Times New Roman"/>
          <w:sz w:val="28"/>
          <w:szCs w:val="28"/>
          <w:lang w:val="uk-UA"/>
        </w:rPr>
        <w:t xml:space="preserve"> – </w:t>
      </w:r>
      <w:r w:rsidRPr="001B5DE3">
        <w:rPr>
          <w:rFonts w:ascii="Times New Roman" w:eastAsia="Times New Roman" w:hAnsi="Times New Roman" w:cs="Times New Roman"/>
          <w:sz w:val="28"/>
          <w:szCs w:val="28"/>
          <w:lang w:val="uk-UA"/>
        </w:rPr>
        <w:t xml:space="preserve">травня </w:t>
      </w:r>
      <w:r w:rsidR="00F54FA6" w:rsidRPr="001B5DE3">
        <w:rPr>
          <w:rFonts w:ascii="Times New Roman" w:eastAsia="Times New Roman" w:hAnsi="Times New Roman" w:cs="Times New Roman"/>
          <w:sz w:val="28"/>
          <w:szCs w:val="28"/>
          <w:lang w:val="uk-UA"/>
        </w:rPr>
        <w:br/>
      </w:r>
      <w:r w:rsidRPr="001B5DE3">
        <w:rPr>
          <w:rFonts w:ascii="Times New Roman" w:eastAsia="Times New Roman" w:hAnsi="Times New Roman" w:cs="Times New Roman"/>
          <w:sz w:val="28"/>
          <w:szCs w:val="28"/>
          <w:lang w:val="uk-UA"/>
        </w:rPr>
        <w:t>2020 року у 2 рази.</w:t>
      </w:r>
    </w:p>
    <w:p w:rsidR="00514F9B" w:rsidRPr="001B5DE3" w:rsidRDefault="00514F9B" w:rsidP="008B1901">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Кількість теплової енергії, яка вироблена об’єктами альтернативної енергетики за І півріччя 2021 року, дорівнює 1 140,6 тис. Гкал теплової енергії, що на 11% менше ніж за аналогічний період минулого року.</w:t>
      </w:r>
    </w:p>
    <w:p w:rsidR="00514F9B" w:rsidRPr="001B5DE3" w:rsidRDefault="00514F9B" w:rsidP="008B1901">
      <w:pPr>
        <w:spacing w:after="0" w:line="240"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Частка сумарної потужності електрогенеруючого обладнання на альтернативних видах палива в регіоні, відсотків до загальної потужності цього обладнання регіону, з урахуванням потужності філії “Середньодніпровська ГЕС” ПрАТ “Укргідроенерго”, складає 34,6%, що на 1% більше показника </w:t>
      </w:r>
      <w:r w:rsidR="00985F92" w:rsidRPr="001B5DE3">
        <w:rPr>
          <w:rFonts w:ascii="Times New Roman" w:eastAsia="Times New Roman" w:hAnsi="Times New Roman" w:cs="Times New Roman"/>
          <w:sz w:val="28"/>
          <w:szCs w:val="28"/>
          <w:lang w:val="uk-UA"/>
        </w:rPr>
        <w:br/>
      </w:r>
      <w:r w:rsidRPr="001B5DE3">
        <w:rPr>
          <w:rFonts w:ascii="Times New Roman" w:eastAsia="Times New Roman" w:hAnsi="Times New Roman" w:cs="Times New Roman"/>
          <w:sz w:val="28"/>
          <w:szCs w:val="28"/>
          <w:lang w:val="uk-UA"/>
        </w:rPr>
        <w:t>І півріччя 2020 року.</w:t>
      </w:r>
    </w:p>
    <w:p w:rsidR="00514F9B" w:rsidRPr="001B5DE3" w:rsidRDefault="00514F9B" w:rsidP="008B1901">
      <w:pPr>
        <w:spacing w:after="0" w:line="240" w:lineRule="auto"/>
        <w:ind w:firstLine="709"/>
        <w:contextualSpacing/>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Частка сумарної потужності об’єктів з виробництва теплової енергії з альтернативних джерел енергії та альтернативних видів в області, відсотків до загальної пот</w:t>
      </w:r>
      <w:r w:rsidR="00F54FA6" w:rsidRPr="001B5DE3">
        <w:rPr>
          <w:rFonts w:ascii="Times New Roman" w:eastAsia="Times New Roman" w:hAnsi="Times New Roman" w:cs="Times New Roman"/>
          <w:sz w:val="28"/>
          <w:szCs w:val="28"/>
          <w:lang w:val="uk-UA"/>
        </w:rPr>
        <w:t xml:space="preserve">ужності цих об’єктів, складає </w:t>
      </w:r>
      <w:r w:rsidRPr="001B5DE3">
        <w:rPr>
          <w:rFonts w:ascii="Times New Roman" w:eastAsia="Times New Roman" w:hAnsi="Times New Roman" w:cs="Times New Roman"/>
          <w:sz w:val="28"/>
          <w:szCs w:val="28"/>
          <w:lang w:val="uk-UA"/>
        </w:rPr>
        <w:t>17,97 %, що на 0,04 % більше ніж за аналогічний період минулого року.</w:t>
      </w:r>
    </w:p>
    <w:p w:rsidR="00514F9B" w:rsidRPr="001B5DE3" w:rsidRDefault="00514F9B" w:rsidP="008B1901">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В області запроваджується система енергетичного менеджменту та енергетичного моніторингу в бюджетних установах. Станом на 30.06.2021 кількість будівель бюджетної сфери</w:t>
      </w:r>
      <w:r w:rsidR="00F54FA6"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lang w:val="uk-UA"/>
        </w:rPr>
        <w:t xml:space="preserve"> охоплених системою енергетичного моніторингу, з урахуванням Національної бази даних будівель (проєкт Мінрегіону), дорівнює 1 704, що на 54% більше показників аналогічного періоду минулого року. </w:t>
      </w:r>
    </w:p>
    <w:p w:rsidR="00514F9B" w:rsidRPr="001B5DE3" w:rsidRDefault="00514F9B" w:rsidP="008B1901">
      <w:pPr>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Загальна кількість укладених енергосервісних договорів на 30 червня 2021 року дорівнює 20 (збільшення на 11% відносно показника І півріччя минулого року), у тому числі: 18 по бюджетни</w:t>
      </w:r>
      <w:r w:rsidR="00451E0B" w:rsidRPr="001B5DE3">
        <w:rPr>
          <w:rFonts w:ascii="Times New Roman" w:eastAsia="Times New Roman" w:hAnsi="Times New Roman" w:cs="Times New Roman"/>
          <w:sz w:val="28"/>
          <w:szCs w:val="28"/>
          <w:lang w:val="uk-UA"/>
        </w:rPr>
        <w:t>х</w:t>
      </w:r>
      <w:r w:rsidRPr="001B5DE3">
        <w:rPr>
          <w:rFonts w:ascii="Times New Roman" w:eastAsia="Times New Roman" w:hAnsi="Times New Roman" w:cs="Times New Roman"/>
          <w:sz w:val="28"/>
          <w:szCs w:val="28"/>
          <w:lang w:val="uk-UA"/>
        </w:rPr>
        <w:t xml:space="preserve"> установа</w:t>
      </w:r>
      <w:r w:rsidR="00451E0B" w:rsidRPr="001B5DE3">
        <w:rPr>
          <w:rFonts w:ascii="Times New Roman" w:eastAsia="Times New Roman" w:hAnsi="Times New Roman" w:cs="Times New Roman"/>
          <w:sz w:val="28"/>
          <w:szCs w:val="28"/>
          <w:lang w:val="uk-UA"/>
        </w:rPr>
        <w:t>х</w:t>
      </w:r>
      <w:r w:rsidRPr="001B5DE3">
        <w:rPr>
          <w:rFonts w:ascii="Times New Roman" w:eastAsia="Times New Roman" w:hAnsi="Times New Roman" w:cs="Times New Roman"/>
          <w:sz w:val="28"/>
          <w:szCs w:val="28"/>
          <w:lang w:val="uk-UA"/>
        </w:rPr>
        <w:t xml:space="preserve"> Криворізької міської ради на загальну суму 19,1 млн грн, середнє очікуване скорочення споживання </w:t>
      </w:r>
      <w:r w:rsidRPr="001B5DE3">
        <w:rPr>
          <w:rFonts w:ascii="Times New Roman" w:hAnsi="Times New Roman" w:cs="Times New Roman"/>
          <w:sz w:val="28"/>
          <w:szCs w:val="28"/>
          <w:lang w:val="uk-UA"/>
        </w:rPr>
        <w:lastRenderedPageBreak/>
        <w:t xml:space="preserve">паливно-енергетичних ресурсів </w:t>
      </w:r>
      <w:r w:rsidRPr="001B5DE3">
        <w:rPr>
          <w:rFonts w:ascii="Times New Roman" w:eastAsia="Times New Roman" w:hAnsi="Times New Roman" w:cs="Times New Roman"/>
          <w:sz w:val="28"/>
          <w:szCs w:val="28"/>
          <w:lang w:val="uk-UA"/>
        </w:rPr>
        <w:t xml:space="preserve">(ПЕР) − 18,6 %, очікуване скорочення витрат на комунальні послуги у термін дії договору </w:t>
      </w:r>
      <w:r w:rsidR="00451E0B" w:rsidRPr="001B5DE3">
        <w:rPr>
          <w:rFonts w:ascii="Times New Roman" w:eastAsia="Times New Roman" w:hAnsi="Times New Roman" w:cs="Times New Roman"/>
          <w:sz w:val="28"/>
          <w:szCs w:val="28"/>
          <w:lang w:val="uk-UA"/>
        </w:rPr>
        <w:t>майже</w:t>
      </w:r>
      <w:r w:rsidR="00B15BC3"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lang w:val="uk-UA"/>
        </w:rPr>
        <w:t>22,2 млн грн та 2 по заклада</w:t>
      </w:r>
      <w:r w:rsidR="00451E0B" w:rsidRPr="001B5DE3">
        <w:rPr>
          <w:rFonts w:ascii="Times New Roman" w:eastAsia="Times New Roman" w:hAnsi="Times New Roman" w:cs="Times New Roman"/>
          <w:sz w:val="28"/>
          <w:szCs w:val="28"/>
          <w:lang w:val="uk-UA"/>
        </w:rPr>
        <w:t>х</w:t>
      </w:r>
      <w:r w:rsidRPr="001B5DE3">
        <w:rPr>
          <w:rFonts w:ascii="Times New Roman" w:eastAsia="Times New Roman" w:hAnsi="Times New Roman" w:cs="Times New Roman"/>
          <w:sz w:val="28"/>
          <w:szCs w:val="28"/>
          <w:lang w:val="uk-UA"/>
        </w:rPr>
        <w:t xml:space="preserve"> освіти обласного підпорядкування на загальну суму 3,03 млн грн, очікуване скорочення споживання ПЕР – 20 %, очікуване скорочення витрат на комунальні послуги у термін дії договору </w:t>
      </w:r>
      <w:r w:rsidR="00451E0B" w:rsidRPr="001B5DE3">
        <w:rPr>
          <w:rFonts w:ascii="Times New Roman" w:eastAsia="Times New Roman" w:hAnsi="Times New Roman" w:cs="Times New Roman"/>
          <w:sz w:val="28"/>
          <w:szCs w:val="28"/>
          <w:lang w:val="uk-UA"/>
        </w:rPr>
        <w:t>майже</w:t>
      </w:r>
      <w:r w:rsidRPr="001B5DE3">
        <w:rPr>
          <w:rFonts w:ascii="Times New Roman" w:eastAsia="Times New Roman" w:hAnsi="Times New Roman" w:cs="Times New Roman"/>
          <w:sz w:val="28"/>
          <w:szCs w:val="28"/>
          <w:lang w:val="uk-UA"/>
        </w:rPr>
        <w:t xml:space="preserve"> 3,52 млн грн.</w:t>
      </w:r>
    </w:p>
    <w:p w:rsidR="00514F9B" w:rsidRPr="001B5DE3" w:rsidRDefault="00514F9B" w:rsidP="008B1901">
      <w:pPr>
        <w:spacing w:after="0" w:line="240" w:lineRule="auto"/>
        <w:ind w:firstLine="709"/>
        <w:jc w:val="both"/>
        <w:rPr>
          <w:rFonts w:ascii="Times New Roman" w:hAnsi="Times New Roman" w:cs="Times New Roman"/>
          <w:sz w:val="28"/>
          <w:szCs w:val="28"/>
          <w:lang w:val="uk-UA"/>
        </w:rPr>
      </w:pPr>
    </w:p>
    <w:p w:rsidR="00CC3037" w:rsidRPr="001B5DE3" w:rsidRDefault="00CC3037" w:rsidP="004F4048">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Охорона навколишнього природного середовища</w:t>
      </w:r>
    </w:p>
    <w:p w:rsidR="00CC3037" w:rsidRPr="001B5DE3" w:rsidRDefault="00CC3037" w:rsidP="004F4048">
      <w:pPr>
        <w:spacing w:after="0" w:line="240" w:lineRule="auto"/>
        <w:rPr>
          <w:rFonts w:ascii="Times New Roman" w:hAnsi="Times New Roman" w:cs="Times New Roman"/>
          <w:sz w:val="28"/>
          <w:szCs w:val="28"/>
          <w:lang w:val="uk-UA"/>
        </w:rPr>
      </w:pPr>
    </w:p>
    <w:p w:rsidR="00F53522" w:rsidRPr="001B5DE3" w:rsidRDefault="00F53522" w:rsidP="00CD7A15">
      <w:pPr>
        <w:pStyle w:val="31"/>
        <w:spacing w:after="0" w:line="226" w:lineRule="auto"/>
        <w:ind w:left="0" w:firstLine="709"/>
        <w:jc w:val="both"/>
        <w:rPr>
          <w:bCs/>
          <w:iCs/>
          <w:sz w:val="28"/>
          <w:szCs w:val="28"/>
          <w:lang w:val="uk-UA"/>
        </w:rPr>
      </w:pPr>
      <w:r w:rsidRPr="001B5DE3">
        <w:rPr>
          <w:sz w:val="28"/>
          <w:szCs w:val="28"/>
          <w:lang w:val="uk-UA"/>
        </w:rPr>
        <w:t>У рамках Дніпропетровської обласної комплексної програми (стратегії) екологічної безпеки та запобігання змінам клімату на 2016 – 2025 роки, затвердженої рішенням Дніпроп</w:t>
      </w:r>
      <w:r w:rsidR="00620FDA" w:rsidRPr="001B5DE3">
        <w:rPr>
          <w:sz w:val="28"/>
          <w:szCs w:val="28"/>
          <w:lang w:val="uk-UA"/>
        </w:rPr>
        <w:t>етровської обласної ради від</w:t>
      </w:r>
      <w:r w:rsidR="00AC1453">
        <w:rPr>
          <w:sz w:val="28"/>
          <w:szCs w:val="28"/>
          <w:lang w:val="uk-UA"/>
        </w:rPr>
        <w:t xml:space="preserve"> </w:t>
      </w:r>
      <w:r w:rsidR="00620FDA" w:rsidRPr="001B5DE3">
        <w:rPr>
          <w:sz w:val="28"/>
          <w:szCs w:val="28"/>
          <w:lang w:val="uk-UA"/>
        </w:rPr>
        <w:t xml:space="preserve">21.10.2015 </w:t>
      </w:r>
      <w:r w:rsidR="00AC1453">
        <w:rPr>
          <w:sz w:val="28"/>
          <w:szCs w:val="28"/>
          <w:lang w:val="uk-UA"/>
        </w:rPr>
        <w:t xml:space="preserve">                  </w:t>
      </w:r>
      <w:r w:rsidRPr="001B5DE3">
        <w:rPr>
          <w:sz w:val="28"/>
          <w:szCs w:val="28"/>
          <w:lang w:val="uk-UA"/>
        </w:rPr>
        <w:t>№ 680</w:t>
      </w:r>
      <w:r w:rsidR="00AC1453">
        <w:rPr>
          <w:sz w:val="28"/>
          <w:szCs w:val="28"/>
          <w:lang w:val="uk-UA"/>
        </w:rPr>
        <w:t>-</w:t>
      </w:r>
      <w:r w:rsidRPr="001B5DE3">
        <w:rPr>
          <w:sz w:val="28"/>
          <w:szCs w:val="28"/>
          <w:lang w:val="uk-UA"/>
        </w:rPr>
        <w:t xml:space="preserve">34/VI (із змінами), у 2021 році з обласного бюджету на впровадження 18 природоохоронних заходів, спрямованих на розв’язання екологічних проблем найбільш техногенно навантажених регіонів області, передбачено 246,8 млн грн. </w:t>
      </w:r>
      <w:r w:rsidRPr="001B5DE3">
        <w:rPr>
          <w:bCs/>
          <w:iCs/>
          <w:sz w:val="28"/>
          <w:szCs w:val="28"/>
          <w:lang w:val="uk-UA"/>
        </w:rPr>
        <w:t>Потягом січня – червня 2021 року використано 31,1 млн грн або 12% від загального обсягу.</w:t>
      </w:r>
    </w:p>
    <w:p w:rsidR="00F53522" w:rsidRPr="001B5DE3" w:rsidRDefault="00F53522" w:rsidP="00CD7A15">
      <w:pPr>
        <w:pStyle w:val="31"/>
        <w:spacing w:after="0" w:line="226" w:lineRule="auto"/>
        <w:ind w:left="0" w:firstLine="709"/>
        <w:jc w:val="both"/>
        <w:rPr>
          <w:bCs/>
          <w:iCs/>
          <w:sz w:val="28"/>
          <w:szCs w:val="28"/>
          <w:lang w:val="uk-UA"/>
        </w:rPr>
      </w:pPr>
      <w:r w:rsidRPr="001B5DE3">
        <w:rPr>
          <w:bCs/>
          <w:iCs/>
          <w:sz w:val="28"/>
          <w:szCs w:val="28"/>
          <w:lang w:val="uk-UA"/>
        </w:rPr>
        <w:t>Погашено кредиторську заборгованість за виконані у 2020 році роботи з будівництва системи каналізації по вулицях Набережна, Центральна, Шосейна та каналізаційно-насосної станції  м. Підгородне Дніпровського району та напірного каналізаційного колектору від каналізац</w:t>
      </w:r>
      <w:r w:rsidR="00620FDA" w:rsidRPr="001B5DE3">
        <w:rPr>
          <w:bCs/>
          <w:iCs/>
          <w:sz w:val="28"/>
          <w:szCs w:val="28"/>
          <w:lang w:val="uk-UA"/>
        </w:rPr>
        <w:t>ійно-насосної станції-1 (проти</w:t>
      </w:r>
      <w:r w:rsidRPr="001B5DE3">
        <w:rPr>
          <w:bCs/>
          <w:iCs/>
          <w:sz w:val="28"/>
          <w:szCs w:val="28"/>
          <w:lang w:val="uk-UA"/>
        </w:rPr>
        <w:t>хімічний захист) до очисних споруд м. Павлоград. Придбано сучасну спецтехніку для санітарного очищення та благоустрою населених пунктів – великовантажні мототранспортні засоби.</w:t>
      </w:r>
    </w:p>
    <w:p w:rsidR="00F53522" w:rsidRPr="001B5DE3" w:rsidRDefault="00F53522" w:rsidP="00CD7A15">
      <w:pPr>
        <w:pStyle w:val="31"/>
        <w:spacing w:after="0" w:line="226" w:lineRule="auto"/>
        <w:ind w:left="0" w:firstLine="709"/>
        <w:jc w:val="both"/>
        <w:rPr>
          <w:sz w:val="28"/>
          <w:szCs w:val="28"/>
          <w:lang w:val="uk-UA"/>
        </w:rPr>
      </w:pPr>
      <w:r w:rsidRPr="001B5DE3">
        <w:rPr>
          <w:sz w:val="28"/>
          <w:szCs w:val="28"/>
          <w:lang w:val="uk-UA"/>
        </w:rPr>
        <w:t>Тривають роботи з поліпшення умов відтворення водних живих ресурсів із влаштуванням нерестових ділянок на р. Самара в районі садибних ділянок Дніпровського району, відновлення гідрологічного режиму та санітарного стану старого русла річки Оріль, очистки акваторії Дніпра в районі першого підйому Аульського водоводу, здійснення протиповеневих заходів та поліпшення гідрологічного стану р. Кам’янка в смт Софіївк</w:t>
      </w:r>
      <w:r w:rsidR="00BA0541" w:rsidRPr="001B5DE3">
        <w:rPr>
          <w:sz w:val="28"/>
          <w:szCs w:val="28"/>
          <w:lang w:val="uk-UA"/>
        </w:rPr>
        <w:t>а, реконструкції каналізаційно-</w:t>
      </w:r>
      <w:r w:rsidRPr="001B5DE3">
        <w:rPr>
          <w:sz w:val="28"/>
          <w:szCs w:val="28"/>
          <w:lang w:val="uk-UA"/>
        </w:rPr>
        <w:t xml:space="preserve">насосної станції “Головна” в м. Нікополь та інші. </w:t>
      </w:r>
    </w:p>
    <w:p w:rsidR="00CC3037" w:rsidRPr="001B5DE3" w:rsidRDefault="00CC3037" w:rsidP="00CD7A15">
      <w:pPr>
        <w:pStyle w:val="31"/>
        <w:spacing w:after="0" w:line="226" w:lineRule="auto"/>
        <w:ind w:left="0" w:firstLine="709"/>
        <w:jc w:val="both"/>
        <w:rPr>
          <w:sz w:val="28"/>
          <w:szCs w:val="28"/>
          <w:lang w:val="uk-UA"/>
        </w:rPr>
      </w:pPr>
    </w:p>
    <w:p w:rsidR="00CC3037" w:rsidRPr="001B5DE3" w:rsidRDefault="00CC3037" w:rsidP="00CD7A15">
      <w:pPr>
        <w:spacing w:after="0" w:line="226" w:lineRule="auto"/>
        <w:ind w:firstLine="709"/>
        <w:rPr>
          <w:rFonts w:ascii="Times New Roman" w:hAnsi="Times New Roman" w:cs="Times New Roman"/>
          <w:b/>
          <w:sz w:val="28"/>
          <w:szCs w:val="28"/>
          <w:lang w:val="uk-UA"/>
        </w:rPr>
      </w:pPr>
      <w:r w:rsidRPr="001B5DE3">
        <w:rPr>
          <w:rFonts w:ascii="Times New Roman" w:hAnsi="Times New Roman" w:cs="Times New Roman"/>
          <w:b/>
          <w:sz w:val="28"/>
          <w:szCs w:val="28"/>
          <w:lang w:val="uk-UA"/>
        </w:rPr>
        <w:t>Захист населення і територій від надзвичайних ситуацій</w:t>
      </w:r>
    </w:p>
    <w:p w:rsidR="00CC3037" w:rsidRPr="001B5DE3" w:rsidRDefault="00CC3037" w:rsidP="00CD7A15">
      <w:pPr>
        <w:spacing w:after="0" w:line="226" w:lineRule="auto"/>
        <w:ind w:firstLine="709"/>
        <w:rPr>
          <w:rFonts w:ascii="Times New Roman" w:hAnsi="Times New Roman" w:cs="Times New Roman"/>
          <w:sz w:val="28"/>
          <w:szCs w:val="28"/>
          <w:lang w:val="uk-UA"/>
        </w:rPr>
      </w:pPr>
    </w:p>
    <w:p w:rsidR="007A07E4" w:rsidRPr="001B5DE3" w:rsidRDefault="007A07E4" w:rsidP="00CD7A15">
      <w:pPr>
        <w:autoSpaceDE w:val="0"/>
        <w:autoSpaceDN w:val="0"/>
        <w:adjustRightInd w:val="0"/>
        <w:spacing w:after="0" w:line="226" w:lineRule="auto"/>
        <w:ind w:firstLine="709"/>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t>З метою зниження рівня техногенно-екологічних ризиків в області у 2021 році продовжено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rsidR="007A07E4" w:rsidRPr="001B5DE3" w:rsidRDefault="007A07E4" w:rsidP="00CD7A15">
      <w:pPr>
        <w:autoSpaceDE w:val="0"/>
        <w:autoSpaceDN w:val="0"/>
        <w:adjustRightInd w:val="0"/>
        <w:spacing w:after="0" w:line="226" w:lineRule="auto"/>
        <w:ind w:firstLine="709"/>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t xml:space="preserve">На виконання Державної цільової програми радіаційного і соціального захисту населення м. Жовті Води на 2013 – 2022 роки, затвердженої постановою Кабінету </w:t>
      </w:r>
      <w:r w:rsidR="00BA0541" w:rsidRPr="001B5DE3">
        <w:rPr>
          <w:rFonts w:ascii="Times New Roman" w:hAnsi="Times New Roman" w:cs="Times New Roman"/>
          <w:bCs/>
          <w:sz w:val="28"/>
          <w:szCs w:val="28"/>
          <w:lang w:val="uk-UA"/>
        </w:rPr>
        <w:t>Міністрів України від 25.06.2012</w:t>
      </w:r>
      <w:r w:rsidR="00DE23F9" w:rsidRPr="001B5DE3">
        <w:rPr>
          <w:rFonts w:ascii="Times New Roman" w:hAnsi="Times New Roman" w:cs="Times New Roman"/>
          <w:bCs/>
          <w:sz w:val="28"/>
          <w:szCs w:val="28"/>
          <w:lang w:val="uk-UA"/>
        </w:rPr>
        <w:t xml:space="preserve"> </w:t>
      </w:r>
      <w:r w:rsidRPr="001B5DE3">
        <w:rPr>
          <w:rFonts w:ascii="Times New Roman" w:hAnsi="Times New Roman" w:cs="Times New Roman"/>
          <w:bCs/>
          <w:sz w:val="28"/>
          <w:szCs w:val="28"/>
          <w:lang w:val="uk-UA"/>
        </w:rPr>
        <w:t>№ 579 (із змінами), з державного бюджету спрямовано 8,4 млн грн, з</w:t>
      </w:r>
      <w:r w:rsidR="00BA0541" w:rsidRPr="001B5DE3">
        <w:rPr>
          <w:rFonts w:ascii="Times New Roman" w:hAnsi="Times New Roman" w:cs="Times New Roman"/>
          <w:bCs/>
          <w:sz w:val="28"/>
          <w:szCs w:val="28"/>
          <w:lang w:val="uk-UA"/>
        </w:rPr>
        <w:t xml:space="preserve"> </w:t>
      </w:r>
      <w:r w:rsidRPr="001B5DE3">
        <w:rPr>
          <w:rFonts w:ascii="Times New Roman" w:hAnsi="Times New Roman" w:cs="Times New Roman"/>
          <w:bCs/>
          <w:sz w:val="28"/>
          <w:szCs w:val="28"/>
          <w:lang w:val="uk-UA"/>
        </w:rPr>
        <w:t>яких протягом січня – червня 2021 року освоєно 2,8 млн грн. Це дало змогу за</w:t>
      </w:r>
      <w:r w:rsidR="00137CBA" w:rsidRPr="001B5DE3">
        <w:rPr>
          <w:rFonts w:ascii="Times New Roman" w:hAnsi="Times New Roman" w:cs="Times New Roman"/>
          <w:bCs/>
          <w:sz w:val="28"/>
          <w:szCs w:val="28"/>
          <w:lang w:val="uk-UA"/>
        </w:rPr>
        <w:t>безпечити харчуванням 3242 дитини</w:t>
      </w:r>
      <w:r w:rsidRPr="001B5DE3">
        <w:rPr>
          <w:rFonts w:ascii="Times New Roman" w:hAnsi="Times New Roman" w:cs="Times New Roman"/>
          <w:bCs/>
          <w:sz w:val="28"/>
          <w:szCs w:val="28"/>
          <w:lang w:val="uk-UA"/>
        </w:rPr>
        <w:t xml:space="preserve">, відшкодувати частину вартості медикаментів, придбаних за рецептами лікарів за 489 зверненнями, надати послугу з зубопротезування </w:t>
      </w:r>
      <w:r w:rsidR="00DE23F9" w:rsidRPr="001B5DE3">
        <w:rPr>
          <w:rFonts w:ascii="Times New Roman" w:hAnsi="Times New Roman" w:cs="Times New Roman"/>
          <w:bCs/>
          <w:sz w:val="28"/>
          <w:szCs w:val="28"/>
          <w:lang w:val="uk-UA"/>
        </w:rPr>
        <w:br/>
      </w:r>
      <w:r w:rsidRPr="001B5DE3">
        <w:rPr>
          <w:rFonts w:ascii="Times New Roman" w:hAnsi="Times New Roman" w:cs="Times New Roman"/>
          <w:bCs/>
          <w:sz w:val="28"/>
          <w:szCs w:val="28"/>
          <w:lang w:val="uk-UA"/>
        </w:rPr>
        <w:t>4 особам, надати матеріальну допомогу на лікування та оздоровлення 145 особам.</w:t>
      </w:r>
    </w:p>
    <w:p w:rsidR="007A07E4" w:rsidRPr="001B5DE3" w:rsidRDefault="007A07E4" w:rsidP="0016337D">
      <w:pPr>
        <w:autoSpaceDE w:val="0"/>
        <w:autoSpaceDN w:val="0"/>
        <w:adjustRightInd w:val="0"/>
        <w:spacing w:after="0" w:line="247" w:lineRule="auto"/>
        <w:ind w:firstLine="709"/>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lastRenderedPageBreak/>
        <w:t>На інженерний захист території у місті Дніпро від небезпечних зсувних процесів з місцевого бюджету спрямовано майже 1,0 млн грн, що дозволить призупинити подальший розвиток негативних явищ.</w:t>
      </w:r>
    </w:p>
    <w:p w:rsidR="00CC3037" w:rsidRPr="001B5DE3" w:rsidRDefault="00CC3037" w:rsidP="0016337D">
      <w:pPr>
        <w:spacing w:after="0" w:line="247" w:lineRule="auto"/>
        <w:rPr>
          <w:rFonts w:ascii="Times New Roman" w:hAnsi="Times New Roman" w:cs="Times New Roman"/>
          <w:b/>
          <w:sz w:val="28"/>
          <w:szCs w:val="28"/>
          <w:lang w:val="uk-UA"/>
        </w:rPr>
      </w:pPr>
    </w:p>
    <w:p w:rsidR="00CC3037" w:rsidRPr="001B5DE3" w:rsidRDefault="00CC3037" w:rsidP="0016337D">
      <w:pPr>
        <w:spacing w:after="0" w:line="247"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Надання адміністративних послуг</w:t>
      </w:r>
    </w:p>
    <w:p w:rsidR="00CC3037" w:rsidRPr="001B5DE3" w:rsidRDefault="00CC3037" w:rsidP="0016337D">
      <w:pPr>
        <w:spacing w:after="0" w:line="247" w:lineRule="auto"/>
        <w:rPr>
          <w:rFonts w:ascii="Times New Roman" w:hAnsi="Times New Roman" w:cs="Times New Roman"/>
          <w:sz w:val="28"/>
          <w:szCs w:val="28"/>
          <w:lang w:val="uk-UA"/>
        </w:rPr>
      </w:pPr>
    </w:p>
    <w:p w:rsidR="007C1E17" w:rsidRPr="001B5DE3" w:rsidRDefault="00E1089E" w:rsidP="0016337D">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підсумками звітного періоду серед 86 територіальних громад Дніпропетровщини ЦНАП з філіями створені та активно функціонують при              49 органах м</w:t>
      </w:r>
      <w:r w:rsidR="007C1E17" w:rsidRPr="001B5DE3">
        <w:rPr>
          <w:rFonts w:ascii="Times New Roman" w:hAnsi="Times New Roman" w:cs="Times New Roman"/>
          <w:sz w:val="28"/>
          <w:szCs w:val="28"/>
          <w:lang w:val="uk-UA"/>
        </w:rPr>
        <w:t>ісцевого самоврядування.</w:t>
      </w:r>
    </w:p>
    <w:p w:rsidR="00E1089E" w:rsidRPr="001B5DE3" w:rsidRDefault="00E1089E" w:rsidP="0016337D">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З початку 2021 року офіційно відкрито 15 нових ЦНАП та 4 філії, зокрема: у Магдалинівській селищній територіальній громаді (24 лютого), Перещепинській міській територіальній громаді з філією в селі Голубівка </w:t>
      </w:r>
      <w:r w:rsidR="00413D3B"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xml:space="preserve">(23 березня), Червоногригорівській селищній громаді з філією в селі Придніпровське, Юр’ївській селищній та Межиріцькій сільській територіальних громадах (01 квітня), Гречаноподівській сільській (07 квітня), Петриківській селищній (08 квітня), Грушівській сільській (20 квітня), Дубовиківській сільській (21 квітня), Миколаївській сільській </w:t>
      </w:r>
      <w:r w:rsidR="000D44C0" w:rsidRPr="001B5DE3">
        <w:rPr>
          <w:rFonts w:ascii="Times New Roman" w:hAnsi="Times New Roman" w:cs="Times New Roman"/>
          <w:sz w:val="28"/>
          <w:szCs w:val="28"/>
          <w:lang w:val="uk-UA"/>
        </w:rPr>
        <w:t xml:space="preserve">(21 квітня) </w:t>
      </w:r>
      <w:r w:rsidRPr="001B5DE3">
        <w:rPr>
          <w:rFonts w:ascii="Times New Roman" w:hAnsi="Times New Roman" w:cs="Times New Roman"/>
          <w:sz w:val="28"/>
          <w:szCs w:val="28"/>
          <w:lang w:val="uk-UA"/>
        </w:rPr>
        <w:t xml:space="preserve">територіальних  громадах, Роздорській селищній та Девладівській сільській громадах (05 травня), Личковській сільській громаді (14 травня), Першотравневській сільській територіальній громаді з філією в селі Лошкарівка (14 червня), Іларіонівській селищній територіальній громаді </w:t>
      </w:r>
      <w:r w:rsidR="000D44C0"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xml:space="preserve">(23 червня) та філію у селищі Новопокровка Дніпровського району </w:t>
      </w:r>
      <w:r w:rsidR="000D44C0"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(04 січня).</w:t>
      </w:r>
    </w:p>
    <w:p w:rsidR="00E1089E" w:rsidRPr="001B5DE3" w:rsidRDefault="00E1089E" w:rsidP="0016337D">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Також ЦНАП виконавчого комітету Першотравенської міської ради та Верхньодніпровської міської ради 30 березня та 15 червня цього року відповідно розпочали свою роботу в модернізованому форматі, що стало можливим завдяки участі зазначених органів місцевого самоврядування в </w:t>
      </w:r>
      <w:r w:rsidR="000D44C0"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ІІІ та IV раундах Програми “U-LEAD з Європою”: напряму з покращення якості надання адміністративних послуг для населення.</w:t>
      </w:r>
    </w:p>
    <w:p w:rsidR="00E1089E" w:rsidRPr="001B5DE3" w:rsidRDefault="000D44C0" w:rsidP="0016337D">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Отже</w:t>
      </w:r>
      <w:r w:rsidR="00E1089E" w:rsidRPr="001B5DE3">
        <w:rPr>
          <w:rFonts w:ascii="Times New Roman" w:hAnsi="Times New Roman" w:cs="Times New Roman"/>
          <w:sz w:val="28"/>
          <w:szCs w:val="28"/>
          <w:lang w:val="uk-UA"/>
        </w:rPr>
        <w:t xml:space="preserve">, у І півріччі 2021 року на Дніпропетровщині функціонували </w:t>
      </w:r>
      <w:r w:rsidR="0044205C" w:rsidRPr="001B5DE3">
        <w:rPr>
          <w:rFonts w:ascii="Times New Roman" w:hAnsi="Times New Roman" w:cs="Times New Roman"/>
          <w:sz w:val="28"/>
          <w:szCs w:val="28"/>
          <w:lang w:val="uk-UA"/>
        </w:rPr>
        <w:br/>
      </w:r>
      <w:r w:rsidR="00E1089E" w:rsidRPr="001B5DE3">
        <w:rPr>
          <w:rFonts w:ascii="Times New Roman" w:hAnsi="Times New Roman" w:cs="Times New Roman"/>
          <w:sz w:val="28"/>
          <w:szCs w:val="28"/>
          <w:lang w:val="uk-UA"/>
        </w:rPr>
        <w:t xml:space="preserve">59 ЦНАП та 14 філій, утворених як при органах місцевого самоврядування </w:t>
      </w:r>
      <w:r w:rsidR="00E1089E" w:rsidRPr="001B5DE3">
        <w:rPr>
          <w:rFonts w:ascii="Times New Roman" w:hAnsi="Times New Roman" w:cs="Times New Roman"/>
          <w:sz w:val="28"/>
          <w:szCs w:val="28"/>
          <w:lang w:val="uk-UA"/>
        </w:rPr>
        <w:br/>
        <w:t>(50 ЦНАП та 13 філій), так і при райдержадміністраціях області (9 центрів з філією в селищі Царичанка), а також 63 віддален</w:t>
      </w:r>
      <w:r w:rsidR="006B16CF" w:rsidRPr="001B5DE3">
        <w:rPr>
          <w:rFonts w:ascii="Times New Roman" w:hAnsi="Times New Roman" w:cs="Times New Roman"/>
          <w:sz w:val="28"/>
          <w:szCs w:val="28"/>
          <w:lang w:val="uk-UA"/>
        </w:rPr>
        <w:t>их</w:t>
      </w:r>
      <w:r w:rsidR="00E1089E" w:rsidRPr="001B5DE3">
        <w:rPr>
          <w:rFonts w:ascii="Times New Roman" w:hAnsi="Times New Roman" w:cs="Times New Roman"/>
          <w:sz w:val="28"/>
          <w:szCs w:val="28"/>
          <w:lang w:val="uk-UA"/>
        </w:rPr>
        <w:t xml:space="preserve"> робоч</w:t>
      </w:r>
      <w:r w:rsidR="006B16CF" w:rsidRPr="001B5DE3">
        <w:rPr>
          <w:rFonts w:ascii="Times New Roman" w:hAnsi="Times New Roman" w:cs="Times New Roman"/>
          <w:sz w:val="28"/>
          <w:szCs w:val="28"/>
          <w:lang w:val="uk-UA"/>
        </w:rPr>
        <w:t>их</w:t>
      </w:r>
      <w:r w:rsidR="00E1089E" w:rsidRPr="001B5DE3">
        <w:rPr>
          <w:rFonts w:ascii="Times New Roman" w:hAnsi="Times New Roman" w:cs="Times New Roman"/>
          <w:sz w:val="28"/>
          <w:szCs w:val="28"/>
          <w:lang w:val="uk-UA"/>
        </w:rPr>
        <w:t xml:space="preserve"> місц</w:t>
      </w:r>
      <w:r w:rsidR="006B16CF" w:rsidRPr="001B5DE3">
        <w:rPr>
          <w:rFonts w:ascii="Times New Roman" w:hAnsi="Times New Roman" w:cs="Times New Roman"/>
          <w:sz w:val="28"/>
          <w:szCs w:val="28"/>
          <w:lang w:val="uk-UA"/>
        </w:rPr>
        <w:t>ь</w:t>
      </w:r>
      <w:r w:rsidR="00E1089E" w:rsidRPr="001B5DE3">
        <w:rPr>
          <w:rFonts w:ascii="Times New Roman" w:hAnsi="Times New Roman" w:cs="Times New Roman"/>
          <w:sz w:val="28"/>
          <w:szCs w:val="28"/>
          <w:lang w:val="uk-UA"/>
        </w:rPr>
        <w:t xml:space="preserve"> ад</w:t>
      </w:r>
      <w:r w:rsidR="0044205C" w:rsidRPr="001B5DE3">
        <w:rPr>
          <w:rFonts w:ascii="Times New Roman" w:hAnsi="Times New Roman" w:cs="Times New Roman"/>
          <w:sz w:val="28"/>
          <w:szCs w:val="28"/>
          <w:lang w:val="uk-UA"/>
        </w:rPr>
        <w:t>міністраторів, що вдвічі більше</w:t>
      </w:r>
      <w:r w:rsidR="00E1089E" w:rsidRPr="001B5DE3">
        <w:rPr>
          <w:rFonts w:ascii="Times New Roman" w:hAnsi="Times New Roman" w:cs="Times New Roman"/>
          <w:sz w:val="28"/>
          <w:szCs w:val="28"/>
          <w:lang w:val="uk-UA"/>
        </w:rPr>
        <w:t xml:space="preserve"> ніж у І кварталі 2021 року, та 3 мобільних офіси (транспортні засоби). Всього 139 точок доступу.</w:t>
      </w:r>
    </w:p>
    <w:p w:rsidR="00E1089E" w:rsidRPr="001B5DE3" w:rsidRDefault="00E1089E" w:rsidP="0016337D">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Завдяки активній участі громад Дніпропетровщини в ІІ</w:t>
      </w:r>
      <w:r w:rsidR="0044205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w:t>
      </w:r>
      <w:r w:rsidR="0044205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IV раундах Програми “U-LEAD з Європою”: напряму з покращення якості надання адміністративних послуг для населення (далі – Програма), в </w:t>
      </w:r>
      <w:r w:rsidR="006B16CF" w:rsidRPr="001B5DE3">
        <w:rPr>
          <w:rFonts w:ascii="Times New Roman" w:hAnsi="Times New Roman" w:cs="Times New Roman"/>
          <w:sz w:val="28"/>
          <w:szCs w:val="28"/>
          <w:lang w:val="uk-UA"/>
        </w:rPr>
        <w:t>ІІ</w:t>
      </w:r>
      <w:r w:rsidRPr="001B5DE3">
        <w:rPr>
          <w:rFonts w:ascii="Times New Roman" w:hAnsi="Times New Roman" w:cs="Times New Roman"/>
          <w:sz w:val="28"/>
          <w:szCs w:val="28"/>
          <w:lang w:val="uk-UA"/>
        </w:rPr>
        <w:t xml:space="preserve"> півріччі </w:t>
      </w:r>
      <w:r w:rsidR="006B16CF"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xml:space="preserve">2021 року заплановано відкриття ще 5 нових ЦНАП у громадах регіону, а саме: Маломихайлівській (Синельниківський район), Піщанській (Новомосковський район) та Саксаганській (Кам’янський район) сільських територіальних громадах, а також у Божедарівській (Кам’янський район) селищній та Підгородненській (Дніпровський район) міській територіальних громадах. </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За рахунок коштів місцевих бюджетів у ІІ півріччі цього року заплановано відкриття ще 7 ЦНАП, утворених у П’ятихатській міській, Вишнівській, Криничанській (Кам’янський район) селищних територіальних громадах, Великомихайлівській (Синельниківський район), Мирівській та Покровській (Нікопольський район) та Святовасилівській (Дніпровський район) сільських територіальних громадах.</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Також протягом звітного періоду забезпечено загальну координацію діяльності окремих органів місцевого самоврядування регіону з включення комплексної послуги “єМалятко” до переліку адміністративних послуг, що надаються через ЦНАП, та отримання доступу адміністраторами центрів до Єдиного державного вебпорталу електронних послуг “Портал Дія” з метою надання інноваційного сервісу батькам новонароджених малюків за однією електронною заявою.</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І півріччі 2021 року адміністратори 54 ЦНАП регіону (з урахуванням філій) були готовими для обслуговування батьків з надання 9 послуг держави за один візит за спрощеною процедурою у рамках упровадження актуальної комплексної послуги “єМалятко”. </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підсумками І півріччя поточного року через ЦНАП регіону надано 2553 комплексні послуг</w:t>
      </w:r>
      <w:r w:rsidR="0044205C" w:rsidRPr="001B5DE3">
        <w:rPr>
          <w:rFonts w:ascii="Times New Roman" w:hAnsi="Times New Roman" w:cs="Times New Roman"/>
          <w:sz w:val="28"/>
          <w:szCs w:val="28"/>
          <w:lang w:val="uk-UA"/>
        </w:rPr>
        <w:t>и “єМалятко”, а саме</w:t>
      </w:r>
      <w:r w:rsidR="00674B6D" w:rsidRPr="001B5DE3">
        <w:rPr>
          <w:rFonts w:ascii="Times New Roman" w:hAnsi="Times New Roman" w:cs="Times New Roman"/>
          <w:sz w:val="28"/>
          <w:szCs w:val="28"/>
          <w:lang w:val="uk-UA"/>
        </w:rPr>
        <w:t>:</w:t>
      </w:r>
      <w:r w:rsidR="0044205C" w:rsidRPr="001B5DE3">
        <w:rPr>
          <w:rFonts w:ascii="Times New Roman" w:hAnsi="Times New Roman" w:cs="Times New Roman"/>
          <w:sz w:val="28"/>
          <w:szCs w:val="28"/>
          <w:lang w:val="uk-UA"/>
        </w:rPr>
        <w:t xml:space="preserve"> через ЦНАП </w:t>
      </w:r>
      <w:r w:rsidRPr="001B5DE3">
        <w:rPr>
          <w:rFonts w:ascii="Times New Roman" w:hAnsi="Times New Roman" w:cs="Times New Roman"/>
          <w:sz w:val="28"/>
          <w:szCs w:val="28"/>
          <w:lang w:val="uk-UA"/>
        </w:rPr>
        <w:t>Криворізької міської ради – 2410 послуг; Кам᾿янської міської ради – 67 послуг; Томаківської селищної ради – 27 послуг; Дніпровської міської ради та Межівської селищної ради – по 14 послуг; Новомосковської та Покровської міських р</w:t>
      </w:r>
      <w:r w:rsidR="0044205C" w:rsidRPr="001B5DE3">
        <w:rPr>
          <w:rFonts w:ascii="Times New Roman" w:hAnsi="Times New Roman" w:cs="Times New Roman"/>
          <w:sz w:val="28"/>
          <w:szCs w:val="28"/>
          <w:lang w:val="uk-UA"/>
        </w:rPr>
        <w:t>ад – по</w:t>
      </w:r>
      <w:r w:rsidR="00A01A43"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8 послуг; Сурсько-Литовської сільської ради – 3 послуги; Вербківської сільської ради – 2 послуги.</w:t>
      </w:r>
    </w:p>
    <w:p w:rsidR="00E1089E" w:rsidRPr="001B5DE3" w:rsidRDefault="00E1089E" w:rsidP="00E1089E">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допомогою 25 мобільних валіз, що є у наявності у 22 ЦНАП регіону (проти 5 таких мобільних валіз у 4 центрах – у 2017 році), вирішуються не тільки багаторічні проблеми людей, прикутих до ліжка, інших маломобільних груп населення, але й мешканців віддалених населених пунктів сільських територій.</w:t>
      </w:r>
      <w:r w:rsidR="0070238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У звітному періоді майже</w:t>
      </w:r>
      <w:r w:rsidR="00BC2C5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1300 адміністративних послуг мешканці Дніпропетровщини оформили завдяки застосуванню мобільних кейсів.</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Дніпропетровщина – перший регіон в Україні за кількістю офісів ЦНАП, де надаються послуги з оформлення й видачі біометричних паспортних документів – 22 офіси ЦНАП у 12 населених пунктах.</w:t>
      </w:r>
      <w:r w:rsidR="00EA662A">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У І півріччі 2021 року таким популярним і важливим сервісом скористалася майже 21 тисяча жителів області. Центри видали 11 242 закордонних паспорти та 9 658 ID-карток.</w:t>
      </w:r>
    </w:p>
    <w:p w:rsidR="00E1089E" w:rsidRPr="001B5DE3" w:rsidRDefault="00E1089E" w:rsidP="00E1089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Крім того, згідно з </w:t>
      </w:r>
      <w:r w:rsidR="00635473" w:rsidRPr="001B5DE3">
        <w:rPr>
          <w:rFonts w:ascii="Times New Roman" w:hAnsi="Times New Roman" w:cs="Times New Roman"/>
          <w:sz w:val="28"/>
          <w:szCs w:val="28"/>
          <w:lang w:val="uk-UA"/>
        </w:rPr>
        <w:t>п</w:t>
      </w:r>
      <w:r w:rsidRPr="001B5DE3">
        <w:rPr>
          <w:rFonts w:ascii="Times New Roman" w:hAnsi="Times New Roman" w:cs="Times New Roman"/>
          <w:sz w:val="28"/>
          <w:szCs w:val="28"/>
          <w:lang w:val="uk-UA"/>
        </w:rPr>
        <w:t>остановою</w:t>
      </w:r>
      <w:r w:rsidR="003F49BA" w:rsidRPr="001B5DE3">
        <w:rPr>
          <w:rFonts w:ascii="Times New Roman" w:hAnsi="Times New Roman" w:cs="Times New Roman"/>
          <w:sz w:val="28"/>
          <w:szCs w:val="28"/>
          <w:lang w:val="uk-UA"/>
        </w:rPr>
        <w:t xml:space="preserve"> </w:t>
      </w:r>
      <w:r w:rsidR="00C87FF4" w:rsidRPr="001B5DE3">
        <w:rPr>
          <w:rFonts w:ascii="Times New Roman" w:hAnsi="Times New Roman" w:cs="Times New Roman"/>
          <w:sz w:val="28"/>
          <w:szCs w:val="28"/>
          <w:lang w:val="uk-UA"/>
        </w:rPr>
        <w:t xml:space="preserve">Кабінету Міністрів України </w:t>
      </w:r>
      <w:r w:rsidR="00635473" w:rsidRPr="001B5DE3">
        <w:rPr>
          <w:rFonts w:ascii="Times New Roman" w:hAnsi="Times New Roman" w:cs="Times New Roman"/>
          <w:sz w:val="28"/>
          <w:szCs w:val="28"/>
          <w:lang w:val="uk-UA"/>
        </w:rPr>
        <w:t>від</w:t>
      </w:r>
      <w:r w:rsidR="00EA662A">
        <w:rPr>
          <w:rFonts w:ascii="Times New Roman" w:hAnsi="Times New Roman" w:cs="Times New Roman"/>
          <w:sz w:val="28"/>
          <w:szCs w:val="28"/>
          <w:lang w:val="uk-UA"/>
        </w:rPr>
        <w:t xml:space="preserve"> </w:t>
      </w:r>
      <w:r w:rsidR="00635473" w:rsidRPr="001B5DE3">
        <w:rPr>
          <w:rFonts w:ascii="Times New Roman" w:hAnsi="Times New Roman" w:cs="Times New Roman"/>
          <w:sz w:val="28"/>
          <w:szCs w:val="28"/>
          <w:lang w:val="uk-UA"/>
        </w:rPr>
        <w:t xml:space="preserve">10 липня 2019 року № 691 </w:t>
      </w:r>
      <w:r w:rsidR="00B0219D" w:rsidRPr="001B5DE3">
        <w:rPr>
          <w:rFonts w:ascii="Times New Roman" w:hAnsi="Times New Roman" w:cs="Times New Roman"/>
          <w:sz w:val="28"/>
          <w:szCs w:val="28"/>
          <w:lang w:val="uk-UA"/>
        </w:rPr>
        <w:t>“</w:t>
      </w:r>
      <w:r w:rsidR="00635473" w:rsidRPr="001B5DE3">
        <w:rPr>
          <w:rFonts w:ascii="Times New Roman" w:hAnsi="Times New Roman" w:cs="Times New Roman"/>
          <w:sz w:val="28"/>
          <w:szCs w:val="28"/>
          <w:lang w:val="uk-UA"/>
        </w:rPr>
        <w:t>Про реалізацію експериментального проекту щодо створення сприятливих умов для реалізації прав дитини”</w:t>
      </w:r>
      <w:r w:rsidRPr="001B5DE3">
        <w:rPr>
          <w:rFonts w:ascii="Times New Roman" w:hAnsi="Times New Roman" w:cs="Times New Roman"/>
          <w:sz w:val="28"/>
          <w:szCs w:val="28"/>
          <w:lang w:val="uk-UA"/>
        </w:rPr>
        <w:t xml:space="preserve">, в 21 офісі ЦНАП регіону, де встановлено обладнання щодо оформлення й видачі біометричних паспортних документів, для осіб віком від 14 до 18 років є доступною офлайн-послуга з оформлення й видачі паспорта громадянина України з безконтактним електронним носієм з одночасною реєстрацією у Державному реєстрі фізичних осіб </w:t>
      </w:r>
      <w:r w:rsidRPr="001B5DE3">
        <w:rPr>
          <w:rFonts w:ascii="Times New Roman" w:hAnsi="Times New Roman" w:cs="Times New Roman"/>
          <w:sz w:val="28"/>
          <w:szCs w:val="28"/>
          <w:lang w:val="uk-UA"/>
        </w:rPr>
        <w:sym w:font="Symbol" w:char="F02D"/>
      </w:r>
      <w:r w:rsidRPr="001B5DE3">
        <w:rPr>
          <w:rFonts w:ascii="Times New Roman" w:hAnsi="Times New Roman" w:cs="Times New Roman"/>
          <w:sz w:val="28"/>
          <w:szCs w:val="28"/>
          <w:lang w:val="uk-UA"/>
        </w:rPr>
        <w:t xml:space="preserve"> платників податків (послуга ID-14), що є яскравим прикладом успішної реалізації комплексної адміністративної  послуги. </w:t>
      </w:r>
      <w:r w:rsidR="0070238A"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 звітному періоді таким актуальним сервісом скористалося понад 1000 підлітків. </w:t>
      </w:r>
    </w:p>
    <w:p w:rsidR="00E1089E" w:rsidRPr="001B5DE3" w:rsidRDefault="00E1089E" w:rsidP="00EA662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Також продовжено інтеграцію адміністративних послуг соціального характеру до ЦНАП органів місцевого самоврядування, як одного з найбільш важливих і необхідних для громадян блоку базових послуг.</w:t>
      </w:r>
    </w:p>
    <w:p w:rsidR="00E1089E" w:rsidRPr="001B5DE3" w:rsidRDefault="00E1089E" w:rsidP="00EA662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Станом на 01 липня 2021 року адміністративні послуги у цій сфері надаються у 40 ЦНАП ре</w:t>
      </w:r>
      <w:r w:rsidR="00F63D29" w:rsidRPr="001B5DE3">
        <w:rPr>
          <w:rFonts w:ascii="Times New Roman" w:hAnsi="Times New Roman" w:cs="Times New Roman"/>
          <w:sz w:val="28"/>
          <w:szCs w:val="28"/>
          <w:lang w:val="uk-UA"/>
        </w:rPr>
        <w:t xml:space="preserve">гіону, що на 13 центрів більше </w:t>
      </w:r>
      <w:r w:rsidRPr="001B5DE3">
        <w:rPr>
          <w:rFonts w:ascii="Times New Roman" w:hAnsi="Times New Roman" w:cs="Times New Roman"/>
          <w:sz w:val="28"/>
          <w:szCs w:val="28"/>
          <w:lang w:val="uk-UA"/>
        </w:rPr>
        <w:t>ніж у І кварталі поточного року, їх 13 територіальних підрозділах (проти 10 філій у</w:t>
      </w:r>
      <w:r w:rsidR="00F63D29" w:rsidRPr="001B5DE3">
        <w:rPr>
          <w:rFonts w:ascii="Times New Roman" w:hAnsi="Times New Roman" w:cs="Times New Roman"/>
          <w:sz w:val="28"/>
          <w:szCs w:val="28"/>
          <w:lang w:val="uk-UA"/>
        </w:rPr>
        <w:t xml:space="preserve"> попередньому звітному періоді)</w:t>
      </w:r>
      <w:r w:rsidRPr="001B5DE3">
        <w:rPr>
          <w:rFonts w:ascii="Times New Roman" w:hAnsi="Times New Roman" w:cs="Times New Roman"/>
          <w:sz w:val="28"/>
          <w:szCs w:val="28"/>
          <w:lang w:val="uk-UA"/>
        </w:rPr>
        <w:t xml:space="preserve"> та на 49 віддалених робочих місцях адміністр</w:t>
      </w:r>
      <w:r w:rsidR="00F63D29" w:rsidRPr="001B5DE3">
        <w:rPr>
          <w:rFonts w:ascii="Times New Roman" w:hAnsi="Times New Roman" w:cs="Times New Roman"/>
          <w:sz w:val="28"/>
          <w:szCs w:val="28"/>
          <w:lang w:val="uk-UA"/>
        </w:rPr>
        <w:t>аторів, яких стало на 23 більше</w:t>
      </w:r>
      <w:r w:rsidRPr="001B5DE3">
        <w:rPr>
          <w:rFonts w:ascii="Times New Roman" w:hAnsi="Times New Roman" w:cs="Times New Roman"/>
          <w:sz w:val="28"/>
          <w:szCs w:val="28"/>
          <w:lang w:val="uk-UA"/>
        </w:rPr>
        <w:t xml:space="preserve"> ніж у І кварталі цього року (всього </w:t>
      </w:r>
      <w:r w:rsidR="00674B6D"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102 точки доступу).</w:t>
      </w:r>
    </w:p>
    <w:p w:rsidR="00E1089E" w:rsidRPr="001B5DE3" w:rsidRDefault="00E1089E" w:rsidP="00EA662A">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Загалом з початку року в регіоні всього надано</w:t>
      </w:r>
      <w:r w:rsidR="00674B6D"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640 416 адміністративних послуг та 317 013 консультацій.  </w:t>
      </w:r>
    </w:p>
    <w:p w:rsidR="00E1089E" w:rsidRPr="001B5DE3" w:rsidRDefault="00E1089E" w:rsidP="00EA662A">
      <w:pPr>
        <w:spacing w:after="0" w:line="230" w:lineRule="auto"/>
        <w:ind w:firstLine="709"/>
        <w:jc w:val="both"/>
        <w:rPr>
          <w:rFonts w:ascii="Times New Roman" w:hAnsi="Times New Roman" w:cs="Times New Roman"/>
          <w:sz w:val="28"/>
          <w:szCs w:val="28"/>
          <w:lang w:val="uk-UA"/>
        </w:rPr>
      </w:pPr>
    </w:p>
    <w:p w:rsidR="00CC3037" w:rsidRPr="001B5DE3" w:rsidRDefault="00CC3037" w:rsidP="00EA662A">
      <w:pPr>
        <w:spacing w:after="0" w:line="23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Зайнятість населення та ринок праці</w:t>
      </w:r>
    </w:p>
    <w:p w:rsidR="00CC3037" w:rsidRPr="001B5DE3" w:rsidRDefault="00CC3037" w:rsidP="00EA662A">
      <w:pPr>
        <w:spacing w:after="0" w:line="230" w:lineRule="auto"/>
        <w:rPr>
          <w:rFonts w:ascii="Times New Roman" w:hAnsi="Times New Roman" w:cs="Times New Roman"/>
          <w:b/>
          <w:sz w:val="28"/>
          <w:szCs w:val="28"/>
          <w:lang w:val="uk-UA"/>
        </w:rPr>
      </w:pPr>
    </w:p>
    <w:p w:rsidR="00C43866" w:rsidRPr="001B5DE3" w:rsidRDefault="00C43866" w:rsidP="00EA662A">
      <w:pPr>
        <w:pStyle w:val="ae"/>
        <w:spacing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Чисельність осіб, які мають статус безробітного, станом на </w:t>
      </w:r>
      <w:r w:rsidRPr="001B5DE3">
        <w:rPr>
          <w:rFonts w:ascii="Times New Roman" w:hAnsi="Times New Roman" w:cs="Times New Roman"/>
          <w:sz w:val="28"/>
          <w:szCs w:val="28"/>
          <w:lang w:val="uk-UA"/>
        </w:rPr>
        <w:br/>
        <w:t xml:space="preserve">01 липня 2021 року склала  26,0 тис. осіб (на 01 липня 2020 року – </w:t>
      </w:r>
      <w:r w:rsidRPr="001B5DE3">
        <w:rPr>
          <w:rFonts w:ascii="Times New Roman" w:hAnsi="Times New Roman" w:cs="Times New Roman"/>
          <w:sz w:val="28"/>
          <w:szCs w:val="28"/>
          <w:lang w:val="uk-UA"/>
        </w:rPr>
        <w:br/>
        <w:t>42,7 тис. осіб), з них допомогу по безробіттю отримують 22,0 тис. осіб.</w:t>
      </w:r>
    </w:p>
    <w:p w:rsidR="00C43866" w:rsidRPr="001B5DE3" w:rsidRDefault="00C43866" w:rsidP="00EA662A">
      <w:pPr>
        <w:pStyle w:val="ae"/>
        <w:spacing w:line="230" w:lineRule="auto"/>
        <w:ind w:firstLine="709"/>
        <w:jc w:val="both"/>
        <w:rPr>
          <w:rFonts w:ascii="Times New Roman" w:hAnsi="Times New Roman" w:cs="Times New Roman"/>
          <w:sz w:val="28"/>
          <w:szCs w:val="28"/>
          <w:lang w:val="uk-UA"/>
        </w:rPr>
      </w:pPr>
    </w:p>
    <w:tbl>
      <w:tblPr>
        <w:tblStyle w:val="ac"/>
        <w:tblW w:w="0" w:type="auto"/>
        <w:tblLook w:val="04A0" w:firstRow="1" w:lastRow="0" w:firstColumn="1" w:lastColumn="0" w:noHBand="0" w:noVBand="1"/>
      </w:tblPr>
      <w:tblGrid>
        <w:gridCol w:w="3284"/>
        <w:gridCol w:w="3285"/>
        <w:gridCol w:w="3178"/>
      </w:tblGrid>
      <w:tr w:rsidR="001B5DE3" w:rsidRPr="001B5DE3" w:rsidTr="00A01A43">
        <w:trPr>
          <w:trHeight w:val="555"/>
          <w:tblHeader/>
        </w:trPr>
        <w:tc>
          <w:tcPr>
            <w:tcW w:w="3284" w:type="dxa"/>
          </w:tcPr>
          <w:p w:rsidR="00C43866" w:rsidRPr="001B5DE3" w:rsidRDefault="00C43866" w:rsidP="00EA662A">
            <w:pPr>
              <w:spacing w:line="230" w:lineRule="auto"/>
              <w:jc w:val="center"/>
              <w:rPr>
                <w:bCs/>
                <w:sz w:val="28"/>
                <w:szCs w:val="28"/>
                <w:lang w:val="uk-UA"/>
              </w:rPr>
            </w:pPr>
            <w:r w:rsidRPr="001B5DE3">
              <w:rPr>
                <w:bCs/>
                <w:sz w:val="28"/>
                <w:szCs w:val="28"/>
                <w:lang w:val="uk-UA"/>
              </w:rPr>
              <w:t>Показник</w:t>
            </w:r>
          </w:p>
        </w:tc>
        <w:tc>
          <w:tcPr>
            <w:tcW w:w="3285" w:type="dxa"/>
          </w:tcPr>
          <w:p w:rsidR="00C43866" w:rsidRPr="001B5DE3" w:rsidRDefault="00C43866" w:rsidP="00EA662A">
            <w:pPr>
              <w:spacing w:line="230" w:lineRule="auto"/>
              <w:jc w:val="center"/>
              <w:rPr>
                <w:bCs/>
                <w:sz w:val="28"/>
                <w:szCs w:val="28"/>
                <w:lang w:val="uk-UA"/>
              </w:rPr>
            </w:pPr>
            <w:r w:rsidRPr="001B5DE3">
              <w:rPr>
                <w:bCs/>
                <w:sz w:val="28"/>
                <w:szCs w:val="28"/>
                <w:lang w:val="uk-UA"/>
              </w:rPr>
              <w:t>на 01.07.2020</w:t>
            </w:r>
          </w:p>
        </w:tc>
        <w:tc>
          <w:tcPr>
            <w:tcW w:w="3178" w:type="dxa"/>
          </w:tcPr>
          <w:p w:rsidR="00C43866" w:rsidRPr="001B5DE3" w:rsidRDefault="00C43866" w:rsidP="00EA662A">
            <w:pPr>
              <w:spacing w:line="230" w:lineRule="auto"/>
              <w:jc w:val="center"/>
              <w:rPr>
                <w:bCs/>
                <w:sz w:val="28"/>
                <w:szCs w:val="28"/>
                <w:lang w:val="uk-UA"/>
              </w:rPr>
            </w:pPr>
            <w:r w:rsidRPr="001B5DE3">
              <w:rPr>
                <w:bCs/>
                <w:sz w:val="28"/>
                <w:szCs w:val="28"/>
                <w:lang w:val="uk-UA"/>
              </w:rPr>
              <w:t>на 01.07.2021</w:t>
            </w:r>
          </w:p>
        </w:tc>
      </w:tr>
      <w:tr w:rsidR="001B5DE3" w:rsidRPr="001B5DE3" w:rsidTr="00A01A43">
        <w:tc>
          <w:tcPr>
            <w:tcW w:w="3284" w:type="dxa"/>
            <w:vAlign w:val="center"/>
          </w:tcPr>
          <w:p w:rsidR="00C43866" w:rsidRPr="001B5DE3" w:rsidRDefault="00C43866" w:rsidP="00EA662A">
            <w:pPr>
              <w:spacing w:line="230" w:lineRule="auto"/>
              <w:rPr>
                <w:bCs/>
                <w:sz w:val="28"/>
                <w:szCs w:val="28"/>
                <w:lang w:val="uk-UA"/>
              </w:rPr>
            </w:pPr>
            <w:r w:rsidRPr="001B5DE3">
              <w:rPr>
                <w:bCs/>
                <w:sz w:val="28"/>
                <w:szCs w:val="28"/>
                <w:lang w:val="uk-UA"/>
              </w:rPr>
              <w:t>Чисельність осіб, які отримували послуги служби зайнятості, осіб</w:t>
            </w:r>
          </w:p>
        </w:tc>
        <w:tc>
          <w:tcPr>
            <w:tcW w:w="3285"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60233</w:t>
            </w:r>
          </w:p>
        </w:tc>
        <w:tc>
          <w:tcPr>
            <w:tcW w:w="3178"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43409</w:t>
            </w:r>
          </w:p>
        </w:tc>
      </w:tr>
      <w:tr w:rsidR="001B5DE3" w:rsidRPr="001B5DE3" w:rsidTr="00A01A43">
        <w:tc>
          <w:tcPr>
            <w:tcW w:w="3284" w:type="dxa"/>
            <w:vAlign w:val="center"/>
          </w:tcPr>
          <w:p w:rsidR="00C43866" w:rsidRPr="001B5DE3" w:rsidRDefault="00C43866" w:rsidP="00EA662A">
            <w:pPr>
              <w:spacing w:line="230" w:lineRule="auto"/>
              <w:ind w:firstLineChars="100" w:firstLine="280"/>
              <w:rPr>
                <w:bCs/>
                <w:sz w:val="28"/>
                <w:szCs w:val="28"/>
                <w:lang w:val="uk-UA"/>
              </w:rPr>
            </w:pPr>
            <w:r w:rsidRPr="001B5DE3">
              <w:rPr>
                <w:iCs/>
                <w:sz w:val="28"/>
                <w:szCs w:val="28"/>
                <w:lang w:val="uk-UA"/>
              </w:rPr>
              <w:t>з них,</w:t>
            </w:r>
            <w:r w:rsidRPr="001B5DE3">
              <w:rPr>
                <w:i/>
                <w:iCs/>
                <w:sz w:val="28"/>
                <w:szCs w:val="28"/>
                <w:lang w:val="uk-UA"/>
              </w:rPr>
              <w:t xml:space="preserve"> </w:t>
            </w:r>
            <w:r w:rsidRPr="001B5DE3">
              <w:rPr>
                <w:bCs/>
                <w:sz w:val="28"/>
                <w:szCs w:val="28"/>
                <w:lang w:val="uk-UA"/>
              </w:rPr>
              <w:t>мали статус безробітного, осіб</w:t>
            </w:r>
          </w:p>
        </w:tc>
        <w:tc>
          <w:tcPr>
            <w:tcW w:w="3285"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42686</w:t>
            </w:r>
          </w:p>
        </w:tc>
        <w:tc>
          <w:tcPr>
            <w:tcW w:w="3178"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25961</w:t>
            </w:r>
          </w:p>
        </w:tc>
      </w:tr>
      <w:tr w:rsidR="00C43866" w:rsidRPr="001B5DE3" w:rsidTr="00A01A43">
        <w:tc>
          <w:tcPr>
            <w:tcW w:w="3284" w:type="dxa"/>
            <w:vAlign w:val="center"/>
          </w:tcPr>
          <w:p w:rsidR="00C43866" w:rsidRPr="001B5DE3" w:rsidRDefault="00C43866" w:rsidP="00EA662A">
            <w:pPr>
              <w:spacing w:line="230" w:lineRule="auto"/>
              <w:rPr>
                <w:bCs/>
                <w:sz w:val="28"/>
                <w:szCs w:val="28"/>
                <w:lang w:val="uk-UA"/>
              </w:rPr>
            </w:pPr>
            <w:r w:rsidRPr="001B5DE3">
              <w:rPr>
                <w:bCs/>
                <w:sz w:val="28"/>
                <w:szCs w:val="28"/>
                <w:lang w:val="uk-UA"/>
              </w:rPr>
              <w:t>Отримували допомогу по безробіттю, осіб</w:t>
            </w:r>
          </w:p>
        </w:tc>
        <w:tc>
          <w:tcPr>
            <w:tcW w:w="3285"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35870</w:t>
            </w:r>
          </w:p>
        </w:tc>
        <w:tc>
          <w:tcPr>
            <w:tcW w:w="3178" w:type="dxa"/>
            <w:vAlign w:val="center"/>
          </w:tcPr>
          <w:p w:rsidR="00C43866" w:rsidRPr="001B5DE3" w:rsidRDefault="00C43866" w:rsidP="00EA662A">
            <w:pPr>
              <w:spacing w:line="230" w:lineRule="auto"/>
              <w:jc w:val="center"/>
              <w:rPr>
                <w:bCs/>
                <w:sz w:val="28"/>
                <w:szCs w:val="28"/>
                <w:lang w:val="uk-UA"/>
              </w:rPr>
            </w:pPr>
            <w:r w:rsidRPr="001B5DE3">
              <w:rPr>
                <w:bCs/>
                <w:sz w:val="28"/>
                <w:szCs w:val="28"/>
                <w:lang w:val="uk-UA"/>
              </w:rPr>
              <w:t>22047</w:t>
            </w:r>
          </w:p>
        </w:tc>
      </w:tr>
    </w:tbl>
    <w:p w:rsidR="00C43866" w:rsidRPr="001B5DE3" w:rsidRDefault="00C43866" w:rsidP="00EA662A">
      <w:pPr>
        <w:autoSpaceDE w:val="0"/>
        <w:autoSpaceDN w:val="0"/>
        <w:spacing w:after="0" w:line="230" w:lineRule="auto"/>
        <w:ind w:firstLine="708"/>
        <w:jc w:val="both"/>
        <w:rPr>
          <w:rFonts w:ascii="Times New Roman" w:hAnsi="Times New Roman" w:cs="Times New Roman"/>
          <w:sz w:val="28"/>
          <w:szCs w:val="28"/>
          <w:lang w:val="uk-UA"/>
        </w:rPr>
      </w:pPr>
    </w:p>
    <w:p w:rsidR="00C43866" w:rsidRPr="001B5DE3" w:rsidRDefault="00C43866" w:rsidP="00EA662A">
      <w:pPr>
        <w:autoSpaceDE w:val="0"/>
        <w:autoSpaceDN w:val="0"/>
        <w:spacing w:after="0" w:line="23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січня – червня 2021 року послугами служби зайнятості скористались 92,8 тис. громадян, </w:t>
      </w:r>
      <w:r w:rsidR="00674B6D" w:rsidRPr="001B5DE3">
        <w:rPr>
          <w:rFonts w:ascii="Times New Roman" w:hAnsi="Times New Roman" w:cs="Times New Roman"/>
          <w:sz w:val="28"/>
          <w:szCs w:val="28"/>
          <w:lang w:val="uk-UA"/>
        </w:rPr>
        <w:t xml:space="preserve">з яких статус безробітного мали </w:t>
      </w:r>
      <w:r w:rsidRPr="001B5DE3">
        <w:rPr>
          <w:rFonts w:ascii="Times New Roman" w:hAnsi="Times New Roman" w:cs="Times New Roman"/>
          <w:sz w:val="28"/>
          <w:szCs w:val="28"/>
          <w:lang w:val="uk-UA"/>
        </w:rPr>
        <w:t xml:space="preserve">66,1 тис. осіб. </w:t>
      </w:r>
    </w:p>
    <w:p w:rsidR="00C43866" w:rsidRPr="001B5DE3" w:rsidRDefault="00C43866" w:rsidP="00EA662A">
      <w:pPr>
        <w:pStyle w:val="a5"/>
        <w:tabs>
          <w:tab w:val="num" w:pos="1428"/>
        </w:tabs>
        <w:spacing w:after="0" w:line="230" w:lineRule="auto"/>
        <w:ind w:left="0" w:firstLine="720"/>
        <w:jc w:val="both"/>
        <w:rPr>
          <w:sz w:val="28"/>
          <w:szCs w:val="28"/>
          <w:lang w:val="uk-UA"/>
        </w:rPr>
      </w:pPr>
      <w:r w:rsidRPr="001B5DE3">
        <w:rPr>
          <w:sz w:val="28"/>
          <w:szCs w:val="28"/>
          <w:lang w:val="uk-UA"/>
        </w:rPr>
        <w:t>У звітному періоді:</w:t>
      </w:r>
    </w:p>
    <w:p w:rsidR="00C43866" w:rsidRPr="001B5DE3" w:rsidRDefault="00C43866" w:rsidP="00EA662A">
      <w:pPr>
        <w:spacing w:after="0" w:line="23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охоплено професійним навчанням за направленням державної служби зайнятості майже 5,0 тис. осіб;</w:t>
      </w:r>
    </w:p>
    <w:p w:rsidR="00C43866" w:rsidRPr="001B5DE3" w:rsidRDefault="00C43866" w:rsidP="00EA662A">
      <w:pPr>
        <w:pStyle w:val="a5"/>
        <w:tabs>
          <w:tab w:val="num" w:pos="1428"/>
        </w:tabs>
        <w:spacing w:after="0" w:line="230" w:lineRule="auto"/>
        <w:ind w:left="0" w:firstLine="720"/>
        <w:jc w:val="both"/>
        <w:rPr>
          <w:sz w:val="28"/>
          <w:szCs w:val="28"/>
          <w:lang w:val="uk-UA"/>
        </w:rPr>
      </w:pPr>
      <w:r w:rsidRPr="001B5DE3">
        <w:rPr>
          <w:sz w:val="28"/>
          <w:szCs w:val="28"/>
          <w:lang w:val="uk-UA"/>
        </w:rPr>
        <w:t>у громадських та тимчасових роботах брали участь 4,7 тис. осіб.</w:t>
      </w:r>
    </w:p>
    <w:p w:rsidR="00C43866" w:rsidRPr="001B5DE3" w:rsidRDefault="00C43866" w:rsidP="00EA662A">
      <w:pPr>
        <w:autoSpaceDE w:val="0"/>
        <w:autoSpaceDN w:val="0"/>
        <w:spacing w:after="0" w:line="23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допомогою служби зайнятості отримали роботу 23,8 тис. осіб, з них працевлаштовано безробітних 21,0 тис. осіб. Рівень працевлаштування безробітних склав 31,8%.</w:t>
      </w:r>
    </w:p>
    <w:p w:rsidR="00C43866" w:rsidRPr="001B5DE3" w:rsidRDefault="00C43866" w:rsidP="00EA662A">
      <w:pPr>
        <w:pStyle w:val="a5"/>
        <w:tabs>
          <w:tab w:val="num" w:pos="1428"/>
        </w:tabs>
        <w:spacing w:after="0" w:line="230" w:lineRule="auto"/>
        <w:ind w:left="0" w:firstLine="720"/>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1B5DE3" w:rsidRPr="001B5DE3" w:rsidTr="00643887">
        <w:trPr>
          <w:trHeight w:val="812"/>
        </w:trPr>
        <w:tc>
          <w:tcPr>
            <w:tcW w:w="3828" w:type="dxa"/>
            <w:shd w:val="clear" w:color="auto" w:fill="auto"/>
            <w:vAlign w:val="center"/>
          </w:tcPr>
          <w:p w:rsidR="00C43866" w:rsidRPr="001B5DE3" w:rsidRDefault="00C43866" w:rsidP="00EA662A">
            <w:pPr>
              <w:spacing w:after="0" w:line="230" w:lineRule="auto"/>
              <w:ind w:left="720"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976"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 півріччя 2020 року</w:t>
            </w:r>
          </w:p>
        </w:tc>
        <w:tc>
          <w:tcPr>
            <w:tcW w:w="2835"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 півріччя 2021 року</w:t>
            </w:r>
          </w:p>
        </w:tc>
      </w:tr>
      <w:tr w:rsidR="001B5DE3" w:rsidRPr="001B5DE3" w:rsidTr="00643887">
        <w:tc>
          <w:tcPr>
            <w:tcW w:w="3828" w:type="dxa"/>
            <w:shd w:val="clear" w:color="auto" w:fill="auto"/>
            <w:vAlign w:val="center"/>
          </w:tcPr>
          <w:p w:rsidR="00C43866" w:rsidRPr="001B5DE3" w:rsidRDefault="00C43866" w:rsidP="00EA662A">
            <w:pPr>
              <w:spacing w:after="0" w:line="23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Працевлаштовано безробітних за направленням служби зайнятості, тис. осіб</w:t>
            </w:r>
          </w:p>
        </w:tc>
        <w:tc>
          <w:tcPr>
            <w:tcW w:w="2976"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17,6</w:t>
            </w:r>
          </w:p>
        </w:tc>
        <w:tc>
          <w:tcPr>
            <w:tcW w:w="2835"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21,0</w:t>
            </w:r>
          </w:p>
        </w:tc>
      </w:tr>
      <w:tr w:rsidR="001B5DE3" w:rsidRPr="001B5DE3" w:rsidTr="00643887">
        <w:tc>
          <w:tcPr>
            <w:tcW w:w="3828" w:type="dxa"/>
            <w:shd w:val="clear" w:color="auto" w:fill="auto"/>
            <w:vAlign w:val="center"/>
          </w:tcPr>
          <w:p w:rsidR="00C43866" w:rsidRPr="001B5DE3" w:rsidRDefault="00C43866" w:rsidP="00EA662A">
            <w:pPr>
              <w:spacing w:after="0" w:line="23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Забезпечено професійне навчання і перенавчання, тис. осіб</w:t>
            </w:r>
          </w:p>
        </w:tc>
        <w:tc>
          <w:tcPr>
            <w:tcW w:w="2976"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5,8</w:t>
            </w:r>
          </w:p>
        </w:tc>
        <w:tc>
          <w:tcPr>
            <w:tcW w:w="2835"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5,0</w:t>
            </w:r>
          </w:p>
        </w:tc>
      </w:tr>
      <w:tr w:rsidR="00EA662A" w:rsidRPr="001B5DE3" w:rsidTr="00643887">
        <w:tc>
          <w:tcPr>
            <w:tcW w:w="3828" w:type="dxa"/>
            <w:shd w:val="clear" w:color="auto" w:fill="auto"/>
            <w:vAlign w:val="center"/>
          </w:tcPr>
          <w:p w:rsidR="00C43866" w:rsidRPr="001B5DE3" w:rsidRDefault="00C43866" w:rsidP="00EA662A">
            <w:pPr>
              <w:spacing w:after="0" w:line="23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Залучено до громадських та тимчасових робіт, тис. осіб</w:t>
            </w:r>
          </w:p>
        </w:tc>
        <w:tc>
          <w:tcPr>
            <w:tcW w:w="2976"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6,3</w:t>
            </w:r>
          </w:p>
        </w:tc>
        <w:tc>
          <w:tcPr>
            <w:tcW w:w="2835" w:type="dxa"/>
            <w:shd w:val="clear" w:color="auto" w:fill="auto"/>
            <w:vAlign w:val="center"/>
          </w:tcPr>
          <w:p w:rsidR="00C43866" w:rsidRPr="001B5DE3" w:rsidRDefault="00C43866" w:rsidP="00EA662A">
            <w:pPr>
              <w:spacing w:after="0" w:line="23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4,7</w:t>
            </w:r>
          </w:p>
        </w:tc>
      </w:tr>
    </w:tbl>
    <w:p w:rsidR="00C43866" w:rsidRPr="001B5DE3" w:rsidRDefault="00C43866" w:rsidP="008B1901">
      <w:pPr>
        <w:autoSpaceDE w:val="0"/>
        <w:autoSpaceDN w:val="0"/>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 xml:space="preserve">Видано 37 ваучерів особам віком старше 45 років, які виявили бажання проходити перенавчання або підвищувати кваліфікацію за обраними спеціальностями чи професіями. </w:t>
      </w:r>
    </w:p>
    <w:p w:rsidR="00C43866" w:rsidRPr="001B5DE3" w:rsidRDefault="00C43866" w:rsidP="008B1901">
      <w:pPr>
        <w:autoSpaceDE w:val="0"/>
        <w:autoSpaceDN w:val="0"/>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січня – червня 2021 року працевлаштовано на нові робочі місця з наданням компенсації роботодавцям єдиного внеску на загальнообов’язкове державне соціальне страхування 33 безробітних. </w:t>
      </w:r>
    </w:p>
    <w:p w:rsidR="00C43866" w:rsidRPr="001B5DE3" w:rsidRDefault="00C43866" w:rsidP="008B1901">
      <w:pPr>
        <w:autoSpaceDE w:val="0"/>
        <w:autoSpaceDN w:val="0"/>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Особлива увага приділялась соціально незахищеним категоріям громадян, зокрема молоді та особам з інвалідністю.</w:t>
      </w:r>
      <w:r w:rsidR="00AF190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У січні – червні 2021 року перебувало на обліку 3,7 тис. безробітних, що мають додаткові гарантії у сприянні працевлаштуванню, з них працевлаштовано 0,8 тис. осіб. </w:t>
      </w:r>
    </w:p>
    <w:p w:rsidR="00C43866" w:rsidRPr="001B5DE3" w:rsidRDefault="00C43866" w:rsidP="00C43866">
      <w:pPr>
        <w:tabs>
          <w:tab w:val="left" w:pos="7965"/>
        </w:tabs>
        <w:spacing w:after="0" w:line="235" w:lineRule="auto"/>
        <w:rPr>
          <w:rFonts w:ascii="Times New Roman" w:hAnsi="Times New Roman" w:cs="Times New Roman"/>
          <w:b/>
          <w:sz w:val="28"/>
          <w:szCs w:val="28"/>
          <w:lang w:val="uk-UA"/>
        </w:rPr>
      </w:pPr>
    </w:p>
    <w:p w:rsidR="00CC3037" w:rsidRPr="001B5DE3" w:rsidRDefault="00CC3037" w:rsidP="00F162D6">
      <w:pPr>
        <w:tabs>
          <w:tab w:val="left" w:pos="7965"/>
        </w:tabs>
        <w:spacing w:after="0" w:line="235"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Доходи населення та заробітна плата</w:t>
      </w:r>
    </w:p>
    <w:p w:rsidR="00CC3037" w:rsidRPr="001B5DE3" w:rsidRDefault="00CC3037" w:rsidP="00F162D6">
      <w:pPr>
        <w:spacing w:after="0" w:line="235" w:lineRule="auto"/>
        <w:rPr>
          <w:rFonts w:ascii="Times New Roman" w:hAnsi="Times New Roman" w:cs="Times New Roman"/>
          <w:b/>
          <w:sz w:val="20"/>
          <w:szCs w:val="20"/>
          <w:lang w:val="uk-UA"/>
        </w:rPr>
      </w:pPr>
    </w:p>
    <w:p w:rsidR="00852FF8" w:rsidRPr="001B5DE3" w:rsidRDefault="00852FF8" w:rsidP="008B1901">
      <w:pPr>
        <w:pStyle w:val="ae"/>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Середньомісячна заробітна плата по області у січні – червні 2</w:t>
      </w:r>
      <w:r w:rsidR="00AF1902" w:rsidRPr="001B5DE3">
        <w:rPr>
          <w:rFonts w:ascii="Times New Roman" w:hAnsi="Times New Roman" w:cs="Times New Roman"/>
          <w:sz w:val="28"/>
          <w:szCs w:val="28"/>
          <w:lang w:val="uk-UA"/>
        </w:rPr>
        <w:t>021 року збільшилася на 17,9% порівняно</w:t>
      </w:r>
      <w:r w:rsidRPr="001B5DE3">
        <w:rPr>
          <w:rFonts w:ascii="Times New Roman" w:hAnsi="Times New Roman" w:cs="Times New Roman"/>
          <w:sz w:val="28"/>
          <w:szCs w:val="28"/>
          <w:lang w:val="uk-UA"/>
        </w:rPr>
        <w:t xml:space="preserve"> з відповідним періодом 2020 року і дорівнювала 13192 грн (по Україні – 13310 грн).</w:t>
      </w:r>
    </w:p>
    <w:p w:rsidR="00852FF8" w:rsidRPr="001B5DE3" w:rsidRDefault="00852FF8" w:rsidP="008B1901">
      <w:pPr>
        <w:pStyle w:val="ae"/>
        <w:ind w:firstLine="709"/>
        <w:jc w:val="both"/>
        <w:rPr>
          <w:rFonts w:ascii="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2551"/>
      </w:tblGrid>
      <w:tr w:rsidR="001B5DE3" w:rsidRPr="001B5DE3" w:rsidTr="000B4198">
        <w:trPr>
          <w:trHeight w:val="416"/>
        </w:trPr>
        <w:tc>
          <w:tcPr>
            <w:tcW w:w="4253" w:type="dxa"/>
            <w:shd w:val="clear" w:color="auto" w:fill="auto"/>
            <w:vAlign w:val="center"/>
          </w:tcPr>
          <w:p w:rsidR="00852FF8" w:rsidRPr="001B5DE3" w:rsidRDefault="00852FF8" w:rsidP="008B1901">
            <w:pPr>
              <w:spacing w:after="0" w:line="240"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835" w:type="dxa"/>
            <w:shd w:val="clear" w:color="auto" w:fill="auto"/>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червень </w:t>
            </w:r>
          </w:p>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2020 року</w:t>
            </w:r>
          </w:p>
        </w:tc>
        <w:tc>
          <w:tcPr>
            <w:tcW w:w="2551" w:type="dxa"/>
            <w:shd w:val="clear" w:color="auto" w:fill="auto"/>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січень – червень</w:t>
            </w:r>
            <w:r w:rsidRPr="001B5DE3">
              <w:rPr>
                <w:rFonts w:ascii="Times New Roman" w:hAnsi="Times New Roman" w:cs="Times New Roman"/>
                <w:sz w:val="24"/>
                <w:szCs w:val="24"/>
                <w:lang w:val="uk-UA"/>
              </w:rPr>
              <w:br/>
              <w:t>2021 року</w:t>
            </w:r>
          </w:p>
        </w:tc>
      </w:tr>
      <w:tr w:rsidR="00852FF8" w:rsidRPr="001B5DE3" w:rsidTr="000B4198">
        <w:trPr>
          <w:trHeight w:val="467"/>
        </w:trPr>
        <w:tc>
          <w:tcPr>
            <w:tcW w:w="4253" w:type="dxa"/>
            <w:shd w:val="clear" w:color="auto" w:fill="auto"/>
            <w:vAlign w:val="center"/>
          </w:tcPr>
          <w:p w:rsidR="00852FF8" w:rsidRPr="001B5DE3" w:rsidRDefault="00852FF8" w:rsidP="008B1901">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Середньомісячна заробітна плата, грн</w:t>
            </w:r>
          </w:p>
        </w:tc>
        <w:tc>
          <w:tcPr>
            <w:tcW w:w="2835"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11189,0</w:t>
            </w:r>
          </w:p>
        </w:tc>
        <w:tc>
          <w:tcPr>
            <w:tcW w:w="2551"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13192,0</w:t>
            </w:r>
          </w:p>
        </w:tc>
      </w:tr>
    </w:tbl>
    <w:p w:rsidR="00852FF8" w:rsidRPr="001B5DE3" w:rsidRDefault="00852FF8" w:rsidP="008B1901">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852FF8" w:rsidRPr="001B5DE3" w:rsidRDefault="00852FF8" w:rsidP="008B1901">
      <w:pPr>
        <w:pStyle w:val="ae"/>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червні 2021 року заробітна плата збільшилася на 102,8% і склала </w:t>
      </w:r>
      <w:r w:rsidRPr="001B5DE3">
        <w:rPr>
          <w:rFonts w:ascii="Times New Roman" w:hAnsi="Times New Roman" w:cs="Times New Roman"/>
          <w:sz w:val="28"/>
          <w:szCs w:val="28"/>
          <w:lang w:val="uk-UA"/>
        </w:rPr>
        <w:br/>
        <w:t>13832 грн (по Україні – 14313 грн).</w:t>
      </w:r>
    </w:p>
    <w:p w:rsidR="00852FF8" w:rsidRPr="001B5DE3" w:rsidRDefault="00852FF8" w:rsidP="008B1901">
      <w:pPr>
        <w:tabs>
          <w:tab w:val="left" w:pos="8580"/>
          <w:tab w:val="left" w:pos="12740"/>
        </w:tabs>
        <w:spacing w:after="0" w:line="240" w:lineRule="auto"/>
        <w:ind w:firstLine="650"/>
        <w:jc w:val="both"/>
        <w:rPr>
          <w:rFonts w:ascii="Times New Roman" w:hAnsi="Times New Roman" w:cs="Times New Roman"/>
          <w:sz w:val="24"/>
          <w:szCs w:val="24"/>
          <w:lang w:val="uk-UA"/>
        </w:rPr>
      </w:pPr>
    </w:p>
    <w:p w:rsidR="00852FF8" w:rsidRPr="001B5DE3" w:rsidRDefault="00852FF8" w:rsidP="008B1901">
      <w:pPr>
        <w:pStyle w:val="ae"/>
        <w:ind w:firstLine="709"/>
        <w:jc w:val="center"/>
        <w:rPr>
          <w:rFonts w:ascii="Times New Roman" w:hAnsi="Times New Roman" w:cs="Times New Roman"/>
          <w:b/>
          <w:sz w:val="24"/>
          <w:szCs w:val="24"/>
          <w:lang w:val="uk-UA"/>
        </w:rPr>
      </w:pPr>
      <w:r w:rsidRPr="001B5DE3">
        <w:rPr>
          <w:rFonts w:ascii="Times New Roman" w:hAnsi="Times New Roman" w:cs="Times New Roman"/>
          <w:b/>
          <w:sz w:val="24"/>
          <w:szCs w:val="24"/>
          <w:lang w:val="uk-UA"/>
        </w:rPr>
        <w:t>Середньомісячна заробітна плата за основними видами економічної діяльності за червень 2021 року</w:t>
      </w:r>
    </w:p>
    <w:p w:rsidR="00852FF8" w:rsidRPr="001B5DE3" w:rsidRDefault="00852FF8" w:rsidP="008B1901">
      <w:pPr>
        <w:pStyle w:val="ae"/>
        <w:ind w:firstLine="709"/>
        <w:jc w:val="both"/>
        <w:rPr>
          <w:rFonts w:ascii="Times New Roman" w:hAnsi="Times New Roman" w:cs="Times New Roman"/>
          <w:sz w:val="24"/>
          <w:szCs w:val="24"/>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409"/>
      </w:tblGrid>
      <w:tr w:rsidR="001B5DE3" w:rsidRPr="001B5DE3" w:rsidTr="002221DD">
        <w:tc>
          <w:tcPr>
            <w:tcW w:w="4678" w:type="dxa"/>
            <w:shd w:val="clear" w:color="auto" w:fill="auto"/>
            <w:vAlign w:val="center"/>
          </w:tcPr>
          <w:p w:rsidR="00852FF8" w:rsidRPr="001B5DE3" w:rsidRDefault="00852FF8" w:rsidP="00EA0B40">
            <w:pPr>
              <w:pStyle w:val="ae"/>
              <w:spacing w:line="216" w:lineRule="auto"/>
              <w:ind w:firstLine="709"/>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410" w:type="dxa"/>
            <w:shd w:val="clear" w:color="auto" w:fill="auto"/>
            <w:vAlign w:val="center"/>
          </w:tcPr>
          <w:p w:rsidR="00852FF8" w:rsidRPr="001B5DE3" w:rsidRDefault="00852FF8" w:rsidP="00EA0B40">
            <w:pPr>
              <w:pStyle w:val="ae"/>
              <w:spacing w:line="216" w:lineRule="auto"/>
              <w:ind w:firstLine="709"/>
              <w:rPr>
                <w:rFonts w:ascii="Times New Roman" w:hAnsi="Times New Roman" w:cs="Times New Roman"/>
                <w:sz w:val="24"/>
                <w:szCs w:val="24"/>
                <w:lang w:val="uk-UA"/>
              </w:rPr>
            </w:pPr>
            <w:r w:rsidRPr="001B5DE3">
              <w:rPr>
                <w:rFonts w:ascii="Times New Roman" w:hAnsi="Times New Roman" w:cs="Times New Roman"/>
                <w:sz w:val="24"/>
                <w:szCs w:val="24"/>
                <w:lang w:val="uk-UA"/>
              </w:rPr>
              <w:t>грн</w:t>
            </w:r>
          </w:p>
        </w:tc>
        <w:tc>
          <w:tcPr>
            <w:tcW w:w="2409" w:type="dxa"/>
            <w:shd w:val="clear" w:color="auto" w:fill="auto"/>
            <w:vAlign w:val="center"/>
          </w:tcPr>
          <w:p w:rsidR="00852FF8" w:rsidRPr="001B5DE3" w:rsidRDefault="00852FF8" w:rsidP="00EA0B40">
            <w:pPr>
              <w:pStyle w:val="ae"/>
              <w:spacing w:line="21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у % до червня </w:t>
            </w:r>
            <w:r w:rsidR="008328A5" w:rsidRPr="001B5DE3">
              <w:rPr>
                <w:rFonts w:ascii="Times New Roman" w:hAnsi="Times New Roman" w:cs="Times New Roman"/>
                <w:sz w:val="24"/>
                <w:szCs w:val="24"/>
                <w:lang w:val="uk-UA"/>
              </w:rPr>
              <w:br/>
            </w:r>
            <w:r w:rsidRPr="001B5DE3">
              <w:rPr>
                <w:rFonts w:ascii="Times New Roman" w:hAnsi="Times New Roman" w:cs="Times New Roman"/>
                <w:sz w:val="24"/>
                <w:szCs w:val="24"/>
                <w:lang w:val="uk-UA"/>
              </w:rPr>
              <w:t>2020 року</w:t>
            </w:r>
          </w:p>
        </w:tc>
      </w:tr>
      <w:tr w:rsidR="001B5DE3" w:rsidRPr="001B5DE3" w:rsidTr="002221DD">
        <w:trPr>
          <w:trHeight w:val="411"/>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Фінансова та страхова діяльність</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23941,0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115,3</w:t>
            </w:r>
          </w:p>
        </w:tc>
      </w:tr>
      <w:tr w:rsidR="001B5DE3" w:rsidRPr="001B5DE3" w:rsidTr="002221DD">
        <w:trPr>
          <w:trHeight w:val="687"/>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Добувна промисловість і розроблення кар’єрів </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19623,0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112,0</w:t>
            </w:r>
          </w:p>
        </w:tc>
      </w:tr>
      <w:tr w:rsidR="001B5DE3" w:rsidRPr="001B5DE3" w:rsidTr="002221DD">
        <w:trPr>
          <w:trHeight w:val="613"/>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Державне управління й оборона;</w:t>
            </w:r>
            <w:r w:rsidR="008328A5"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lang w:val="uk-UA"/>
              </w:rPr>
              <w:t>обов’язкове соціальне страхування</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18318,0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115,6</w:t>
            </w:r>
          </w:p>
        </w:tc>
      </w:tr>
      <w:tr w:rsidR="001B5DE3" w:rsidRPr="001B5DE3" w:rsidTr="002221DD">
        <w:trPr>
          <w:trHeight w:val="413"/>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Інформація та телекомунікації</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16746,0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119,9</w:t>
            </w:r>
          </w:p>
        </w:tc>
      </w:tr>
      <w:tr w:rsidR="001B5DE3" w:rsidRPr="001B5DE3" w:rsidTr="002221DD">
        <w:trPr>
          <w:trHeight w:val="415"/>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Постачання електроенергії, газу, пари та кондиційного повітря</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15640,0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111,0</w:t>
            </w:r>
          </w:p>
        </w:tc>
      </w:tr>
      <w:tr w:rsidR="001B5DE3" w:rsidRPr="001B5DE3" w:rsidTr="002221DD">
        <w:trPr>
          <w:trHeight w:val="415"/>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Професійна, наукова та технічна діяльність</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14176,0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116,1</w:t>
            </w:r>
          </w:p>
        </w:tc>
      </w:tr>
      <w:tr w:rsidR="001B5DE3" w:rsidRPr="001B5DE3" w:rsidTr="002221DD">
        <w:trPr>
          <w:trHeight w:val="471"/>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Переробна промисловість</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13703,0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115,7</w:t>
            </w:r>
          </w:p>
        </w:tc>
      </w:tr>
      <w:tr w:rsidR="001B5DE3" w:rsidRPr="001B5DE3" w:rsidTr="002221DD">
        <w:trPr>
          <w:trHeight w:val="402"/>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Оптова та роздрібна торгівля; ремонт автотранспортних засобів і мотоциклів</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12694,0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126,6</w:t>
            </w:r>
          </w:p>
        </w:tc>
      </w:tr>
      <w:tr w:rsidR="001B5DE3" w:rsidRPr="001B5DE3" w:rsidTr="002221DD">
        <w:trPr>
          <w:trHeight w:val="704"/>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Водопостачання; каналізація, поводження з відходами</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12193,0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116,3</w:t>
            </w:r>
          </w:p>
        </w:tc>
      </w:tr>
      <w:tr w:rsidR="00EA0B40" w:rsidRPr="001B5DE3" w:rsidTr="002221DD">
        <w:trPr>
          <w:trHeight w:val="701"/>
        </w:trPr>
        <w:tc>
          <w:tcPr>
            <w:tcW w:w="4678" w:type="dxa"/>
            <w:shd w:val="clear" w:color="auto" w:fill="auto"/>
            <w:vAlign w:val="center"/>
          </w:tcPr>
          <w:p w:rsidR="00852FF8" w:rsidRPr="001B5DE3" w:rsidRDefault="00852FF8" w:rsidP="00EA0B40">
            <w:pPr>
              <w:pStyle w:val="ae"/>
              <w:spacing w:line="21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Транспорт, складське господарство, поштова та кур’єрська діяльність</w:t>
            </w:r>
          </w:p>
        </w:tc>
        <w:tc>
          <w:tcPr>
            <w:tcW w:w="2410"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11321,0</w:t>
            </w:r>
          </w:p>
        </w:tc>
        <w:tc>
          <w:tcPr>
            <w:tcW w:w="2409" w:type="dxa"/>
            <w:shd w:val="clear" w:color="auto" w:fill="auto"/>
            <w:vAlign w:val="center"/>
          </w:tcPr>
          <w:p w:rsidR="00852FF8" w:rsidRPr="001B5DE3" w:rsidRDefault="00852FF8" w:rsidP="00EA0B40">
            <w:pPr>
              <w:pStyle w:val="ae"/>
              <w:spacing w:line="216" w:lineRule="auto"/>
              <w:ind w:firstLine="709"/>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107,0</w:t>
            </w:r>
          </w:p>
        </w:tc>
      </w:tr>
    </w:tbl>
    <w:p w:rsidR="00852FF8" w:rsidRPr="001B5DE3" w:rsidRDefault="00852FF8" w:rsidP="008B1901">
      <w:pPr>
        <w:pStyle w:val="ae"/>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Реальна заробітна плата зросла на 109,9%.</w:t>
      </w:r>
    </w:p>
    <w:p w:rsidR="00852FF8" w:rsidRPr="001B5DE3" w:rsidRDefault="00852FF8" w:rsidP="008B1901">
      <w:pPr>
        <w:pStyle w:val="ae"/>
        <w:ind w:firstLine="709"/>
        <w:jc w:val="both"/>
        <w:rPr>
          <w:rFonts w:ascii="Times New Roman" w:hAnsi="Times New Roman" w:cs="Times New Roman"/>
          <w:sz w:val="24"/>
          <w:szCs w:val="24"/>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976"/>
      </w:tblGrid>
      <w:tr w:rsidR="001B5DE3" w:rsidRPr="001B5DE3" w:rsidTr="002221DD">
        <w:trPr>
          <w:trHeight w:val="698"/>
        </w:trPr>
        <w:tc>
          <w:tcPr>
            <w:tcW w:w="3544" w:type="dxa"/>
            <w:shd w:val="clear" w:color="auto" w:fill="auto"/>
            <w:vAlign w:val="center"/>
          </w:tcPr>
          <w:p w:rsidR="00852FF8" w:rsidRPr="001B5DE3" w:rsidRDefault="00852FF8" w:rsidP="008B1901">
            <w:pPr>
              <w:spacing w:after="0" w:line="240"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977" w:type="dxa"/>
            <w:shd w:val="clear" w:color="auto" w:fill="auto"/>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червень </w:t>
            </w:r>
          </w:p>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2020 року</w:t>
            </w:r>
          </w:p>
        </w:tc>
        <w:tc>
          <w:tcPr>
            <w:tcW w:w="2976" w:type="dxa"/>
            <w:shd w:val="clear" w:color="auto" w:fill="auto"/>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червень </w:t>
            </w:r>
          </w:p>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 року</w:t>
            </w:r>
          </w:p>
        </w:tc>
      </w:tr>
      <w:tr w:rsidR="00EA0B40" w:rsidRPr="001B5DE3" w:rsidTr="002221DD">
        <w:trPr>
          <w:trHeight w:val="467"/>
        </w:trPr>
        <w:tc>
          <w:tcPr>
            <w:tcW w:w="3544" w:type="dxa"/>
            <w:shd w:val="clear" w:color="auto" w:fill="auto"/>
            <w:vAlign w:val="center"/>
          </w:tcPr>
          <w:p w:rsidR="00852FF8" w:rsidRPr="001B5DE3" w:rsidRDefault="00852FF8" w:rsidP="008B1901">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Реальна заробітна плата, %</w:t>
            </w:r>
          </w:p>
          <w:p w:rsidR="00852FF8" w:rsidRPr="001B5DE3" w:rsidRDefault="00852FF8" w:rsidP="008B1901">
            <w:pPr>
              <w:spacing w:after="0" w:line="240" w:lineRule="auto"/>
              <w:rPr>
                <w:rFonts w:ascii="Times New Roman" w:hAnsi="Times New Roman" w:cs="Times New Roman"/>
                <w:sz w:val="24"/>
                <w:szCs w:val="24"/>
                <w:lang w:val="uk-UA"/>
              </w:rPr>
            </w:pPr>
          </w:p>
        </w:tc>
        <w:tc>
          <w:tcPr>
            <w:tcW w:w="2977"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107,3</w:t>
            </w:r>
          </w:p>
        </w:tc>
        <w:tc>
          <w:tcPr>
            <w:tcW w:w="2976"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109,9</w:t>
            </w:r>
          </w:p>
        </w:tc>
      </w:tr>
    </w:tbl>
    <w:p w:rsidR="00852FF8" w:rsidRPr="001B5DE3" w:rsidRDefault="00852FF8" w:rsidP="008B1901">
      <w:pPr>
        <w:pStyle w:val="ae"/>
        <w:ind w:firstLine="709"/>
        <w:jc w:val="both"/>
        <w:rPr>
          <w:rFonts w:ascii="Times New Roman" w:hAnsi="Times New Roman" w:cs="Times New Roman"/>
          <w:sz w:val="24"/>
          <w:szCs w:val="24"/>
          <w:lang w:val="uk-UA"/>
        </w:rPr>
      </w:pPr>
    </w:p>
    <w:p w:rsidR="00852FF8" w:rsidRPr="001B5DE3" w:rsidRDefault="00852FF8" w:rsidP="008B1901">
      <w:pPr>
        <w:tabs>
          <w:tab w:val="left" w:pos="8580"/>
          <w:tab w:val="left" w:pos="12740"/>
        </w:tabs>
        <w:spacing w:after="0" w:line="240" w:lineRule="auto"/>
        <w:ind w:firstLine="65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Протягом січня – червня 2021 року в області проведено 87 засідань робочої групи з питань легалізації виплати заробітної плати та зайнятості населення, з 5092 роботодавц</w:t>
      </w:r>
      <w:r w:rsidR="008328A5" w:rsidRPr="001B5DE3">
        <w:rPr>
          <w:rFonts w:ascii="Times New Roman" w:hAnsi="Times New Roman" w:cs="Times New Roman"/>
          <w:sz w:val="28"/>
          <w:szCs w:val="28"/>
          <w:lang w:val="uk-UA"/>
        </w:rPr>
        <w:t>ями</w:t>
      </w:r>
      <w:r w:rsidRPr="001B5DE3">
        <w:rPr>
          <w:rFonts w:ascii="Times New Roman" w:hAnsi="Times New Roman" w:cs="Times New Roman"/>
          <w:sz w:val="28"/>
          <w:szCs w:val="28"/>
          <w:lang w:val="uk-UA"/>
        </w:rPr>
        <w:t xml:space="preserve"> </w:t>
      </w:r>
      <w:r w:rsidR="008328A5" w:rsidRPr="001B5DE3">
        <w:rPr>
          <w:rFonts w:ascii="Times New Roman" w:hAnsi="Times New Roman" w:cs="Times New Roman"/>
          <w:sz w:val="28"/>
          <w:szCs w:val="28"/>
          <w:lang w:val="uk-UA"/>
        </w:rPr>
        <w:t xml:space="preserve">проведено </w:t>
      </w:r>
      <w:r w:rsidRPr="001B5DE3">
        <w:rPr>
          <w:rFonts w:ascii="Times New Roman" w:hAnsi="Times New Roman" w:cs="Times New Roman"/>
          <w:sz w:val="28"/>
          <w:szCs w:val="28"/>
          <w:lang w:val="uk-UA"/>
        </w:rPr>
        <w:t>інформаційно-роз’яснювальну роботу щодо негативних наслідків виплати “тіньової” заробітної плати.</w:t>
      </w:r>
    </w:p>
    <w:p w:rsidR="00852FF8" w:rsidRPr="001B5DE3" w:rsidRDefault="00852FF8" w:rsidP="008B1901">
      <w:pPr>
        <w:tabs>
          <w:tab w:val="left" w:pos="8580"/>
          <w:tab w:val="left" w:pos="12740"/>
        </w:tabs>
        <w:spacing w:after="0" w:line="240" w:lineRule="auto"/>
        <w:ind w:firstLine="65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За підсумками проведеної роботи легалізовано </w:t>
      </w:r>
      <w:r w:rsidRPr="001B5DE3">
        <w:rPr>
          <w:rFonts w:ascii="Times New Roman" w:eastAsia="Times New Roman" w:hAnsi="Times New Roman" w:cs="Times New Roman"/>
          <w:sz w:val="28"/>
          <w:szCs w:val="28"/>
        </w:rPr>
        <w:t>686</w:t>
      </w:r>
      <w:r w:rsidRPr="001B5DE3">
        <w:rPr>
          <w:rFonts w:ascii="Times New Roman" w:hAnsi="Times New Roman" w:cs="Times New Roman"/>
          <w:sz w:val="28"/>
          <w:szCs w:val="28"/>
          <w:lang w:val="uk-UA"/>
        </w:rPr>
        <w:t xml:space="preserve"> робочих місць, підвищили рівень оплати праці 24 підприємства.</w:t>
      </w:r>
    </w:p>
    <w:p w:rsidR="00852FF8" w:rsidRPr="001B5DE3" w:rsidRDefault="008328A5" w:rsidP="008B1901">
      <w:pPr>
        <w:pStyle w:val="a5"/>
        <w:tabs>
          <w:tab w:val="num" w:pos="1428"/>
        </w:tabs>
        <w:spacing w:after="0"/>
        <w:ind w:left="0" w:firstLine="720"/>
        <w:jc w:val="both"/>
        <w:rPr>
          <w:sz w:val="28"/>
          <w:szCs w:val="28"/>
          <w:lang w:val="uk-UA"/>
        </w:rPr>
      </w:pPr>
      <w:r w:rsidRPr="001B5DE3">
        <w:rPr>
          <w:sz w:val="28"/>
          <w:szCs w:val="28"/>
          <w:lang w:val="uk-UA"/>
        </w:rPr>
        <w:t xml:space="preserve">З початку року заборгованість </w:t>
      </w:r>
      <w:r w:rsidR="00852FF8" w:rsidRPr="001B5DE3">
        <w:rPr>
          <w:sz w:val="28"/>
          <w:szCs w:val="28"/>
          <w:lang w:val="uk-UA"/>
        </w:rPr>
        <w:t xml:space="preserve">з виплати заробітної плати у господарському комплексі області збільшилась на 53,5%, станом на 01 липня 2021 року склала 457,1 млн грн. </w:t>
      </w:r>
    </w:p>
    <w:p w:rsidR="00B00659" w:rsidRPr="001B5DE3" w:rsidRDefault="00B00659" w:rsidP="008B1901">
      <w:pPr>
        <w:spacing w:after="0" w:line="240" w:lineRule="auto"/>
        <w:jc w:val="center"/>
        <w:rPr>
          <w:rFonts w:ascii="Times New Roman" w:hAnsi="Times New Roman" w:cs="Times New Roman"/>
          <w:b/>
          <w:bCs/>
          <w:sz w:val="24"/>
          <w:szCs w:val="24"/>
          <w:lang w:val="uk-UA"/>
        </w:rPr>
      </w:pPr>
    </w:p>
    <w:p w:rsidR="00852FF8" w:rsidRPr="001B5DE3" w:rsidRDefault="008328A5" w:rsidP="008B1901">
      <w:pPr>
        <w:spacing w:after="0" w:line="240" w:lineRule="auto"/>
        <w:jc w:val="center"/>
        <w:rPr>
          <w:rFonts w:ascii="Times New Roman" w:hAnsi="Times New Roman" w:cs="Times New Roman"/>
          <w:b/>
          <w:bCs/>
          <w:sz w:val="24"/>
          <w:szCs w:val="24"/>
          <w:lang w:val="uk-UA"/>
        </w:rPr>
      </w:pPr>
      <w:r w:rsidRPr="001B5DE3">
        <w:rPr>
          <w:rFonts w:ascii="Times New Roman" w:hAnsi="Times New Roman" w:cs="Times New Roman"/>
          <w:b/>
          <w:bCs/>
          <w:sz w:val="24"/>
          <w:szCs w:val="24"/>
          <w:lang w:val="uk-UA"/>
        </w:rPr>
        <w:t xml:space="preserve">Заборгованість </w:t>
      </w:r>
      <w:r w:rsidR="00852FF8" w:rsidRPr="001B5DE3">
        <w:rPr>
          <w:rFonts w:ascii="Times New Roman" w:hAnsi="Times New Roman" w:cs="Times New Roman"/>
          <w:b/>
          <w:bCs/>
          <w:sz w:val="24"/>
          <w:szCs w:val="24"/>
          <w:lang w:val="uk-UA"/>
        </w:rPr>
        <w:t>з виплати заробітної плати працівникам</w:t>
      </w:r>
    </w:p>
    <w:p w:rsidR="00852FF8" w:rsidRPr="001B5DE3" w:rsidRDefault="00852FF8" w:rsidP="008B1901">
      <w:pPr>
        <w:spacing w:after="0" w:line="240" w:lineRule="auto"/>
        <w:jc w:val="center"/>
        <w:rPr>
          <w:rFonts w:ascii="Times New Roman" w:hAnsi="Times New Roman" w:cs="Times New Roman"/>
          <w:b/>
          <w:bCs/>
          <w:sz w:val="24"/>
          <w:szCs w:val="24"/>
          <w:lang w:val="uk-UA"/>
        </w:rPr>
      </w:pPr>
      <w:r w:rsidRPr="001B5DE3">
        <w:rPr>
          <w:rFonts w:ascii="Times New Roman" w:hAnsi="Times New Roman" w:cs="Times New Roman"/>
          <w:b/>
          <w:bCs/>
          <w:sz w:val="24"/>
          <w:szCs w:val="24"/>
          <w:lang w:val="uk-UA"/>
        </w:rPr>
        <w:t>по районах на 01 липня 2021 року</w:t>
      </w:r>
    </w:p>
    <w:p w:rsidR="00852FF8" w:rsidRPr="001B5DE3" w:rsidRDefault="00852FF8" w:rsidP="008B1901">
      <w:pPr>
        <w:pStyle w:val="a5"/>
        <w:tabs>
          <w:tab w:val="num" w:pos="1428"/>
        </w:tabs>
        <w:spacing w:after="0"/>
        <w:ind w:left="0" w:firstLine="720"/>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1B5DE3" w:rsidRPr="001B5DE3" w:rsidTr="00A01A43">
        <w:trPr>
          <w:trHeight w:val="577"/>
          <w:tblHeader/>
        </w:trPr>
        <w:tc>
          <w:tcPr>
            <w:tcW w:w="4820" w:type="dxa"/>
            <w:shd w:val="clear" w:color="auto" w:fill="auto"/>
            <w:vAlign w:val="center"/>
          </w:tcPr>
          <w:p w:rsidR="00852FF8" w:rsidRPr="001B5DE3" w:rsidRDefault="00852FF8" w:rsidP="008B1901">
            <w:pPr>
              <w:spacing w:after="0" w:line="240" w:lineRule="auto"/>
              <w:ind w:hanging="720"/>
              <w:jc w:val="center"/>
              <w:rPr>
                <w:rFonts w:ascii="Times New Roman" w:hAnsi="Times New Roman" w:cs="Times New Roman"/>
                <w:sz w:val="24"/>
                <w:szCs w:val="24"/>
                <w:lang w:val="uk-UA"/>
              </w:rPr>
            </w:pPr>
          </w:p>
        </w:tc>
        <w:tc>
          <w:tcPr>
            <w:tcW w:w="4819"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napToGrid w:val="0"/>
                <w:sz w:val="24"/>
                <w:szCs w:val="24"/>
                <w:lang w:val="uk-UA"/>
              </w:rPr>
              <w:t>Сума невиплаченої заробітної плати усього, тис.</w:t>
            </w:r>
            <w:r w:rsidR="0003724C" w:rsidRPr="001B5DE3">
              <w:rPr>
                <w:rFonts w:ascii="Times New Roman" w:hAnsi="Times New Roman" w:cs="Times New Roman"/>
                <w:snapToGrid w:val="0"/>
                <w:sz w:val="24"/>
                <w:szCs w:val="24"/>
                <w:lang w:val="uk-UA"/>
              </w:rPr>
              <w:t xml:space="preserve"> </w:t>
            </w:r>
            <w:r w:rsidRPr="001B5DE3">
              <w:rPr>
                <w:rFonts w:ascii="Times New Roman" w:hAnsi="Times New Roman" w:cs="Times New Roman"/>
                <w:snapToGrid w:val="0"/>
                <w:sz w:val="24"/>
                <w:szCs w:val="24"/>
                <w:lang w:val="uk-UA"/>
              </w:rPr>
              <w:t>грн</w:t>
            </w:r>
          </w:p>
        </w:tc>
      </w:tr>
      <w:tr w:rsidR="001B5DE3" w:rsidRPr="001B5DE3" w:rsidTr="00A01A43">
        <w:trPr>
          <w:trHeight w:val="257"/>
        </w:trPr>
        <w:tc>
          <w:tcPr>
            <w:tcW w:w="4820" w:type="dxa"/>
            <w:shd w:val="clear" w:color="auto" w:fill="auto"/>
          </w:tcPr>
          <w:p w:rsidR="00852FF8" w:rsidRPr="001B5DE3" w:rsidRDefault="00852FF8" w:rsidP="008B1901">
            <w:pPr>
              <w:spacing w:after="0" w:line="240" w:lineRule="auto"/>
              <w:rPr>
                <w:rFonts w:ascii="Times New Roman" w:hAnsi="Times New Roman" w:cs="Times New Roman"/>
                <w:b/>
                <w:sz w:val="24"/>
                <w:szCs w:val="24"/>
                <w:lang w:val="uk-UA"/>
              </w:rPr>
            </w:pPr>
            <w:r w:rsidRPr="001B5DE3">
              <w:rPr>
                <w:rFonts w:ascii="Times New Roman" w:hAnsi="Times New Roman" w:cs="Times New Roman"/>
                <w:b/>
                <w:snapToGrid w:val="0"/>
                <w:sz w:val="24"/>
                <w:szCs w:val="24"/>
                <w:lang w:val="uk-UA"/>
              </w:rPr>
              <w:t>Дніпропетровська область</w:t>
            </w:r>
          </w:p>
        </w:tc>
        <w:tc>
          <w:tcPr>
            <w:tcW w:w="4819" w:type="dxa"/>
            <w:shd w:val="clear" w:color="auto" w:fill="auto"/>
          </w:tcPr>
          <w:p w:rsidR="00852FF8" w:rsidRPr="001B5DE3" w:rsidRDefault="00852FF8" w:rsidP="008B1901">
            <w:pPr>
              <w:autoSpaceDE w:val="0"/>
              <w:autoSpaceDN w:val="0"/>
              <w:adjustRightInd w:val="0"/>
              <w:spacing w:after="0" w:line="240" w:lineRule="auto"/>
              <w:jc w:val="center"/>
              <w:rPr>
                <w:rFonts w:ascii="Times New Roman" w:hAnsi="Times New Roman" w:cs="Times New Roman"/>
                <w:b/>
                <w:sz w:val="24"/>
                <w:szCs w:val="24"/>
                <w:lang w:val="uk-UA" w:eastAsia="uk-UA"/>
              </w:rPr>
            </w:pPr>
            <w:r w:rsidRPr="001B5DE3">
              <w:rPr>
                <w:rFonts w:ascii="Times New Roman" w:hAnsi="Times New Roman" w:cs="Times New Roman"/>
                <w:b/>
                <w:sz w:val="24"/>
                <w:szCs w:val="24"/>
                <w:lang w:val="uk-UA" w:eastAsia="uk-UA"/>
              </w:rPr>
              <w:t>457125,0</w:t>
            </w:r>
          </w:p>
        </w:tc>
      </w:tr>
      <w:tr w:rsidR="001B5DE3" w:rsidRPr="001B5DE3" w:rsidTr="00A01A43">
        <w:trPr>
          <w:trHeight w:val="269"/>
        </w:trPr>
        <w:tc>
          <w:tcPr>
            <w:tcW w:w="4820" w:type="dxa"/>
            <w:shd w:val="clear" w:color="auto" w:fill="auto"/>
            <w:vAlign w:val="bottom"/>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райони</w:t>
            </w:r>
          </w:p>
        </w:tc>
        <w:tc>
          <w:tcPr>
            <w:tcW w:w="4819" w:type="dxa"/>
            <w:shd w:val="clear" w:color="auto" w:fill="auto"/>
            <w:vAlign w:val="bottom"/>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p>
        </w:tc>
      </w:tr>
      <w:tr w:rsidR="001B5DE3" w:rsidRPr="001B5DE3" w:rsidTr="00A01A43">
        <w:trPr>
          <w:trHeight w:val="115"/>
        </w:trPr>
        <w:tc>
          <w:tcPr>
            <w:tcW w:w="4820" w:type="dxa"/>
            <w:shd w:val="clear" w:color="auto" w:fill="auto"/>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Дніпровський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361628,2</w:t>
            </w:r>
          </w:p>
        </w:tc>
      </w:tr>
      <w:tr w:rsidR="001B5DE3" w:rsidRPr="001B5DE3" w:rsidTr="00A01A43">
        <w:trPr>
          <w:trHeight w:val="272"/>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Кам’янський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56170,3</w:t>
            </w:r>
          </w:p>
        </w:tc>
      </w:tr>
      <w:tr w:rsidR="001B5DE3" w:rsidRPr="001B5DE3" w:rsidTr="00A01A43">
        <w:trPr>
          <w:trHeight w:val="275"/>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Криворізький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32572,4</w:t>
            </w:r>
          </w:p>
        </w:tc>
      </w:tr>
      <w:tr w:rsidR="001B5DE3" w:rsidRPr="001B5DE3" w:rsidTr="00A01A43">
        <w:trPr>
          <w:trHeight w:val="266"/>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Нікопольський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2351,0</w:t>
            </w:r>
          </w:p>
        </w:tc>
      </w:tr>
      <w:tr w:rsidR="001B5DE3" w:rsidRPr="001B5DE3" w:rsidTr="00A01A43">
        <w:trPr>
          <w:trHeight w:val="269"/>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Новомосковський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932,2</w:t>
            </w:r>
          </w:p>
        </w:tc>
      </w:tr>
      <w:tr w:rsidR="001B5DE3" w:rsidRPr="001B5DE3" w:rsidTr="00A01A43">
        <w:trPr>
          <w:trHeight w:val="132"/>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Павлоградський</w:t>
            </w:r>
          </w:p>
        </w:tc>
        <w:tc>
          <w:tcPr>
            <w:tcW w:w="4819"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67,2</w:t>
            </w:r>
          </w:p>
        </w:tc>
      </w:tr>
      <w:tr w:rsidR="001B5DE3" w:rsidRPr="001B5DE3" w:rsidTr="00A01A43">
        <w:trPr>
          <w:trHeight w:val="263"/>
        </w:trPr>
        <w:tc>
          <w:tcPr>
            <w:tcW w:w="4820" w:type="dxa"/>
            <w:shd w:val="clear" w:color="auto" w:fill="auto"/>
            <w:vAlign w:val="center"/>
          </w:tcPr>
          <w:p w:rsidR="00852FF8" w:rsidRPr="001B5DE3" w:rsidRDefault="00852FF8" w:rsidP="008B1901">
            <w:pPr>
              <w:autoSpaceDE w:val="0"/>
              <w:autoSpaceDN w:val="0"/>
              <w:adjustRightInd w:val="0"/>
              <w:spacing w:after="0" w:line="240" w:lineRule="auto"/>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Синельниківський</w:t>
            </w:r>
          </w:p>
        </w:tc>
        <w:tc>
          <w:tcPr>
            <w:tcW w:w="4819" w:type="dxa"/>
            <w:shd w:val="clear" w:color="auto" w:fill="auto"/>
            <w:vAlign w:val="center"/>
          </w:tcPr>
          <w:p w:rsidR="00852FF8" w:rsidRPr="001B5DE3" w:rsidRDefault="00852FF8" w:rsidP="008B1901">
            <w:pPr>
              <w:autoSpaceDE w:val="0"/>
              <w:autoSpaceDN w:val="0"/>
              <w:adjustRightInd w:val="0"/>
              <w:spacing w:after="0" w:line="240" w:lineRule="auto"/>
              <w:jc w:val="center"/>
              <w:rPr>
                <w:rFonts w:ascii="Times New Roman" w:hAnsi="Times New Roman" w:cs="Times New Roman"/>
                <w:sz w:val="24"/>
                <w:szCs w:val="24"/>
                <w:lang w:val="uk-UA" w:eastAsia="uk-UA"/>
              </w:rPr>
            </w:pPr>
            <w:r w:rsidRPr="001B5DE3">
              <w:rPr>
                <w:rFonts w:ascii="Times New Roman" w:hAnsi="Times New Roman" w:cs="Times New Roman"/>
                <w:sz w:val="24"/>
                <w:szCs w:val="24"/>
                <w:lang w:val="uk-UA" w:eastAsia="uk-UA"/>
              </w:rPr>
              <w:t>3403,7</w:t>
            </w:r>
          </w:p>
        </w:tc>
      </w:tr>
    </w:tbl>
    <w:p w:rsidR="00852FF8" w:rsidRPr="001B5DE3" w:rsidRDefault="00852FF8" w:rsidP="008B1901">
      <w:pPr>
        <w:pStyle w:val="a5"/>
        <w:tabs>
          <w:tab w:val="num" w:pos="1428"/>
        </w:tabs>
        <w:spacing w:after="0"/>
        <w:ind w:left="0" w:firstLine="720"/>
        <w:jc w:val="both"/>
        <w:rPr>
          <w:lang w:val="uk-UA"/>
        </w:rPr>
      </w:pPr>
    </w:p>
    <w:p w:rsidR="00852FF8" w:rsidRPr="001B5DE3" w:rsidRDefault="00852FF8" w:rsidP="008B1901">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Питома вага заборгованості з виплати заробітної плати в обласному фонді оплати праці склала 4,5% (по Україні – 3,4%).</w:t>
      </w:r>
    </w:p>
    <w:p w:rsidR="00852FF8" w:rsidRPr="001B5DE3" w:rsidRDefault="00852FF8" w:rsidP="008B1901">
      <w:pPr>
        <w:spacing w:after="0" w:line="240" w:lineRule="auto"/>
        <w:ind w:firstLine="709"/>
        <w:jc w:val="both"/>
        <w:rPr>
          <w:rFonts w:ascii="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93"/>
        <w:gridCol w:w="2268"/>
      </w:tblGrid>
      <w:tr w:rsidR="001B5DE3" w:rsidRPr="001B5DE3" w:rsidTr="00A01A43">
        <w:trPr>
          <w:trHeight w:val="698"/>
        </w:trPr>
        <w:tc>
          <w:tcPr>
            <w:tcW w:w="4678" w:type="dxa"/>
            <w:shd w:val="clear" w:color="auto" w:fill="auto"/>
            <w:vAlign w:val="center"/>
          </w:tcPr>
          <w:p w:rsidR="00852FF8" w:rsidRPr="001B5DE3" w:rsidRDefault="00852FF8" w:rsidP="008B1901">
            <w:pPr>
              <w:spacing w:after="0" w:line="240"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693"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на 01.07.2020 </w:t>
            </w:r>
          </w:p>
        </w:tc>
        <w:tc>
          <w:tcPr>
            <w:tcW w:w="2268" w:type="dxa"/>
            <w:shd w:val="clear" w:color="auto" w:fill="auto"/>
            <w:vAlign w:val="center"/>
          </w:tcPr>
          <w:p w:rsidR="00852FF8" w:rsidRPr="001B5DE3" w:rsidRDefault="00852FF8" w:rsidP="008B1901">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на 01.07.2021 </w:t>
            </w:r>
          </w:p>
        </w:tc>
      </w:tr>
      <w:tr w:rsidR="000D2D23" w:rsidRPr="001B5DE3" w:rsidTr="000D2D23">
        <w:trPr>
          <w:trHeight w:val="467"/>
        </w:trPr>
        <w:tc>
          <w:tcPr>
            <w:tcW w:w="4678" w:type="dxa"/>
            <w:shd w:val="clear" w:color="auto" w:fill="auto"/>
            <w:vAlign w:val="center"/>
          </w:tcPr>
          <w:p w:rsidR="00852FF8" w:rsidRPr="001B5DE3" w:rsidRDefault="00852FF8" w:rsidP="008B1901">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Питома вага невиплаченої заробітної </w:t>
            </w:r>
          </w:p>
          <w:p w:rsidR="00852FF8" w:rsidRDefault="00852FF8" w:rsidP="008B1901">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плати у фонді оплати праці, %</w:t>
            </w:r>
          </w:p>
          <w:p w:rsidR="000D2D23" w:rsidRPr="001B5DE3" w:rsidRDefault="000D2D23" w:rsidP="008B1901">
            <w:pPr>
              <w:spacing w:after="0" w:line="240" w:lineRule="auto"/>
              <w:rPr>
                <w:rFonts w:ascii="Times New Roman" w:hAnsi="Times New Roman" w:cs="Times New Roman"/>
                <w:sz w:val="24"/>
                <w:szCs w:val="24"/>
                <w:lang w:val="uk-UA"/>
              </w:rPr>
            </w:pPr>
          </w:p>
        </w:tc>
        <w:tc>
          <w:tcPr>
            <w:tcW w:w="2693" w:type="dxa"/>
            <w:shd w:val="clear" w:color="auto" w:fill="auto"/>
            <w:vAlign w:val="center"/>
          </w:tcPr>
          <w:p w:rsidR="00852FF8" w:rsidRPr="001B5DE3" w:rsidRDefault="00852FF8" w:rsidP="000D2D2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5,1</w:t>
            </w:r>
          </w:p>
        </w:tc>
        <w:tc>
          <w:tcPr>
            <w:tcW w:w="2268" w:type="dxa"/>
            <w:shd w:val="clear" w:color="auto" w:fill="auto"/>
            <w:vAlign w:val="center"/>
          </w:tcPr>
          <w:p w:rsidR="00852FF8" w:rsidRPr="001B5DE3" w:rsidRDefault="00852FF8" w:rsidP="000D2D2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4,5</w:t>
            </w:r>
          </w:p>
        </w:tc>
      </w:tr>
    </w:tbl>
    <w:p w:rsidR="00852FF8" w:rsidRPr="001B5DE3" w:rsidRDefault="00852FF8" w:rsidP="008B1901">
      <w:pPr>
        <w:tabs>
          <w:tab w:val="left" w:pos="8580"/>
          <w:tab w:val="left" w:pos="12740"/>
        </w:tabs>
        <w:spacing w:after="0" w:line="240" w:lineRule="auto"/>
        <w:ind w:firstLine="709"/>
        <w:jc w:val="both"/>
        <w:rPr>
          <w:rFonts w:ascii="Times New Roman" w:hAnsi="Times New Roman" w:cs="Times New Roman"/>
          <w:sz w:val="24"/>
          <w:szCs w:val="24"/>
          <w:lang w:val="uk-UA"/>
        </w:rPr>
      </w:pPr>
    </w:p>
    <w:p w:rsidR="00852FF8" w:rsidRPr="001B5DE3" w:rsidRDefault="00852FF8" w:rsidP="008B1901">
      <w:pPr>
        <w:tabs>
          <w:tab w:val="left" w:pos="8580"/>
          <w:tab w:val="left" w:pos="12740"/>
        </w:tabs>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січня – червня </w:t>
      </w:r>
      <w:r w:rsidR="0003724C" w:rsidRPr="001B5DE3">
        <w:rPr>
          <w:rFonts w:ascii="Times New Roman" w:hAnsi="Times New Roman" w:cs="Times New Roman"/>
          <w:sz w:val="28"/>
          <w:szCs w:val="28"/>
          <w:lang w:val="uk-UA"/>
        </w:rPr>
        <w:t>2021 року відбулось 70 засідань</w:t>
      </w:r>
      <w:r w:rsidRPr="001B5DE3">
        <w:rPr>
          <w:rFonts w:ascii="Times New Roman" w:hAnsi="Times New Roman" w:cs="Times New Roman"/>
          <w:sz w:val="28"/>
          <w:szCs w:val="28"/>
          <w:lang w:val="uk-UA"/>
        </w:rPr>
        <w:t xml:space="preserve"> обласних, міських та районних комісій з питань погашення заборгованості з виплати заробітної плати, пенсій, стипендій та інших соціальних виплат, попереджено про персональну відповідальність за несвоєчасну виплату заробітної плати </w:t>
      </w:r>
      <w:r w:rsidR="00DE23F9"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229 керівників підприємств.</w:t>
      </w:r>
    </w:p>
    <w:p w:rsidR="00930627" w:rsidRPr="001B5DE3" w:rsidRDefault="00930627" w:rsidP="008B1901">
      <w:pPr>
        <w:tabs>
          <w:tab w:val="left" w:pos="8580"/>
          <w:tab w:val="left" w:pos="12740"/>
        </w:tabs>
        <w:spacing w:after="0" w:line="240" w:lineRule="auto"/>
        <w:ind w:firstLine="709"/>
        <w:jc w:val="both"/>
        <w:rPr>
          <w:rFonts w:ascii="Times New Roman" w:hAnsi="Times New Roman" w:cs="Times New Roman"/>
          <w:sz w:val="28"/>
          <w:szCs w:val="28"/>
          <w:lang w:val="uk-UA"/>
        </w:rPr>
      </w:pPr>
    </w:p>
    <w:p w:rsidR="00CC3037" w:rsidRPr="001B5DE3" w:rsidRDefault="00CC3037" w:rsidP="00E64906">
      <w:pPr>
        <w:spacing w:after="0" w:line="247"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Пенсійне забезпечення та соціальне страхування</w:t>
      </w:r>
    </w:p>
    <w:p w:rsidR="00CC3037" w:rsidRPr="001B5DE3" w:rsidRDefault="00CC3037" w:rsidP="00E64906">
      <w:pPr>
        <w:spacing w:after="0" w:line="247" w:lineRule="auto"/>
        <w:rPr>
          <w:rFonts w:ascii="Times New Roman" w:hAnsi="Times New Roman" w:cs="Times New Roman"/>
          <w:sz w:val="28"/>
          <w:szCs w:val="28"/>
          <w:lang w:val="uk-UA"/>
        </w:rPr>
      </w:pPr>
    </w:p>
    <w:p w:rsidR="00B15FB7" w:rsidRPr="001B5DE3" w:rsidRDefault="00B15FB7" w:rsidP="00E64906">
      <w:pPr>
        <w:pStyle w:val="ae"/>
        <w:spacing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Середній розмір пенсій станом на 01 липня 2021 року становив </w:t>
      </w:r>
      <w:r w:rsidRPr="001B5DE3">
        <w:rPr>
          <w:rFonts w:ascii="Times New Roman" w:hAnsi="Times New Roman" w:cs="Times New Roman"/>
          <w:sz w:val="28"/>
          <w:szCs w:val="28"/>
          <w:lang w:val="uk-UA"/>
        </w:rPr>
        <w:br/>
        <w:t>4292,12 грн, що на 11,2% більше ніж у відповідний період минулого року.</w:t>
      </w:r>
    </w:p>
    <w:p w:rsidR="00B15FB7" w:rsidRPr="001B5DE3" w:rsidRDefault="00B15FB7" w:rsidP="00E64906">
      <w:pPr>
        <w:pStyle w:val="ae"/>
        <w:spacing w:line="247" w:lineRule="auto"/>
        <w:ind w:firstLine="709"/>
        <w:jc w:val="both"/>
        <w:rPr>
          <w:rFonts w:ascii="Times New Roman" w:hAnsi="Times New Roman" w:cs="Times New Roman"/>
          <w:sz w:val="28"/>
          <w:szCs w:val="28"/>
          <w:lang w:val="uk-UA"/>
        </w:rPr>
      </w:pPr>
    </w:p>
    <w:p w:rsidR="00B15FB7" w:rsidRPr="001B5DE3" w:rsidRDefault="00B15FB7" w:rsidP="008B1901">
      <w:pPr>
        <w:pStyle w:val="ae"/>
        <w:ind w:firstLine="709"/>
        <w:jc w:val="both"/>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15F5B204" wp14:editId="0DBB095D">
            <wp:extent cx="5284306" cy="2276475"/>
            <wp:effectExtent l="0" t="0" r="0" b="0"/>
            <wp:docPr id="2"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15FB7" w:rsidRPr="001B5DE3" w:rsidRDefault="00B15FB7" w:rsidP="008B1901">
      <w:pPr>
        <w:pStyle w:val="23"/>
        <w:ind w:firstLine="780"/>
        <w:outlineLvl w:val="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1B5DE3" w:rsidRPr="001B5DE3" w:rsidTr="006E5692">
        <w:trPr>
          <w:trHeight w:val="698"/>
        </w:trPr>
        <w:tc>
          <w:tcPr>
            <w:tcW w:w="3261" w:type="dxa"/>
            <w:shd w:val="clear" w:color="auto" w:fill="auto"/>
            <w:vAlign w:val="center"/>
          </w:tcPr>
          <w:p w:rsidR="00B15FB7" w:rsidRPr="001B5DE3" w:rsidRDefault="00B15FB7" w:rsidP="00E64906">
            <w:pPr>
              <w:spacing w:after="0" w:line="252"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3402"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на 01.07.2020 </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на 01.07.2021 </w:t>
            </w:r>
          </w:p>
        </w:tc>
      </w:tr>
      <w:tr w:rsidR="00B15FB7" w:rsidRPr="001B5DE3" w:rsidTr="006E5692">
        <w:trPr>
          <w:trHeight w:val="467"/>
        </w:trPr>
        <w:tc>
          <w:tcPr>
            <w:tcW w:w="3261" w:type="dxa"/>
            <w:shd w:val="clear" w:color="auto" w:fill="auto"/>
            <w:vAlign w:val="center"/>
          </w:tcPr>
          <w:p w:rsidR="00B15FB7" w:rsidRPr="001B5DE3" w:rsidRDefault="00B15FB7" w:rsidP="00E64906">
            <w:pPr>
              <w:spacing w:after="0" w:line="252"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Середній розмір пенсій, грн</w:t>
            </w:r>
          </w:p>
        </w:tc>
        <w:tc>
          <w:tcPr>
            <w:tcW w:w="3402"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3860,05</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4292,12</w:t>
            </w:r>
          </w:p>
        </w:tc>
      </w:tr>
    </w:tbl>
    <w:p w:rsidR="00B15FB7" w:rsidRPr="001B5DE3" w:rsidRDefault="00B15FB7" w:rsidP="00E64906">
      <w:pPr>
        <w:pStyle w:val="23"/>
        <w:spacing w:line="252" w:lineRule="auto"/>
        <w:ind w:firstLine="780"/>
        <w:outlineLvl w:val="8"/>
      </w:pPr>
    </w:p>
    <w:p w:rsidR="00B15FB7" w:rsidRPr="001B5DE3" w:rsidRDefault="00B15FB7" w:rsidP="00E64906">
      <w:pPr>
        <w:pStyle w:val="3"/>
        <w:spacing w:after="0" w:line="252" w:lineRule="auto"/>
        <w:ind w:firstLine="709"/>
        <w:jc w:val="both"/>
        <w:rPr>
          <w:sz w:val="28"/>
          <w:szCs w:val="28"/>
        </w:rPr>
      </w:pPr>
      <w:r w:rsidRPr="001B5DE3">
        <w:rPr>
          <w:sz w:val="28"/>
          <w:szCs w:val="28"/>
          <w:lang w:val="uk-UA"/>
        </w:rPr>
        <w:t xml:space="preserve">Надходження власних коштів до Головного управління  Пенсійного фонду України в Дніпропетровській області у січні – червні 2021 року збільшились на 19,5% до аналогічного періоду 2020 року і склали </w:t>
      </w:r>
      <w:r w:rsidRPr="001B5DE3">
        <w:rPr>
          <w:sz w:val="28"/>
          <w:szCs w:val="28"/>
          <w:lang w:val="uk-UA"/>
        </w:rPr>
        <w:br/>
        <w:t>1807,6 млн грн.</w:t>
      </w:r>
    </w:p>
    <w:p w:rsidR="00B15FB7" w:rsidRPr="001B5DE3" w:rsidRDefault="00B15FB7" w:rsidP="00E64906">
      <w:pPr>
        <w:pStyle w:val="ae"/>
        <w:spacing w:line="252" w:lineRule="auto"/>
        <w:ind w:firstLine="709"/>
        <w:jc w:val="both"/>
        <w:rPr>
          <w:rFonts w:ascii="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7"/>
        <w:gridCol w:w="2976"/>
      </w:tblGrid>
      <w:tr w:rsidR="001B5DE3" w:rsidRPr="001B5DE3" w:rsidTr="00A01A43">
        <w:trPr>
          <w:trHeight w:val="698"/>
        </w:trPr>
        <w:tc>
          <w:tcPr>
            <w:tcW w:w="3686" w:type="dxa"/>
            <w:shd w:val="clear" w:color="auto" w:fill="auto"/>
            <w:vAlign w:val="center"/>
          </w:tcPr>
          <w:p w:rsidR="00B15FB7" w:rsidRPr="001B5DE3" w:rsidRDefault="00B15FB7" w:rsidP="00E64906">
            <w:pPr>
              <w:spacing w:after="0" w:line="252"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977"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червень </w:t>
            </w:r>
            <w:r w:rsidRPr="001B5DE3">
              <w:rPr>
                <w:rFonts w:ascii="Times New Roman" w:hAnsi="Times New Roman" w:cs="Times New Roman"/>
                <w:sz w:val="24"/>
                <w:szCs w:val="24"/>
                <w:lang w:val="uk-UA"/>
              </w:rPr>
              <w:br/>
              <w:t>2020 року</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червень </w:t>
            </w:r>
          </w:p>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 року</w:t>
            </w:r>
          </w:p>
        </w:tc>
      </w:tr>
      <w:tr w:rsidR="00B15FB7" w:rsidRPr="001B5DE3" w:rsidTr="00A01A43">
        <w:trPr>
          <w:trHeight w:val="467"/>
        </w:trPr>
        <w:tc>
          <w:tcPr>
            <w:tcW w:w="3686" w:type="dxa"/>
            <w:shd w:val="clear" w:color="auto" w:fill="auto"/>
            <w:vAlign w:val="center"/>
          </w:tcPr>
          <w:p w:rsidR="00B15FB7" w:rsidRDefault="00B15FB7" w:rsidP="00E64906">
            <w:pPr>
              <w:spacing w:after="0" w:line="252"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Надходження власних коштів до Пенсійного фонду, млн грн</w:t>
            </w:r>
          </w:p>
          <w:p w:rsidR="00E64906" w:rsidRPr="001B5DE3" w:rsidRDefault="00E64906" w:rsidP="00E64906">
            <w:pPr>
              <w:spacing w:after="0" w:line="252" w:lineRule="auto"/>
              <w:rPr>
                <w:rFonts w:ascii="Times New Roman" w:hAnsi="Times New Roman" w:cs="Times New Roman"/>
                <w:sz w:val="24"/>
                <w:szCs w:val="24"/>
                <w:lang w:val="uk-UA"/>
              </w:rPr>
            </w:pPr>
          </w:p>
        </w:tc>
        <w:tc>
          <w:tcPr>
            <w:tcW w:w="2977"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1513,2</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1807,6</w:t>
            </w:r>
          </w:p>
        </w:tc>
      </w:tr>
    </w:tbl>
    <w:p w:rsidR="00B15FB7" w:rsidRPr="001B5DE3" w:rsidRDefault="00B15FB7" w:rsidP="00E64906">
      <w:pPr>
        <w:pStyle w:val="ae"/>
        <w:spacing w:line="252" w:lineRule="auto"/>
        <w:ind w:firstLine="709"/>
        <w:jc w:val="both"/>
        <w:rPr>
          <w:rFonts w:ascii="Times New Roman" w:hAnsi="Times New Roman" w:cs="Times New Roman"/>
          <w:sz w:val="24"/>
          <w:szCs w:val="24"/>
          <w:lang w:val="uk-UA"/>
        </w:rPr>
      </w:pPr>
    </w:p>
    <w:p w:rsidR="00B15FB7" w:rsidRPr="001B5DE3" w:rsidRDefault="00B15FB7" w:rsidP="00E64906">
      <w:pPr>
        <w:pStyle w:val="ae"/>
        <w:spacing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Протягом січня – червня 2021 року вдалося погасити заборгованість до Головного управління  Пенсійного фонду України в Дніпропетровській області на 3,1% (на 1472,6 тис. грн), борг економічно активних платників зменшився на 1,4% (на 260,8 тис. грн).</w:t>
      </w:r>
    </w:p>
    <w:p w:rsidR="00B15FB7" w:rsidRPr="001B5DE3" w:rsidRDefault="00B15FB7" w:rsidP="00E64906">
      <w:pPr>
        <w:pStyle w:val="ae"/>
        <w:spacing w:line="252" w:lineRule="auto"/>
        <w:ind w:firstLine="709"/>
        <w:jc w:val="both"/>
        <w:rPr>
          <w:rFonts w:ascii="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10"/>
        <w:gridCol w:w="2976"/>
      </w:tblGrid>
      <w:tr w:rsidR="001B5DE3" w:rsidRPr="001B5DE3" w:rsidTr="000B4198">
        <w:trPr>
          <w:trHeight w:val="698"/>
        </w:trPr>
        <w:tc>
          <w:tcPr>
            <w:tcW w:w="4253" w:type="dxa"/>
            <w:shd w:val="clear" w:color="auto" w:fill="auto"/>
            <w:vAlign w:val="center"/>
          </w:tcPr>
          <w:p w:rsidR="00B15FB7" w:rsidRPr="001B5DE3" w:rsidRDefault="00B15FB7" w:rsidP="00E64906">
            <w:pPr>
              <w:spacing w:after="0" w:line="252" w:lineRule="auto"/>
              <w:ind w:hanging="72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Показники</w:t>
            </w:r>
          </w:p>
        </w:tc>
        <w:tc>
          <w:tcPr>
            <w:tcW w:w="2410"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січень – липень </w:t>
            </w:r>
          </w:p>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2020 року</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січень – липень</w:t>
            </w:r>
          </w:p>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 року</w:t>
            </w:r>
          </w:p>
        </w:tc>
      </w:tr>
      <w:tr w:rsidR="00E64906" w:rsidRPr="001B5DE3" w:rsidTr="000B4198">
        <w:trPr>
          <w:trHeight w:val="269"/>
        </w:trPr>
        <w:tc>
          <w:tcPr>
            <w:tcW w:w="4253" w:type="dxa"/>
            <w:shd w:val="clear" w:color="auto" w:fill="auto"/>
            <w:vAlign w:val="center"/>
          </w:tcPr>
          <w:p w:rsidR="00B15FB7" w:rsidRDefault="00B15FB7" w:rsidP="00E64906">
            <w:pPr>
              <w:spacing w:after="0" w:line="252"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Заборгованість до Пенсійного фонду, млн грн</w:t>
            </w:r>
          </w:p>
          <w:p w:rsidR="00E64906" w:rsidRPr="001B5DE3" w:rsidRDefault="00E64906" w:rsidP="00E64906">
            <w:pPr>
              <w:spacing w:after="0" w:line="252" w:lineRule="auto"/>
              <w:rPr>
                <w:rFonts w:ascii="Times New Roman" w:hAnsi="Times New Roman" w:cs="Times New Roman"/>
                <w:sz w:val="24"/>
                <w:szCs w:val="24"/>
                <w:lang w:val="uk-UA"/>
              </w:rPr>
            </w:pPr>
          </w:p>
        </w:tc>
        <w:tc>
          <w:tcPr>
            <w:tcW w:w="2410"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47,7</w:t>
            </w:r>
          </w:p>
        </w:tc>
        <w:tc>
          <w:tcPr>
            <w:tcW w:w="2976" w:type="dxa"/>
            <w:shd w:val="clear" w:color="auto" w:fill="auto"/>
            <w:vAlign w:val="center"/>
          </w:tcPr>
          <w:p w:rsidR="00B15FB7" w:rsidRPr="001B5DE3" w:rsidRDefault="00B15FB7" w:rsidP="00E64906">
            <w:pPr>
              <w:spacing w:after="0" w:line="252"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46,3</w:t>
            </w:r>
          </w:p>
        </w:tc>
      </w:tr>
    </w:tbl>
    <w:p w:rsidR="00B15FB7" w:rsidRDefault="00B15FB7" w:rsidP="008B1901">
      <w:pPr>
        <w:spacing w:after="0" w:line="240" w:lineRule="auto"/>
        <w:rPr>
          <w:rFonts w:ascii="Times New Roman" w:hAnsi="Times New Roman" w:cs="Times New Roman"/>
          <w:sz w:val="28"/>
          <w:szCs w:val="28"/>
          <w:lang w:val="uk-UA"/>
        </w:rPr>
      </w:pPr>
    </w:p>
    <w:p w:rsidR="00E64906" w:rsidRDefault="00E64906" w:rsidP="008B1901">
      <w:pPr>
        <w:spacing w:after="0" w:line="240" w:lineRule="auto"/>
        <w:rPr>
          <w:rFonts w:ascii="Times New Roman" w:hAnsi="Times New Roman" w:cs="Times New Roman"/>
          <w:sz w:val="28"/>
          <w:szCs w:val="28"/>
          <w:lang w:val="uk-UA"/>
        </w:rPr>
      </w:pPr>
    </w:p>
    <w:p w:rsidR="00CC3037" w:rsidRPr="001B5DE3" w:rsidRDefault="00CC3037" w:rsidP="00572491">
      <w:pPr>
        <w:spacing w:after="0" w:line="247"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Соціальний захист населення</w:t>
      </w:r>
    </w:p>
    <w:p w:rsidR="00CC3037" w:rsidRPr="001B5DE3" w:rsidRDefault="00CC3037" w:rsidP="00572491">
      <w:pPr>
        <w:spacing w:after="0" w:line="247" w:lineRule="auto"/>
        <w:rPr>
          <w:rFonts w:ascii="Times New Roman" w:hAnsi="Times New Roman" w:cs="Times New Roman"/>
          <w:sz w:val="28"/>
          <w:szCs w:val="28"/>
          <w:lang w:val="uk-UA"/>
        </w:rPr>
      </w:pPr>
    </w:p>
    <w:p w:rsidR="00E27850" w:rsidRPr="001B5DE3" w:rsidRDefault="00E27850" w:rsidP="00572491">
      <w:pPr>
        <w:pStyle w:val="ae"/>
        <w:spacing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 метою удосконалення надання якісних і доступних соціальних послуг, забезпечення якісного соціального рівня та якості життя, соціального захисту малозабезпечених, пільгових верств населення, їх соціалізації та соціальної безпеки в суспільстві:</w:t>
      </w:r>
    </w:p>
    <w:p w:rsidR="00E27850" w:rsidRPr="001B5DE3" w:rsidRDefault="00E27850" w:rsidP="00572491">
      <w:pPr>
        <w:pStyle w:val="ae"/>
        <w:spacing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укладено договори та розпочато фінансування 7 громадських організацій ветеранів та 5 громадських організацій осіб з інвалідністю;</w:t>
      </w:r>
    </w:p>
    <w:p w:rsidR="00E27850" w:rsidRPr="001B5DE3" w:rsidRDefault="00E27850" w:rsidP="00572491">
      <w:pPr>
        <w:pStyle w:val="ae"/>
        <w:spacing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надано матеріальну допомогу 3641 малозабезпеченій особі на загальну суму 7061,8 тис. грн, що дало змогу підтримати громадян, які опинилися у скрутному становищі;</w:t>
      </w:r>
    </w:p>
    <w:p w:rsidR="00B00659" w:rsidRPr="001B5DE3" w:rsidRDefault="00B00659" w:rsidP="00BF23B7">
      <w:pPr>
        <w:pStyle w:val="ae"/>
        <w:ind w:firstLine="709"/>
        <w:jc w:val="both"/>
        <w:rPr>
          <w:rFonts w:ascii="Times New Roman" w:hAnsi="Times New Roman" w:cs="Times New Roman"/>
          <w:bCs/>
          <w:sz w:val="28"/>
          <w:szCs w:val="28"/>
          <w:lang w:val="uk-UA"/>
        </w:rPr>
      </w:pPr>
    </w:p>
    <w:tbl>
      <w:tblPr>
        <w:tblpPr w:leftFromText="180" w:rightFromText="180" w:vertAnchor="text" w:horzAnchor="margin" w:tblpX="108"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5"/>
        <w:gridCol w:w="2835"/>
      </w:tblGrid>
      <w:tr w:rsidR="001B5DE3" w:rsidRPr="001B5DE3" w:rsidTr="000710D4">
        <w:trPr>
          <w:trHeight w:val="698"/>
        </w:trPr>
        <w:tc>
          <w:tcPr>
            <w:tcW w:w="3936" w:type="dxa"/>
            <w:shd w:val="clear" w:color="auto" w:fill="auto"/>
            <w:vAlign w:val="center"/>
          </w:tcPr>
          <w:p w:rsidR="00E27850" w:rsidRPr="001B5DE3" w:rsidRDefault="00E27850" w:rsidP="000710D4">
            <w:pPr>
              <w:spacing w:after="0" w:line="240" w:lineRule="auto"/>
              <w:ind w:hanging="720"/>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Показники</w:t>
            </w:r>
          </w:p>
        </w:tc>
        <w:tc>
          <w:tcPr>
            <w:tcW w:w="2835" w:type="dxa"/>
            <w:vAlign w:val="center"/>
          </w:tcPr>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січень – червень </w:t>
            </w:r>
          </w:p>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2020 року</w:t>
            </w:r>
          </w:p>
        </w:tc>
        <w:tc>
          <w:tcPr>
            <w:tcW w:w="2835" w:type="dxa"/>
            <w:shd w:val="clear" w:color="auto" w:fill="auto"/>
            <w:vAlign w:val="center"/>
          </w:tcPr>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січень – червень </w:t>
            </w:r>
          </w:p>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2021 року</w:t>
            </w:r>
          </w:p>
        </w:tc>
      </w:tr>
      <w:tr w:rsidR="001B5DE3" w:rsidRPr="001B5DE3" w:rsidTr="000710D4">
        <w:trPr>
          <w:trHeight w:val="269"/>
        </w:trPr>
        <w:tc>
          <w:tcPr>
            <w:tcW w:w="3936" w:type="dxa"/>
            <w:shd w:val="clear" w:color="auto" w:fill="auto"/>
            <w:vAlign w:val="center"/>
          </w:tcPr>
          <w:p w:rsidR="00E27850" w:rsidRPr="001B5DE3" w:rsidRDefault="00E27850" w:rsidP="000710D4">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Надано матеріальну допомогу, осіб</w:t>
            </w:r>
          </w:p>
        </w:tc>
        <w:tc>
          <w:tcPr>
            <w:tcW w:w="2835" w:type="dxa"/>
          </w:tcPr>
          <w:p w:rsidR="00E27850" w:rsidRPr="001B5DE3" w:rsidRDefault="00E27850" w:rsidP="000710D4">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4003</w:t>
            </w:r>
          </w:p>
        </w:tc>
        <w:tc>
          <w:tcPr>
            <w:tcW w:w="2835" w:type="dxa"/>
            <w:shd w:val="clear" w:color="auto" w:fill="auto"/>
            <w:vAlign w:val="center"/>
          </w:tcPr>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3641</w:t>
            </w:r>
          </w:p>
        </w:tc>
      </w:tr>
      <w:tr w:rsidR="001B5DE3" w:rsidRPr="001B5DE3" w:rsidTr="000710D4">
        <w:trPr>
          <w:trHeight w:val="269"/>
        </w:trPr>
        <w:tc>
          <w:tcPr>
            <w:tcW w:w="3936" w:type="dxa"/>
            <w:shd w:val="clear" w:color="auto" w:fill="auto"/>
            <w:vAlign w:val="center"/>
          </w:tcPr>
          <w:p w:rsidR="00E27850" w:rsidRPr="001B5DE3" w:rsidRDefault="00E27850" w:rsidP="000710D4">
            <w:pPr>
              <w:spacing w:after="0" w:line="240"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тис.</w:t>
            </w:r>
            <w:r w:rsidR="002579C9"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грн</w:t>
            </w:r>
          </w:p>
        </w:tc>
        <w:tc>
          <w:tcPr>
            <w:tcW w:w="2835" w:type="dxa"/>
          </w:tcPr>
          <w:p w:rsidR="00E27850" w:rsidRPr="001B5DE3" w:rsidRDefault="00E27850" w:rsidP="000710D4">
            <w:pPr>
              <w:spacing w:after="0" w:line="240" w:lineRule="auto"/>
              <w:jc w:val="center"/>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7919,87</w:t>
            </w:r>
          </w:p>
        </w:tc>
        <w:tc>
          <w:tcPr>
            <w:tcW w:w="2835" w:type="dxa"/>
            <w:shd w:val="clear" w:color="auto" w:fill="auto"/>
            <w:vAlign w:val="center"/>
          </w:tcPr>
          <w:p w:rsidR="00E27850" w:rsidRPr="001B5DE3" w:rsidRDefault="00E27850" w:rsidP="000710D4">
            <w:pPr>
              <w:spacing w:after="0" w:line="240" w:lineRule="auto"/>
              <w:jc w:val="center"/>
              <w:rPr>
                <w:rFonts w:ascii="Times New Roman" w:hAnsi="Times New Roman" w:cs="Times New Roman"/>
                <w:sz w:val="28"/>
                <w:szCs w:val="28"/>
                <w:lang w:val="uk-UA"/>
              </w:rPr>
            </w:pPr>
            <w:r w:rsidRPr="001B5DE3">
              <w:rPr>
                <w:rFonts w:ascii="Times New Roman" w:hAnsi="Times New Roman" w:cs="Times New Roman"/>
                <w:sz w:val="28"/>
                <w:szCs w:val="28"/>
                <w:lang w:val="uk-UA"/>
              </w:rPr>
              <w:t>7061,8</w:t>
            </w:r>
          </w:p>
        </w:tc>
      </w:tr>
    </w:tbl>
    <w:p w:rsidR="00B00659" w:rsidRPr="001B5DE3" w:rsidRDefault="00B00659" w:rsidP="00F25D83">
      <w:pPr>
        <w:pStyle w:val="ae"/>
        <w:ind w:firstLine="709"/>
        <w:jc w:val="both"/>
        <w:rPr>
          <w:rFonts w:ascii="Times New Roman" w:hAnsi="Times New Roman" w:cs="Times New Roman"/>
          <w:sz w:val="28"/>
          <w:szCs w:val="28"/>
          <w:lang w:val="uk-UA"/>
        </w:rPr>
      </w:pPr>
    </w:p>
    <w:p w:rsidR="00E27850" w:rsidRPr="001B5DE3" w:rsidRDefault="00E27850" w:rsidP="00F25D83">
      <w:pPr>
        <w:pStyle w:val="ae"/>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забезпечено своєчасне нарахування та виплат</w:t>
      </w:r>
      <w:r w:rsidR="000F06DE"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 допомоги 176,9 тисячам сімей з дітьми, інвалідам з дитинства та дітям-інвалідам, малозабезпеченим сім’ям;</w:t>
      </w:r>
    </w:p>
    <w:p w:rsidR="00E27850" w:rsidRPr="001B5DE3" w:rsidRDefault="00E27850" w:rsidP="00F25D83">
      <w:pPr>
        <w:pStyle w:val="ae"/>
        <w:ind w:firstLine="709"/>
        <w:jc w:val="both"/>
        <w:rPr>
          <w:rFonts w:ascii="Times New Roman" w:hAnsi="Times New Roman"/>
          <w:bCs/>
          <w:sz w:val="28"/>
          <w:szCs w:val="28"/>
          <w:lang w:val="uk-UA"/>
        </w:rPr>
      </w:pPr>
      <w:r w:rsidRPr="001B5DE3">
        <w:rPr>
          <w:rFonts w:ascii="Times New Roman" w:hAnsi="Times New Roman"/>
          <w:bCs/>
          <w:sz w:val="28"/>
          <w:szCs w:val="28"/>
          <w:lang w:val="uk-UA"/>
        </w:rPr>
        <w:t>забезпечено санаторно-курортним лікуванням 538 громадян пільгових категорій;</w:t>
      </w:r>
    </w:p>
    <w:p w:rsidR="00E27850" w:rsidRPr="001B5DE3" w:rsidRDefault="00E27850" w:rsidP="00F25D83">
      <w:pPr>
        <w:pStyle w:val="ae"/>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забезпечено компенсаційними виплатами 14,5 тисяч осіб, постраждалих внаслідок Чорнобильської катастрофи, та пільгових категорій громадян;</w:t>
      </w:r>
    </w:p>
    <w:p w:rsidR="00E27850" w:rsidRPr="001B5DE3" w:rsidRDefault="00E27850" w:rsidP="00F25D83">
      <w:pPr>
        <w:pStyle w:val="ae"/>
        <w:ind w:firstLine="709"/>
        <w:jc w:val="both"/>
        <w:rPr>
          <w:rFonts w:ascii="Times New Roman" w:hAnsi="Times New Roman"/>
          <w:bCs/>
          <w:sz w:val="28"/>
          <w:szCs w:val="28"/>
          <w:lang w:val="uk-UA"/>
        </w:rPr>
      </w:pPr>
      <w:r w:rsidRPr="001B5DE3">
        <w:rPr>
          <w:rFonts w:ascii="Times New Roman" w:hAnsi="Times New Roman"/>
          <w:bCs/>
          <w:sz w:val="28"/>
          <w:szCs w:val="28"/>
          <w:lang w:val="uk-UA"/>
        </w:rPr>
        <w:t>надано своєчасну виплату обласної стипендії 73 громадянам, яким виповнилося 100 і більше років.</w:t>
      </w:r>
    </w:p>
    <w:p w:rsidR="00F25D83" w:rsidRPr="001B5DE3" w:rsidRDefault="00F25D83" w:rsidP="00F25D83">
      <w:pPr>
        <w:pStyle w:val="ae"/>
        <w:ind w:firstLine="709"/>
        <w:jc w:val="both"/>
        <w:rPr>
          <w:rFonts w:ascii="Times New Roman" w:hAnsi="Times New Roman" w:cs="Times New Roman"/>
          <w:sz w:val="28"/>
          <w:szCs w:val="28"/>
          <w:lang w:val="uk-UA"/>
        </w:rPr>
      </w:pPr>
    </w:p>
    <w:p w:rsidR="00E27850" w:rsidRPr="001B5DE3" w:rsidRDefault="00E27850" w:rsidP="00F25D83">
      <w:pPr>
        <w:pStyle w:val="ae"/>
        <w:ind w:firstLine="709"/>
        <w:jc w:val="both"/>
        <w:rPr>
          <w:rFonts w:ascii="Times New Roman" w:hAnsi="Times New Roman" w:cs="Times New Roman"/>
          <w:sz w:val="28"/>
          <w:szCs w:val="28"/>
          <w:lang w:val="uk-UA"/>
        </w:rPr>
      </w:pPr>
      <w:r w:rsidRPr="001B5DE3">
        <w:rPr>
          <w:rFonts w:ascii="Times New Roman" w:hAnsi="Times New Roman" w:cs="Times New Roman"/>
          <w:noProof/>
          <w:sz w:val="28"/>
          <w:szCs w:val="28"/>
        </w:rPr>
        <w:drawing>
          <wp:inline distT="0" distB="0" distL="0" distR="0" wp14:anchorId="5B62FA51" wp14:editId="7F29E4D7">
            <wp:extent cx="5629275" cy="1533525"/>
            <wp:effectExtent l="0" t="0" r="0" b="0"/>
            <wp:docPr id="3"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27850" w:rsidRPr="001B5DE3" w:rsidRDefault="00E27850" w:rsidP="00572491">
      <w:pPr>
        <w:pStyle w:val="ae"/>
        <w:spacing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 забезпечення безкоштовними ліками та зубопротезуванням за програмою “Пільгове медичне обслуговування осіб, які постраждали внаслідок Чорнобильської катастрофи” профінансовано 1,6 млн грн, послуги отримали 726 осіб.</w:t>
      </w:r>
    </w:p>
    <w:p w:rsidR="00E27850" w:rsidRPr="001B5DE3" w:rsidRDefault="00E27850" w:rsidP="00572491">
      <w:pPr>
        <w:tabs>
          <w:tab w:val="left" w:pos="1134"/>
        </w:tabs>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На Дніпропетровщині налагоджено взаємодію всіх державних структур </w:t>
      </w:r>
      <w:r w:rsidR="00B00659" w:rsidRPr="001B5DE3">
        <w:rPr>
          <w:rFonts w:ascii="Times New Roman" w:hAnsi="Times New Roman" w:cs="Times New Roman"/>
          <w:sz w:val="28"/>
          <w:szCs w:val="28"/>
          <w:lang w:val="uk-UA"/>
        </w:rPr>
        <w:t>з</w:t>
      </w:r>
      <w:r w:rsidRPr="001B5DE3">
        <w:rPr>
          <w:rFonts w:ascii="Times New Roman" w:hAnsi="Times New Roman" w:cs="Times New Roman"/>
          <w:sz w:val="28"/>
          <w:szCs w:val="28"/>
          <w:lang w:val="uk-UA"/>
        </w:rPr>
        <w:t xml:space="preserve"> наданн</w:t>
      </w:r>
      <w:r w:rsidR="0082519E" w:rsidRPr="001B5DE3">
        <w:rPr>
          <w:rFonts w:ascii="Times New Roman" w:hAnsi="Times New Roman" w:cs="Times New Roman"/>
          <w:sz w:val="28"/>
          <w:szCs w:val="28"/>
          <w:lang w:val="uk-UA"/>
        </w:rPr>
        <w:t>я</w:t>
      </w:r>
      <w:r w:rsidRPr="001B5DE3">
        <w:rPr>
          <w:rFonts w:ascii="Times New Roman" w:hAnsi="Times New Roman" w:cs="Times New Roman"/>
          <w:sz w:val="28"/>
          <w:szCs w:val="28"/>
          <w:lang w:val="uk-UA"/>
        </w:rPr>
        <w:t xml:space="preserve"> підтримки сім</w:t>
      </w:r>
      <w:r w:rsidR="0082519E" w:rsidRPr="001B5DE3">
        <w:rPr>
          <w:rFonts w:ascii="Times New Roman" w:hAnsi="Times New Roman" w:cs="Times New Roman"/>
          <w:sz w:val="28"/>
          <w:szCs w:val="28"/>
          <w:lang w:val="uk-UA"/>
        </w:rPr>
        <w:t>’ям</w:t>
      </w:r>
      <w:r w:rsidRPr="001B5DE3">
        <w:rPr>
          <w:rFonts w:ascii="Times New Roman" w:hAnsi="Times New Roman" w:cs="Times New Roman"/>
          <w:sz w:val="28"/>
          <w:szCs w:val="28"/>
          <w:lang w:val="uk-UA"/>
        </w:rPr>
        <w:t xml:space="preserve"> з тимчасово окупованої території України і районів проведення антитерористичної операції.</w:t>
      </w:r>
    </w:p>
    <w:p w:rsidR="00E27850" w:rsidRPr="001B5DE3" w:rsidRDefault="00E27850" w:rsidP="00094039">
      <w:pPr>
        <w:tabs>
          <w:tab w:val="left" w:pos="1134"/>
        </w:tabs>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 xml:space="preserve">Станом на 01 липня 2021 року на облік взято 73332 особи (55571 сім’я), які одержали довідку встановленого зразка відповідно до </w:t>
      </w:r>
      <w:r w:rsidR="0082519E" w:rsidRPr="001B5DE3">
        <w:rPr>
          <w:rFonts w:ascii="Times New Roman" w:hAnsi="Times New Roman" w:cs="Times New Roman"/>
          <w:sz w:val="28"/>
          <w:szCs w:val="28"/>
          <w:lang w:val="uk-UA"/>
        </w:rPr>
        <w:t>п</w:t>
      </w:r>
      <w:r w:rsidRPr="001B5DE3">
        <w:rPr>
          <w:rFonts w:ascii="Times New Roman" w:hAnsi="Times New Roman" w:cs="Times New Roman"/>
          <w:sz w:val="28"/>
          <w:szCs w:val="28"/>
          <w:lang w:val="uk-UA"/>
        </w:rPr>
        <w:t>останови Кабінету Міністрів України від 01 жовтня 2014 року №</w:t>
      </w:r>
      <w:r w:rsidR="0082519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509 “Про облік </w:t>
      </w:r>
      <w:r w:rsidRPr="001B5DE3">
        <w:rPr>
          <w:rFonts w:ascii="Times New Roman" w:hAnsi="Times New Roman" w:cs="Times New Roman"/>
          <w:sz w:val="28"/>
          <w:szCs w:val="28"/>
          <w:lang w:val="uk-UA"/>
        </w:rPr>
        <w:br/>
        <w:t>внутрішньо</w:t>
      </w:r>
      <w:r w:rsidR="00405F56"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переміщених осіб” (із змінами), з них особи працездатного віку – 29026 осіб, пенсі</w:t>
      </w:r>
      <w:r w:rsidR="0082519E" w:rsidRPr="001B5DE3">
        <w:rPr>
          <w:rFonts w:ascii="Times New Roman" w:hAnsi="Times New Roman" w:cs="Times New Roman"/>
          <w:sz w:val="28"/>
          <w:szCs w:val="28"/>
          <w:lang w:val="uk-UA"/>
        </w:rPr>
        <w:t>онери – 28503, діти – 1231</w:t>
      </w:r>
      <w:r w:rsidR="003C4168" w:rsidRPr="001B5DE3">
        <w:rPr>
          <w:rFonts w:ascii="Times New Roman" w:hAnsi="Times New Roman" w:cs="Times New Roman"/>
          <w:sz w:val="28"/>
          <w:szCs w:val="28"/>
          <w:lang w:val="uk-UA"/>
        </w:rPr>
        <w:t>7</w:t>
      </w:r>
      <w:r w:rsidRPr="001B5DE3">
        <w:rPr>
          <w:rFonts w:ascii="Times New Roman" w:hAnsi="Times New Roman" w:cs="Times New Roman"/>
          <w:sz w:val="28"/>
          <w:szCs w:val="28"/>
          <w:lang w:val="uk-UA"/>
        </w:rPr>
        <w:t>, особи з інвалідністю – 2984.</w:t>
      </w:r>
    </w:p>
    <w:p w:rsidR="00E27850" w:rsidRPr="001B5DE3" w:rsidRDefault="00E27850" w:rsidP="00094039">
      <w:pPr>
        <w:tabs>
          <w:tab w:val="left" w:pos="1134"/>
        </w:tabs>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Оскільки із загальної кількос</w:t>
      </w:r>
      <w:r w:rsidR="003C4168" w:rsidRPr="001B5DE3">
        <w:rPr>
          <w:rFonts w:ascii="Times New Roman" w:hAnsi="Times New Roman" w:cs="Times New Roman"/>
          <w:sz w:val="28"/>
          <w:szCs w:val="28"/>
          <w:lang w:val="uk-UA"/>
        </w:rPr>
        <w:t>ті переселенців майже третина це сім’</w:t>
      </w:r>
      <w:r w:rsidRPr="001B5DE3">
        <w:rPr>
          <w:rFonts w:ascii="Times New Roman" w:hAnsi="Times New Roman" w:cs="Times New Roman"/>
          <w:sz w:val="28"/>
          <w:szCs w:val="28"/>
          <w:lang w:val="uk-UA"/>
        </w:rPr>
        <w:t>ї з дітьми та інваліди, то перш за все в області врегульовані механізми щодо призначення державних пенсій і допомоги соціально вразливим категоріям населення за місцем їх фактичного проживання.</w:t>
      </w:r>
    </w:p>
    <w:p w:rsidR="00E27850" w:rsidRPr="001B5DE3" w:rsidRDefault="00E27850" w:rsidP="00094039">
      <w:pPr>
        <w:tabs>
          <w:tab w:val="left" w:pos="1134"/>
        </w:tabs>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січня – червня 2021 року забезпечено своєчасну виплату адресної допомоги внутрішньо переміщеним особам для покриття витрат на проживання, у тому числі на оплату житлово-комунальних послуг, </w:t>
      </w:r>
      <w:r w:rsidRPr="001B5DE3">
        <w:rPr>
          <w:rFonts w:ascii="Times New Roman" w:hAnsi="Times New Roman" w:cs="Times New Roman"/>
          <w:sz w:val="28"/>
          <w:szCs w:val="28"/>
          <w:lang w:val="uk-UA"/>
        </w:rPr>
        <w:br/>
        <w:t>20624 особам на суму 103,98 млн грн.</w:t>
      </w:r>
    </w:p>
    <w:p w:rsidR="00E27850" w:rsidRPr="001B5DE3" w:rsidRDefault="00E27850" w:rsidP="00094039">
      <w:pPr>
        <w:spacing w:after="0" w:line="240" w:lineRule="auto"/>
        <w:rPr>
          <w:rFonts w:ascii="Times New Roman" w:hAnsi="Times New Roman" w:cs="Times New Roman"/>
          <w:b/>
          <w:sz w:val="28"/>
          <w:szCs w:val="28"/>
          <w:lang w:val="uk-UA"/>
        </w:rPr>
      </w:pPr>
    </w:p>
    <w:p w:rsidR="00CC3037" w:rsidRPr="001B5DE3" w:rsidRDefault="00CC3037" w:rsidP="00094039">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Розвиток житлово-комунального господарства</w:t>
      </w:r>
    </w:p>
    <w:p w:rsidR="00CC3037" w:rsidRPr="001B5DE3" w:rsidRDefault="00CC3037" w:rsidP="00094039">
      <w:pPr>
        <w:spacing w:after="0" w:line="240" w:lineRule="auto"/>
        <w:rPr>
          <w:rFonts w:ascii="Times New Roman" w:hAnsi="Times New Roman" w:cs="Times New Roman"/>
          <w:sz w:val="28"/>
          <w:szCs w:val="28"/>
          <w:lang w:val="uk-UA"/>
        </w:rPr>
      </w:pPr>
    </w:p>
    <w:p w:rsidR="0021204E" w:rsidRPr="001B5DE3" w:rsidRDefault="0021204E" w:rsidP="0009403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У січні – червні 2021 року мешканцями регіону за житлово-комунальні послуги сплачено 11360,4 млн грн, що становило 106,5% нарахованих </w:t>
      </w:r>
      <w:r w:rsidR="003B282E">
        <w:rPr>
          <w:rFonts w:ascii="Times New Roman" w:eastAsia="Calibri" w:hAnsi="Times New Roman" w:cs="Times New Roman"/>
          <w:sz w:val="28"/>
          <w:szCs w:val="28"/>
          <w:lang w:val="uk-UA" w:eastAsia="en-US"/>
        </w:rPr>
        <w:t xml:space="preserve">                          </w:t>
      </w:r>
      <w:r w:rsidRPr="001B5DE3">
        <w:rPr>
          <w:rFonts w:ascii="Times New Roman" w:eastAsia="Calibri" w:hAnsi="Times New Roman" w:cs="Times New Roman"/>
          <w:sz w:val="28"/>
          <w:szCs w:val="28"/>
          <w:lang w:val="uk-UA" w:eastAsia="en-US"/>
        </w:rPr>
        <w:t xml:space="preserve">за цей період сум. </w:t>
      </w:r>
    </w:p>
    <w:p w:rsidR="0021204E" w:rsidRPr="001B5DE3" w:rsidRDefault="0021204E" w:rsidP="00F25D83">
      <w:pPr>
        <w:autoSpaceDE w:val="0"/>
        <w:autoSpaceDN w:val="0"/>
        <w:adjustRightInd w:val="0"/>
        <w:spacing w:after="0" w:line="240" w:lineRule="auto"/>
        <w:ind w:firstLine="851"/>
        <w:jc w:val="both"/>
        <w:rPr>
          <w:rFonts w:ascii="Times New Roman" w:eastAsia="Calibri" w:hAnsi="Times New Roman" w:cs="Times New Roman"/>
          <w:sz w:val="16"/>
          <w:szCs w:val="16"/>
          <w:lang w:val="uk-UA" w:eastAsia="en-US"/>
        </w:rPr>
      </w:pPr>
    </w:p>
    <w:p w:rsidR="006E5692" w:rsidRPr="001B5DE3" w:rsidRDefault="006E5692" w:rsidP="00F25D83">
      <w:pPr>
        <w:autoSpaceDE w:val="0"/>
        <w:autoSpaceDN w:val="0"/>
        <w:adjustRightInd w:val="0"/>
        <w:spacing w:after="0" w:line="240" w:lineRule="auto"/>
        <w:ind w:firstLine="851"/>
        <w:jc w:val="both"/>
        <w:rPr>
          <w:rFonts w:ascii="Times New Roman" w:eastAsia="Calibri" w:hAnsi="Times New Roman" w:cs="Times New Roman"/>
          <w:sz w:val="16"/>
          <w:szCs w:val="16"/>
          <w:lang w:val="uk-UA" w:eastAsia="en-US"/>
        </w:rPr>
      </w:pPr>
    </w:p>
    <w:p w:rsidR="00755B49" w:rsidRDefault="0021204E" w:rsidP="00F25D83">
      <w:pPr>
        <w:autoSpaceDE w:val="0"/>
        <w:autoSpaceDN w:val="0"/>
        <w:adjustRightInd w:val="0"/>
        <w:spacing w:after="0" w:line="240" w:lineRule="auto"/>
        <w:ind w:firstLine="851"/>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t xml:space="preserve">Динаміка рівня сплати </w:t>
      </w:r>
    </w:p>
    <w:p w:rsidR="0021204E" w:rsidRPr="001B5DE3" w:rsidRDefault="0021204E" w:rsidP="00F25D83">
      <w:pPr>
        <w:autoSpaceDE w:val="0"/>
        <w:autoSpaceDN w:val="0"/>
        <w:adjustRightInd w:val="0"/>
        <w:spacing w:after="0" w:line="240" w:lineRule="auto"/>
        <w:ind w:firstLine="851"/>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t>за житлово-комунальні послуги, %</w:t>
      </w:r>
    </w:p>
    <w:p w:rsidR="0021204E" w:rsidRPr="001B5DE3" w:rsidRDefault="0021204E" w:rsidP="00F25D83">
      <w:pPr>
        <w:autoSpaceDE w:val="0"/>
        <w:autoSpaceDN w:val="0"/>
        <w:adjustRightInd w:val="0"/>
        <w:spacing w:after="0" w:line="240" w:lineRule="auto"/>
        <w:ind w:firstLine="851"/>
        <w:jc w:val="center"/>
        <w:rPr>
          <w:rFonts w:ascii="Times New Roman" w:eastAsia="Calibri" w:hAnsi="Times New Roman" w:cs="Times New Roman"/>
          <w:sz w:val="24"/>
          <w:szCs w:val="24"/>
          <w:lang w:val="uk-UA" w:eastAsia="en-US"/>
        </w:rPr>
      </w:pPr>
    </w:p>
    <w:tbl>
      <w:tblPr>
        <w:tblW w:w="0" w:type="auto"/>
        <w:jc w:val="center"/>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33"/>
      </w:tblGrid>
      <w:tr w:rsidR="001B5DE3" w:rsidRPr="001B5DE3" w:rsidTr="00E3396C">
        <w:trPr>
          <w:jc w:val="center"/>
        </w:trPr>
        <w:tc>
          <w:tcPr>
            <w:tcW w:w="3586" w:type="dxa"/>
            <w:shd w:val="clear" w:color="auto" w:fill="auto"/>
          </w:tcPr>
          <w:p w:rsidR="0021204E" w:rsidRPr="001B5DE3" w:rsidRDefault="003C4168" w:rsidP="00F25D83">
            <w:pPr>
              <w:spacing w:after="0" w:line="240" w:lineRule="auto"/>
              <w:jc w:val="center"/>
              <w:rPr>
                <w:rFonts w:ascii="Times New Roman" w:hAnsi="Times New Roman" w:cs="Times New Roman"/>
                <w:sz w:val="24"/>
                <w:szCs w:val="24"/>
                <w:lang w:val="uk-UA"/>
              </w:rPr>
            </w:pPr>
            <w:r w:rsidRPr="001B5DE3">
              <w:rPr>
                <w:rFonts w:ascii="Times New Roman" w:eastAsia="Calibri" w:hAnsi="Times New Roman" w:cs="Times New Roman"/>
                <w:sz w:val="24"/>
                <w:szCs w:val="24"/>
                <w:lang w:val="uk-UA" w:eastAsia="en-US"/>
              </w:rPr>
              <w:t>І</w:t>
            </w:r>
            <w:r w:rsidR="0021204E" w:rsidRPr="001B5DE3">
              <w:rPr>
                <w:rFonts w:ascii="Times New Roman" w:eastAsia="Calibri" w:hAnsi="Times New Roman" w:cs="Times New Roman"/>
                <w:sz w:val="24"/>
                <w:szCs w:val="24"/>
                <w:lang w:val="uk-UA" w:eastAsia="en-US"/>
              </w:rPr>
              <w:t xml:space="preserve"> півріччя 2019 року</w:t>
            </w:r>
          </w:p>
        </w:tc>
        <w:tc>
          <w:tcPr>
            <w:tcW w:w="2940" w:type="dxa"/>
            <w:shd w:val="clear" w:color="auto" w:fill="auto"/>
          </w:tcPr>
          <w:p w:rsidR="0021204E" w:rsidRPr="001B5DE3" w:rsidRDefault="003C4168" w:rsidP="00F25D83">
            <w:pPr>
              <w:spacing w:after="0" w:line="240" w:lineRule="auto"/>
              <w:jc w:val="center"/>
              <w:rPr>
                <w:rFonts w:ascii="Times New Roman" w:hAnsi="Times New Roman" w:cs="Times New Roman"/>
                <w:sz w:val="24"/>
                <w:szCs w:val="24"/>
                <w:lang w:val="uk-UA"/>
              </w:rPr>
            </w:pPr>
            <w:r w:rsidRPr="001B5DE3">
              <w:rPr>
                <w:rFonts w:ascii="Times New Roman" w:eastAsia="Calibri" w:hAnsi="Times New Roman" w:cs="Times New Roman"/>
                <w:sz w:val="24"/>
                <w:szCs w:val="24"/>
                <w:lang w:val="uk-UA" w:eastAsia="en-US"/>
              </w:rPr>
              <w:t>І</w:t>
            </w:r>
            <w:r w:rsidR="0021204E" w:rsidRPr="001B5DE3">
              <w:rPr>
                <w:rFonts w:ascii="Times New Roman" w:eastAsia="Calibri" w:hAnsi="Times New Roman" w:cs="Times New Roman"/>
                <w:sz w:val="24"/>
                <w:szCs w:val="24"/>
                <w:lang w:val="uk-UA" w:eastAsia="en-US"/>
              </w:rPr>
              <w:t xml:space="preserve"> півріччя 2020 року</w:t>
            </w:r>
          </w:p>
        </w:tc>
        <w:tc>
          <w:tcPr>
            <w:tcW w:w="2833" w:type="dxa"/>
            <w:shd w:val="clear" w:color="auto" w:fill="auto"/>
          </w:tcPr>
          <w:p w:rsidR="0021204E" w:rsidRPr="001B5DE3" w:rsidRDefault="00665FB5" w:rsidP="006E5692">
            <w:pPr>
              <w:autoSpaceDE w:val="0"/>
              <w:autoSpaceDN w:val="0"/>
              <w:adjustRightInd w:val="0"/>
              <w:spacing w:after="0" w:line="240" w:lineRule="auto"/>
              <w:jc w:val="center"/>
              <w:rPr>
                <w:rFonts w:ascii="Times New Roman" w:eastAsia="Calibri" w:hAnsi="Times New Roman" w:cs="Times New Roman"/>
                <w:sz w:val="24"/>
                <w:szCs w:val="24"/>
                <w:lang w:val="uk-UA" w:eastAsia="en-US"/>
              </w:rPr>
            </w:pPr>
            <w:r w:rsidRPr="001B5DE3">
              <w:rPr>
                <w:rFonts w:ascii="Times New Roman" w:eastAsia="Calibri" w:hAnsi="Times New Roman" w:cs="Times New Roman"/>
                <w:sz w:val="24"/>
                <w:szCs w:val="24"/>
                <w:lang w:val="uk-UA" w:eastAsia="en-US"/>
              </w:rPr>
              <w:t>І</w:t>
            </w:r>
            <w:r w:rsidR="006E5692" w:rsidRPr="001B5DE3">
              <w:rPr>
                <w:rFonts w:ascii="Times New Roman" w:eastAsia="Calibri" w:hAnsi="Times New Roman" w:cs="Times New Roman"/>
                <w:sz w:val="24"/>
                <w:szCs w:val="24"/>
                <w:lang w:val="uk-UA" w:eastAsia="en-US"/>
              </w:rPr>
              <w:t xml:space="preserve"> </w:t>
            </w:r>
            <w:r w:rsidR="0021204E" w:rsidRPr="001B5DE3">
              <w:rPr>
                <w:rFonts w:ascii="Times New Roman" w:eastAsia="Calibri" w:hAnsi="Times New Roman" w:cs="Times New Roman"/>
                <w:sz w:val="24"/>
                <w:szCs w:val="24"/>
                <w:lang w:val="uk-UA" w:eastAsia="en-US"/>
              </w:rPr>
              <w:t>півріччя 2021 року</w:t>
            </w:r>
          </w:p>
        </w:tc>
      </w:tr>
      <w:tr w:rsidR="001B5DE3" w:rsidRPr="001B5DE3" w:rsidTr="00E3396C">
        <w:trPr>
          <w:jc w:val="center"/>
        </w:trPr>
        <w:tc>
          <w:tcPr>
            <w:tcW w:w="3586" w:type="dxa"/>
            <w:shd w:val="clear" w:color="auto" w:fill="auto"/>
          </w:tcPr>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r w:rsidRPr="001B5DE3">
              <w:rPr>
                <w:rFonts w:ascii="Times New Roman" w:eastAsia="Calibri" w:hAnsi="Times New Roman" w:cs="Times New Roman"/>
                <w:sz w:val="24"/>
                <w:szCs w:val="24"/>
                <w:lang w:val="uk-UA" w:eastAsia="en-US"/>
              </w:rPr>
              <w:t>95,9</w:t>
            </w:r>
          </w:p>
        </w:tc>
        <w:tc>
          <w:tcPr>
            <w:tcW w:w="2940" w:type="dxa"/>
            <w:shd w:val="clear" w:color="auto" w:fill="auto"/>
          </w:tcPr>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r w:rsidRPr="001B5DE3">
              <w:rPr>
                <w:rFonts w:ascii="Times New Roman" w:eastAsia="Calibri" w:hAnsi="Times New Roman" w:cs="Times New Roman"/>
                <w:sz w:val="24"/>
                <w:szCs w:val="24"/>
                <w:lang w:val="uk-UA" w:eastAsia="en-US"/>
              </w:rPr>
              <w:t>103,5</w:t>
            </w:r>
          </w:p>
        </w:tc>
        <w:tc>
          <w:tcPr>
            <w:tcW w:w="2833" w:type="dxa"/>
            <w:shd w:val="clear" w:color="auto" w:fill="auto"/>
          </w:tcPr>
          <w:p w:rsidR="0021204E" w:rsidRDefault="0021204E"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r w:rsidRPr="001B5DE3">
              <w:rPr>
                <w:rFonts w:ascii="Times New Roman" w:eastAsia="Calibri" w:hAnsi="Times New Roman" w:cs="Times New Roman"/>
                <w:sz w:val="24"/>
                <w:szCs w:val="24"/>
                <w:lang w:val="uk-UA" w:eastAsia="en-US"/>
              </w:rPr>
              <w:t>106,5</w:t>
            </w:r>
          </w:p>
          <w:p w:rsidR="00094039" w:rsidRPr="001B5DE3" w:rsidRDefault="00094039"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p>
        </w:tc>
      </w:tr>
    </w:tbl>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t xml:space="preserve">Динаміка заборгованості населення з оплати житлово-комунальних послуг </w:t>
      </w: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t xml:space="preserve">за видами послуг станом на кінець </w:t>
      </w:r>
      <w:r w:rsidR="006E5692" w:rsidRPr="001B5DE3">
        <w:rPr>
          <w:rFonts w:ascii="Times New Roman" w:eastAsia="Calibri" w:hAnsi="Times New Roman" w:cs="Times New Roman"/>
          <w:b/>
          <w:sz w:val="24"/>
          <w:szCs w:val="24"/>
          <w:lang w:val="uk-UA" w:eastAsia="en-US"/>
        </w:rPr>
        <w:t xml:space="preserve">І </w:t>
      </w:r>
      <w:r w:rsidRPr="001B5DE3">
        <w:rPr>
          <w:rFonts w:ascii="Times New Roman" w:eastAsia="Calibri" w:hAnsi="Times New Roman" w:cs="Times New Roman"/>
          <w:b/>
          <w:sz w:val="24"/>
          <w:szCs w:val="24"/>
          <w:lang w:val="uk-UA" w:eastAsia="en-US"/>
        </w:rPr>
        <w:t>півріччя, млн грн</w:t>
      </w: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16"/>
          <w:szCs w:val="16"/>
          <w:lang w:val="uk-UA" w:eastAsia="en-US"/>
        </w:rPr>
      </w:pPr>
    </w:p>
    <w:p w:rsidR="0021204E" w:rsidRPr="001B5DE3" w:rsidRDefault="0021204E" w:rsidP="00F25D83">
      <w:pPr>
        <w:autoSpaceDE w:val="0"/>
        <w:autoSpaceDN w:val="0"/>
        <w:adjustRightInd w:val="0"/>
        <w:spacing w:after="0" w:line="240" w:lineRule="auto"/>
        <w:jc w:val="both"/>
        <w:rPr>
          <w:rFonts w:ascii="Times New Roman" w:hAnsi="Times New Roman" w:cs="Times New Roman"/>
          <w:sz w:val="24"/>
          <w:szCs w:val="24"/>
          <w:lang w:val="uk-UA"/>
        </w:rPr>
      </w:pPr>
      <w:r w:rsidRPr="001B5DE3">
        <w:rPr>
          <w:rFonts w:ascii="Times New Roman" w:hAnsi="Times New Roman" w:cs="Times New Roman"/>
          <w:noProof/>
          <w:sz w:val="24"/>
          <w:szCs w:val="24"/>
        </w:rPr>
        <w:drawing>
          <wp:inline distT="0" distB="0" distL="0" distR="0" wp14:anchorId="053D1022" wp14:editId="12A09DC7">
            <wp:extent cx="6105525" cy="2647950"/>
            <wp:effectExtent l="0" t="0" r="0" b="0"/>
            <wp:docPr id="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p>
    <w:p w:rsidR="00094039" w:rsidRDefault="00094039"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p>
    <w:p w:rsidR="00094039" w:rsidRDefault="00094039"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p>
    <w:p w:rsidR="00094039" w:rsidRDefault="00094039"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lastRenderedPageBreak/>
        <w:t xml:space="preserve">Стан погашення населенням реструктуризованої заборгованості </w:t>
      </w: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b/>
          <w:sz w:val="24"/>
          <w:szCs w:val="24"/>
          <w:lang w:val="uk-UA" w:eastAsia="en-US"/>
        </w:rPr>
      </w:pPr>
      <w:r w:rsidRPr="001B5DE3">
        <w:rPr>
          <w:rFonts w:ascii="Times New Roman" w:eastAsia="Calibri" w:hAnsi="Times New Roman" w:cs="Times New Roman"/>
          <w:b/>
          <w:sz w:val="24"/>
          <w:szCs w:val="24"/>
          <w:lang w:val="uk-UA" w:eastAsia="en-US"/>
        </w:rPr>
        <w:t>за житлово-комунальні послуги</w:t>
      </w:r>
    </w:p>
    <w:p w:rsidR="0021204E" w:rsidRPr="001B5DE3" w:rsidRDefault="0021204E" w:rsidP="00F25D83">
      <w:pPr>
        <w:autoSpaceDE w:val="0"/>
        <w:autoSpaceDN w:val="0"/>
        <w:adjustRightInd w:val="0"/>
        <w:spacing w:after="0" w:line="240" w:lineRule="auto"/>
        <w:jc w:val="center"/>
        <w:rPr>
          <w:rFonts w:ascii="Times New Roman" w:eastAsia="Calibri" w:hAnsi="Times New Roman" w:cs="Times New Roman"/>
          <w:sz w:val="24"/>
          <w:szCs w:val="24"/>
          <w:lang w:val="uk-UA" w:eastAsia="en-US"/>
        </w:rPr>
      </w:pPr>
    </w:p>
    <w:tbl>
      <w:tblPr>
        <w:tblW w:w="9761" w:type="dxa"/>
        <w:tblInd w:w="93" w:type="dxa"/>
        <w:tblLayout w:type="fixed"/>
        <w:tblLook w:val="04A0" w:firstRow="1" w:lastRow="0" w:firstColumn="1" w:lastColumn="0" w:noHBand="0" w:noVBand="1"/>
      </w:tblPr>
      <w:tblGrid>
        <w:gridCol w:w="2283"/>
        <w:gridCol w:w="2552"/>
        <w:gridCol w:w="2551"/>
        <w:gridCol w:w="2375"/>
      </w:tblGrid>
      <w:tr w:rsidR="001B5DE3" w:rsidRPr="001B5DE3" w:rsidTr="00E3396C">
        <w:trPr>
          <w:trHeight w:val="228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04E" w:rsidRPr="001B5DE3" w:rsidRDefault="0021204E" w:rsidP="00F25D83">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w:t>
            </w:r>
          </w:p>
        </w:tc>
        <w:tc>
          <w:tcPr>
            <w:tcW w:w="2552" w:type="dxa"/>
            <w:tcBorders>
              <w:top w:val="single" w:sz="4" w:space="0" w:color="auto"/>
              <w:left w:val="nil"/>
              <w:bottom w:val="single" w:sz="4" w:space="0" w:color="auto"/>
              <w:right w:val="single" w:sz="4" w:space="0" w:color="auto"/>
            </w:tcBorders>
            <w:shd w:val="clear" w:color="auto" w:fill="auto"/>
            <w:hideMark/>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укладених договорів щодо погашення реструктуризованої заборгованості за житлово-комунальні послуги, од.</w:t>
            </w:r>
          </w:p>
        </w:tc>
        <w:tc>
          <w:tcPr>
            <w:tcW w:w="2551" w:type="dxa"/>
            <w:tcBorders>
              <w:top w:val="single" w:sz="4" w:space="0" w:color="auto"/>
              <w:left w:val="nil"/>
              <w:bottom w:val="single" w:sz="4" w:space="0" w:color="auto"/>
              <w:right w:val="single" w:sz="4" w:space="0" w:color="auto"/>
            </w:tcBorders>
            <w:shd w:val="clear" w:color="auto" w:fill="auto"/>
            <w:hideMark/>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Сума коштів, на яку укладен</w:t>
            </w:r>
            <w:r w:rsidR="004C33E1" w:rsidRPr="001B5DE3">
              <w:rPr>
                <w:rFonts w:ascii="Times New Roman" w:hAnsi="Times New Roman" w:cs="Times New Roman"/>
                <w:sz w:val="24"/>
                <w:szCs w:val="24"/>
                <w:lang w:val="uk-UA"/>
              </w:rPr>
              <w:t xml:space="preserve">і договори, в частині платежів </w:t>
            </w:r>
            <w:r w:rsidRPr="001B5DE3">
              <w:rPr>
                <w:rFonts w:ascii="Times New Roman" w:hAnsi="Times New Roman" w:cs="Times New Roman"/>
                <w:sz w:val="24"/>
                <w:szCs w:val="24"/>
                <w:lang w:val="uk-UA"/>
              </w:rPr>
              <w:t>з погашення реструктуризованої заборгованості за житлово-комунальні послуги, тис.</w:t>
            </w:r>
            <w:r w:rsidR="004C33E1"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lang w:val="uk-UA"/>
              </w:rPr>
              <w:t>грн</w:t>
            </w:r>
          </w:p>
        </w:tc>
        <w:tc>
          <w:tcPr>
            <w:tcW w:w="2375" w:type="dxa"/>
            <w:tcBorders>
              <w:top w:val="single" w:sz="4" w:space="0" w:color="auto"/>
              <w:left w:val="nil"/>
              <w:bottom w:val="single" w:sz="4" w:space="0" w:color="auto"/>
              <w:right w:val="single" w:sz="4" w:space="0" w:color="auto"/>
            </w:tcBorders>
            <w:shd w:val="clear" w:color="auto" w:fill="auto"/>
            <w:hideMark/>
          </w:tcPr>
          <w:p w:rsidR="0021204E" w:rsidRPr="001B5DE3" w:rsidRDefault="004C33E1"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Сума внесених платежів </w:t>
            </w:r>
            <w:r w:rsidR="0021204E" w:rsidRPr="001B5DE3">
              <w:rPr>
                <w:rFonts w:ascii="Times New Roman" w:hAnsi="Times New Roman" w:cs="Times New Roman"/>
                <w:sz w:val="24"/>
                <w:szCs w:val="24"/>
                <w:lang w:val="uk-UA"/>
              </w:rPr>
              <w:t xml:space="preserve">з погашення реструктуризованої заборгованості за житлово-комунальні послуги, </w:t>
            </w:r>
            <w:r w:rsidR="0021204E" w:rsidRPr="001B5DE3">
              <w:rPr>
                <w:rFonts w:ascii="Times New Roman" w:hAnsi="Times New Roman" w:cs="Times New Roman"/>
                <w:sz w:val="24"/>
                <w:szCs w:val="24"/>
                <w:lang w:val="uk-UA"/>
              </w:rPr>
              <w:br/>
              <w:t>тис.</w:t>
            </w:r>
            <w:r w:rsidRPr="001B5DE3">
              <w:rPr>
                <w:rFonts w:ascii="Times New Roman" w:hAnsi="Times New Roman" w:cs="Times New Roman"/>
                <w:sz w:val="24"/>
                <w:szCs w:val="24"/>
                <w:lang w:val="uk-UA"/>
              </w:rPr>
              <w:t xml:space="preserve"> </w:t>
            </w:r>
            <w:r w:rsidR="0021204E" w:rsidRPr="001B5DE3">
              <w:rPr>
                <w:rFonts w:ascii="Times New Roman" w:hAnsi="Times New Roman" w:cs="Times New Roman"/>
                <w:sz w:val="24"/>
                <w:szCs w:val="24"/>
                <w:lang w:val="uk-UA"/>
              </w:rPr>
              <w:t>грн</w:t>
            </w:r>
          </w:p>
        </w:tc>
      </w:tr>
      <w:tr w:rsidR="001B5DE3" w:rsidRPr="001B5DE3" w:rsidTr="00E3396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1204E" w:rsidRPr="001B5DE3" w:rsidRDefault="001C7C95" w:rsidP="00F25D83">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І</w:t>
            </w:r>
            <w:r w:rsidR="0021204E" w:rsidRPr="001B5DE3">
              <w:rPr>
                <w:rFonts w:ascii="Times New Roman" w:hAnsi="Times New Roman" w:cs="Times New Roman"/>
                <w:sz w:val="24"/>
                <w:szCs w:val="24"/>
                <w:lang w:val="uk-UA"/>
              </w:rPr>
              <w:t xml:space="preserve"> </w:t>
            </w:r>
            <w:r w:rsidR="0021204E" w:rsidRPr="001B5DE3">
              <w:rPr>
                <w:rFonts w:ascii="Times New Roman" w:eastAsia="Calibri" w:hAnsi="Times New Roman" w:cs="Times New Roman"/>
                <w:sz w:val="24"/>
                <w:szCs w:val="24"/>
                <w:lang w:val="uk-UA" w:eastAsia="en-US"/>
              </w:rPr>
              <w:t>півріччя</w:t>
            </w:r>
            <w:r w:rsidRPr="001B5DE3">
              <w:rPr>
                <w:rFonts w:ascii="Times New Roman" w:eastAsia="Calibri" w:hAnsi="Times New Roman" w:cs="Times New Roman"/>
                <w:sz w:val="24"/>
                <w:szCs w:val="24"/>
                <w:lang w:val="uk-UA" w:eastAsia="en-US"/>
              </w:rPr>
              <w:t xml:space="preserve"> </w:t>
            </w:r>
            <w:r w:rsidR="0021204E" w:rsidRPr="001B5DE3">
              <w:rPr>
                <w:rFonts w:ascii="Times New Roman" w:hAnsi="Times New Roman" w:cs="Times New Roman"/>
                <w:sz w:val="24"/>
                <w:szCs w:val="24"/>
                <w:lang w:val="uk-UA"/>
              </w:rPr>
              <w:t>2019 року</w:t>
            </w:r>
          </w:p>
        </w:tc>
        <w:tc>
          <w:tcPr>
            <w:tcW w:w="2552" w:type="dxa"/>
            <w:tcBorders>
              <w:top w:val="nil"/>
              <w:left w:val="nil"/>
              <w:bottom w:val="single" w:sz="4" w:space="0" w:color="auto"/>
              <w:right w:val="single" w:sz="4" w:space="0" w:color="auto"/>
            </w:tcBorders>
            <w:shd w:val="clear" w:color="auto" w:fill="auto"/>
            <w:vAlign w:val="bottom"/>
            <w:hideMark/>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4490</w:t>
            </w:r>
          </w:p>
        </w:tc>
        <w:tc>
          <w:tcPr>
            <w:tcW w:w="2551" w:type="dxa"/>
            <w:tcBorders>
              <w:top w:val="nil"/>
              <w:left w:val="nil"/>
              <w:bottom w:val="single" w:sz="4" w:space="0" w:color="auto"/>
              <w:right w:val="single" w:sz="4" w:space="0" w:color="auto"/>
            </w:tcBorders>
            <w:shd w:val="clear" w:color="auto" w:fill="auto"/>
            <w:vAlign w:val="bottom"/>
            <w:hideMark/>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31465,1</w:t>
            </w:r>
          </w:p>
        </w:tc>
        <w:tc>
          <w:tcPr>
            <w:tcW w:w="2375" w:type="dxa"/>
            <w:tcBorders>
              <w:top w:val="nil"/>
              <w:left w:val="nil"/>
              <w:bottom w:val="single" w:sz="4" w:space="0" w:color="auto"/>
              <w:right w:val="single" w:sz="4" w:space="0" w:color="auto"/>
            </w:tcBorders>
            <w:shd w:val="clear" w:color="auto" w:fill="auto"/>
            <w:vAlign w:val="bottom"/>
            <w:hideMark/>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17405,2</w:t>
            </w:r>
          </w:p>
        </w:tc>
      </w:tr>
      <w:tr w:rsidR="001B5DE3" w:rsidRPr="001B5DE3" w:rsidTr="00E3396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1204E" w:rsidRPr="001B5DE3" w:rsidRDefault="001C7C95" w:rsidP="00F25D83">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І</w:t>
            </w:r>
            <w:r w:rsidR="0021204E" w:rsidRPr="001B5DE3">
              <w:rPr>
                <w:rFonts w:ascii="Times New Roman" w:hAnsi="Times New Roman" w:cs="Times New Roman"/>
                <w:sz w:val="24"/>
                <w:szCs w:val="24"/>
                <w:lang w:val="uk-UA"/>
              </w:rPr>
              <w:t xml:space="preserve"> </w:t>
            </w:r>
            <w:r w:rsidR="0021204E" w:rsidRPr="001B5DE3">
              <w:rPr>
                <w:rFonts w:ascii="Times New Roman" w:eastAsia="Calibri" w:hAnsi="Times New Roman" w:cs="Times New Roman"/>
                <w:sz w:val="24"/>
                <w:szCs w:val="24"/>
                <w:lang w:val="uk-UA" w:eastAsia="en-US"/>
              </w:rPr>
              <w:t>півріччя</w:t>
            </w:r>
            <w:r w:rsidRPr="001B5DE3">
              <w:rPr>
                <w:rFonts w:ascii="Times New Roman" w:eastAsia="Calibri" w:hAnsi="Times New Roman" w:cs="Times New Roman"/>
                <w:sz w:val="24"/>
                <w:szCs w:val="24"/>
                <w:lang w:val="uk-UA" w:eastAsia="en-US"/>
              </w:rPr>
              <w:t xml:space="preserve"> </w:t>
            </w:r>
            <w:r w:rsidR="0021204E" w:rsidRPr="001B5DE3">
              <w:rPr>
                <w:rFonts w:ascii="Times New Roman" w:hAnsi="Times New Roman" w:cs="Times New Roman"/>
                <w:sz w:val="24"/>
                <w:szCs w:val="24"/>
                <w:lang w:val="uk-UA"/>
              </w:rPr>
              <w:t>2020 року</w:t>
            </w:r>
          </w:p>
        </w:tc>
        <w:tc>
          <w:tcPr>
            <w:tcW w:w="2552" w:type="dxa"/>
            <w:tcBorders>
              <w:top w:val="nil"/>
              <w:left w:val="nil"/>
              <w:bottom w:val="single" w:sz="4" w:space="0" w:color="auto"/>
              <w:right w:val="single" w:sz="4" w:space="0" w:color="auto"/>
            </w:tcBorders>
            <w:shd w:val="clear" w:color="auto" w:fill="auto"/>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3188</w:t>
            </w:r>
          </w:p>
        </w:tc>
        <w:tc>
          <w:tcPr>
            <w:tcW w:w="2551" w:type="dxa"/>
            <w:tcBorders>
              <w:top w:val="nil"/>
              <w:left w:val="nil"/>
              <w:bottom w:val="single" w:sz="4" w:space="0" w:color="auto"/>
              <w:right w:val="single" w:sz="4" w:space="0" w:color="auto"/>
            </w:tcBorders>
            <w:shd w:val="clear" w:color="auto" w:fill="auto"/>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142078,4</w:t>
            </w:r>
          </w:p>
        </w:tc>
        <w:tc>
          <w:tcPr>
            <w:tcW w:w="2375" w:type="dxa"/>
            <w:tcBorders>
              <w:top w:val="nil"/>
              <w:left w:val="nil"/>
              <w:bottom w:val="single" w:sz="4" w:space="0" w:color="auto"/>
              <w:right w:val="single" w:sz="4" w:space="0" w:color="auto"/>
            </w:tcBorders>
            <w:shd w:val="clear" w:color="auto" w:fill="auto"/>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99969,8</w:t>
            </w:r>
          </w:p>
        </w:tc>
      </w:tr>
      <w:tr w:rsidR="0021204E" w:rsidRPr="001B5DE3" w:rsidTr="00E3396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1204E" w:rsidRPr="001B5DE3" w:rsidRDefault="001C7C95" w:rsidP="00F25D83">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І</w:t>
            </w:r>
            <w:r w:rsidR="0021204E" w:rsidRPr="001B5DE3">
              <w:rPr>
                <w:rFonts w:ascii="Times New Roman" w:hAnsi="Times New Roman" w:cs="Times New Roman"/>
                <w:sz w:val="24"/>
                <w:szCs w:val="24"/>
                <w:lang w:val="uk-UA"/>
              </w:rPr>
              <w:t xml:space="preserve"> </w:t>
            </w:r>
            <w:r w:rsidR="0021204E" w:rsidRPr="001B5DE3">
              <w:rPr>
                <w:rFonts w:ascii="Times New Roman" w:eastAsia="Calibri" w:hAnsi="Times New Roman" w:cs="Times New Roman"/>
                <w:sz w:val="24"/>
                <w:szCs w:val="24"/>
                <w:lang w:val="uk-UA" w:eastAsia="en-US"/>
              </w:rPr>
              <w:t>півріччя</w:t>
            </w:r>
            <w:r w:rsidRPr="001B5DE3">
              <w:rPr>
                <w:rFonts w:ascii="Times New Roman" w:eastAsia="Calibri" w:hAnsi="Times New Roman" w:cs="Times New Roman"/>
                <w:sz w:val="24"/>
                <w:szCs w:val="24"/>
                <w:lang w:val="uk-UA" w:eastAsia="en-US"/>
              </w:rPr>
              <w:t xml:space="preserve"> </w:t>
            </w:r>
            <w:r w:rsidR="0021204E" w:rsidRPr="001B5DE3">
              <w:rPr>
                <w:rFonts w:ascii="Times New Roman" w:hAnsi="Times New Roman" w:cs="Times New Roman"/>
                <w:sz w:val="24"/>
                <w:szCs w:val="24"/>
                <w:lang w:val="uk-UA"/>
              </w:rPr>
              <w:t>2021 року</w:t>
            </w:r>
          </w:p>
        </w:tc>
        <w:tc>
          <w:tcPr>
            <w:tcW w:w="2552" w:type="dxa"/>
            <w:tcBorders>
              <w:top w:val="nil"/>
              <w:left w:val="nil"/>
              <w:bottom w:val="single" w:sz="4" w:space="0" w:color="auto"/>
              <w:right w:val="single" w:sz="4" w:space="0" w:color="auto"/>
            </w:tcBorders>
            <w:shd w:val="clear" w:color="auto" w:fill="auto"/>
            <w:noWrap/>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3567</w:t>
            </w:r>
          </w:p>
        </w:tc>
        <w:tc>
          <w:tcPr>
            <w:tcW w:w="2551" w:type="dxa"/>
            <w:tcBorders>
              <w:top w:val="nil"/>
              <w:left w:val="nil"/>
              <w:bottom w:val="single" w:sz="4" w:space="0" w:color="auto"/>
              <w:right w:val="single" w:sz="4" w:space="0" w:color="auto"/>
            </w:tcBorders>
            <w:shd w:val="clear" w:color="auto" w:fill="auto"/>
            <w:noWrap/>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37035,3</w:t>
            </w:r>
          </w:p>
        </w:tc>
        <w:tc>
          <w:tcPr>
            <w:tcW w:w="2375" w:type="dxa"/>
            <w:tcBorders>
              <w:top w:val="nil"/>
              <w:left w:val="nil"/>
              <w:bottom w:val="single" w:sz="4" w:space="0" w:color="auto"/>
              <w:right w:val="single" w:sz="4" w:space="0" w:color="auto"/>
            </w:tcBorders>
            <w:shd w:val="clear" w:color="auto" w:fill="auto"/>
            <w:noWrap/>
            <w:vAlign w:val="bottom"/>
          </w:tcPr>
          <w:p w:rsidR="0021204E" w:rsidRPr="001B5DE3" w:rsidRDefault="0021204E" w:rsidP="00F25D83">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12362,9</w:t>
            </w:r>
          </w:p>
        </w:tc>
      </w:tr>
    </w:tbl>
    <w:p w:rsidR="0021204E" w:rsidRPr="001B5DE3" w:rsidRDefault="0021204E" w:rsidP="00F25D83">
      <w:pPr>
        <w:autoSpaceDE w:val="0"/>
        <w:autoSpaceDN w:val="0"/>
        <w:adjustRightInd w:val="0"/>
        <w:spacing w:after="0" w:line="240" w:lineRule="auto"/>
        <w:ind w:firstLine="851"/>
        <w:jc w:val="center"/>
        <w:rPr>
          <w:rFonts w:ascii="Times New Roman" w:eastAsia="Calibri" w:hAnsi="Times New Roman" w:cs="Times New Roman"/>
          <w:b/>
          <w:sz w:val="24"/>
          <w:szCs w:val="24"/>
          <w:lang w:val="uk-UA" w:eastAsia="en-US"/>
        </w:rPr>
      </w:pP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На сьогодні в області створено 3553 ОСББ (3772 будинки), що становить 19% від загальної кількості житлових будинків (19525 бу</w:t>
      </w:r>
      <w:r w:rsidR="00AA1907" w:rsidRPr="001B5DE3">
        <w:rPr>
          <w:rFonts w:ascii="Times New Roman" w:eastAsia="Times New Roman" w:hAnsi="Times New Roman" w:cs="Times New Roman"/>
          <w:sz w:val="28"/>
          <w:szCs w:val="28"/>
          <w:lang w:val="uk-UA"/>
        </w:rPr>
        <w:t xml:space="preserve">динків), з них </w:t>
      </w:r>
      <w:r w:rsidRPr="001B5DE3">
        <w:rPr>
          <w:rFonts w:ascii="Times New Roman" w:eastAsia="Times New Roman" w:hAnsi="Times New Roman" w:cs="Times New Roman"/>
          <w:sz w:val="28"/>
          <w:szCs w:val="28"/>
          <w:lang w:val="uk-UA"/>
        </w:rPr>
        <w:t xml:space="preserve">за </w:t>
      </w:r>
      <w:r w:rsidR="006E5692" w:rsidRPr="001B5DE3">
        <w:rPr>
          <w:rFonts w:ascii="Times New Roman" w:eastAsia="Times New Roman" w:hAnsi="Times New Roman" w:cs="Times New Roman"/>
          <w:sz w:val="28"/>
          <w:szCs w:val="28"/>
          <w:lang w:val="uk-UA"/>
        </w:rPr>
        <w:br/>
      </w:r>
      <w:r w:rsidR="004C33E1" w:rsidRPr="001B5DE3">
        <w:rPr>
          <w:rFonts w:ascii="Times New Roman" w:eastAsia="Times New Roman" w:hAnsi="Times New Roman" w:cs="Times New Roman"/>
          <w:sz w:val="28"/>
          <w:szCs w:val="28"/>
          <w:lang w:val="uk-UA"/>
        </w:rPr>
        <w:t>І</w:t>
      </w:r>
      <w:r w:rsidRPr="001B5DE3">
        <w:rPr>
          <w:rFonts w:ascii="Times New Roman" w:eastAsia="Times New Roman" w:hAnsi="Times New Roman" w:cs="Times New Roman"/>
          <w:sz w:val="28"/>
          <w:szCs w:val="28"/>
          <w:lang w:val="uk-UA"/>
        </w:rPr>
        <w:t xml:space="preserve"> півр</w:t>
      </w:r>
      <w:r w:rsidR="00AA1907" w:rsidRPr="001B5DE3">
        <w:rPr>
          <w:rFonts w:ascii="Times New Roman" w:eastAsia="Times New Roman" w:hAnsi="Times New Roman" w:cs="Times New Roman"/>
          <w:sz w:val="28"/>
          <w:szCs w:val="28"/>
          <w:lang w:val="uk-UA"/>
        </w:rPr>
        <w:t>іччя</w:t>
      </w:r>
      <w:r w:rsidRPr="001B5DE3">
        <w:rPr>
          <w:rFonts w:ascii="Times New Roman" w:eastAsia="Times New Roman" w:hAnsi="Times New Roman" w:cs="Times New Roman"/>
          <w:sz w:val="28"/>
          <w:szCs w:val="28"/>
          <w:lang w:val="uk-UA"/>
        </w:rPr>
        <w:t xml:space="preserve"> 2021 року створено 190 ОСББ.</w:t>
      </w: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За даними Мінрегіону, на сьогодні Дніпропетровська область посідає перше місце </w:t>
      </w:r>
      <w:r w:rsidR="00AA1907" w:rsidRPr="001B5DE3">
        <w:rPr>
          <w:rFonts w:ascii="Times New Roman" w:eastAsia="Times New Roman" w:hAnsi="Times New Roman" w:cs="Times New Roman"/>
          <w:sz w:val="28"/>
          <w:szCs w:val="28"/>
          <w:lang w:val="uk-UA"/>
        </w:rPr>
        <w:t>за</w:t>
      </w:r>
      <w:r w:rsidRPr="001B5DE3">
        <w:rPr>
          <w:rFonts w:ascii="Times New Roman" w:eastAsia="Times New Roman" w:hAnsi="Times New Roman" w:cs="Times New Roman"/>
          <w:sz w:val="28"/>
          <w:szCs w:val="28"/>
          <w:lang w:val="uk-UA"/>
        </w:rPr>
        <w:t xml:space="preserve"> кільк</w:t>
      </w:r>
      <w:r w:rsidR="00AA1907" w:rsidRPr="001B5DE3">
        <w:rPr>
          <w:rFonts w:ascii="Times New Roman" w:eastAsia="Times New Roman" w:hAnsi="Times New Roman" w:cs="Times New Roman"/>
          <w:sz w:val="28"/>
          <w:szCs w:val="28"/>
          <w:lang w:val="uk-UA"/>
        </w:rPr>
        <w:t>і</w:t>
      </w:r>
      <w:r w:rsidRPr="001B5DE3">
        <w:rPr>
          <w:rFonts w:ascii="Times New Roman" w:eastAsia="Times New Roman" w:hAnsi="Times New Roman" w:cs="Times New Roman"/>
          <w:sz w:val="28"/>
          <w:szCs w:val="28"/>
          <w:lang w:val="uk-UA"/>
        </w:rPr>
        <w:t>ст</w:t>
      </w:r>
      <w:r w:rsidR="00CF3BE3" w:rsidRPr="001B5DE3">
        <w:rPr>
          <w:rFonts w:ascii="Times New Roman" w:eastAsia="Times New Roman" w:hAnsi="Times New Roman" w:cs="Times New Roman"/>
          <w:sz w:val="28"/>
          <w:szCs w:val="28"/>
          <w:lang w:val="uk-UA"/>
        </w:rPr>
        <w:t>ю</w:t>
      </w:r>
      <w:r w:rsidRPr="001B5DE3">
        <w:rPr>
          <w:rFonts w:ascii="Times New Roman" w:eastAsia="Times New Roman" w:hAnsi="Times New Roman" w:cs="Times New Roman"/>
          <w:sz w:val="28"/>
          <w:szCs w:val="28"/>
          <w:lang w:val="uk-UA"/>
        </w:rPr>
        <w:t xml:space="preserve"> створених ОСББ. Робота із зазначеного питання триває.</w:t>
      </w: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У 2021 році за кошти місцевих бюджетів заплановано відремонтувати </w:t>
      </w:r>
      <w:r w:rsidRPr="001B5DE3">
        <w:rPr>
          <w:rFonts w:ascii="Times New Roman" w:eastAsia="Times New Roman" w:hAnsi="Times New Roman" w:cs="Times New Roman"/>
          <w:sz w:val="28"/>
          <w:szCs w:val="28"/>
          <w:lang w:val="uk-UA"/>
        </w:rPr>
        <w:br/>
        <w:t>135 тис. кв. м покрівель об’єктів ком</w:t>
      </w:r>
      <w:r w:rsidR="00E3396C" w:rsidRPr="001B5DE3">
        <w:rPr>
          <w:rFonts w:ascii="Times New Roman" w:eastAsia="Times New Roman" w:hAnsi="Times New Roman" w:cs="Times New Roman"/>
          <w:sz w:val="28"/>
          <w:szCs w:val="28"/>
          <w:lang w:val="uk-UA"/>
        </w:rPr>
        <w:t xml:space="preserve">унальної власності, 37 ліфтів, </w:t>
      </w:r>
      <w:r w:rsidR="00AB5D86" w:rsidRPr="001B5DE3">
        <w:rPr>
          <w:rFonts w:ascii="Times New Roman" w:eastAsia="Times New Roman" w:hAnsi="Times New Roman" w:cs="Times New Roman"/>
          <w:sz w:val="28"/>
          <w:szCs w:val="28"/>
          <w:lang w:val="uk-UA"/>
        </w:rPr>
        <w:br/>
      </w:r>
      <w:r w:rsidRPr="001B5DE3">
        <w:rPr>
          <w:rFonts w:ascii="Times New Roman" w:eastAsia="Times New Roman" w:hAnsi="Times New Roman" w:cs="Times New Roman"/>
          <w:sz w:val="28"/>
          <w:szCs w:val="28"/>
          <w:lang w:val="uk-UA"/>
        </w:rPr>
        <w:t xml:space="preserve">73 км теплових мереж, 143 км мереж водопостачання та 17 км мереж </w:t>
      </w:r>
      <w:r w:rsidR="00CF3BE3" w:rsidRPr="001B5DE3">
        <w:rPr>
          <w:rFonts w:ascii="Times New Roman" w:eastAsia="Times New Roman" w:hAnsi="Times New Roman" w:cs="Times New Roman"/>
          <w:sz w:val="28"/>
          <w:szCs w:val="28"/>
          <w:lang w:val="uk-UA"/>
        </w:rPr>
        <w:t xml:space="preserve">водовідведення. Станом на 01 липня </w:t>
      </w:r>
      <w:r w:rsidRPr="001B5DE3">
        <w:rPr>
          <w:rFonts w:ascii="Times New Roman" w:eastAsia="Times New Roman" w:hAnsi="Times New Roman" w:cs="Times New Roman"/>
          <w:sz w:val="28"/>
          <w:szCs w:val="28"/>
          <w:lang w:val="uk-UA"/>
        </w:rPr>
        <w:t xml:space="preserve">2021 </w:t>
      </w:r>
      <w:r w:rsidR="00CF3BE3" w:rsidRPr="001B5DE3">
        <w:rPr>
          <w:rFonts w:ascii="Times New Roman" w:eastAsia="Times New Roman" w:hAnsi="Times New Roman" w:cs="Times New Roman"/>
          <w:sz w:val="28"/>
          <w:szCs w:val="28"/>
          <w:lang w:val="uk-UA"/>
        </w:rPr>
        <w:t xml:space="preserve">року </w:t>
      </w:r>
      <w:r w:rsidRPr="001B5DE3">
        <w:rPr>
          <w:rFonts w:ascii="Times New Roman" w:eastAsia="Times New Roman" w:hAnsi="Times New Roman" w:cs="Times New Roman"/>
          <w:sz w:val="28"/>
          <w:szCs w:val="28"/>
          <w:lang w:val="uk-UA"/>
        </w:rPr>
        <w:t xml:space="preserve">триває реконструкція системи водовідведення від 2 житлових будинків м. Верхньодніпровськ. </w:t>
      </w: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На сьогодні рівень оснащеності будинків засобами обліку теплової енергії по області становить понад 89% при середньому показнику по Україні 78,6%. </w:t>
      </w: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 xml:space="preserve">За рахунок місцевих бюджетів та коштів підприємств у 2021 році буде продовжено роботу з оснащення багатоквартирних будинків засобами обліку теплової енергії. Зазначений напрям роботи буде одним з пріоритетних </w:t>
      </w:r>
      <w:r w:rsidR="00CF3BE3" w:rsidRPr="001B5DE3">
        <w:rPr>
          <w:rFonts w:ascii="Times New Roman" w:eastAsia="Times New Roman" w:hAnsi="Times New Roman" w:cs="Times New Roman"/>
          <w:sz w:val="28"/>
          <w:szCs w:val="28"/>
          <w:lang w:val="uk-UA"/>
        </w:rPr>
        <w:t>у</w:t>
      </w:r>
      <w:r w:rsidRPr="001B5DE3">
        <w:rPr>
          <w:rFonts w:ascii="Times New Roman" w:eastAsia="Times New Roman" w:hAnsi="Times New Roman" w:cs="Times New Roman"/>
          <w:sz w:val="28"/>
          <w:szCs w:val="28"/>
          <w:lang w:val="uk-UA"/>
        </w:rPr>
        <w:t xml:space="preserve"> рамках підготовки до початку наступного опалювального сезону.</w:t>
      </w:r>
    </w:p>
    <w:p w:rsidR="0021204E" w:rsidRPr="001B5DE3" w:rsidRDefault="0021204E"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Times New Roman" w:hAnsi="Times New Roman" w:cs="Times New Roman"/>
          <w:sz w:val="28"/>
          <w:szCs w:val="28"/>
          <w:lang w:val="uk-UA"/>
        </w:rPr>
        <w:t>У рамках підготовки області до наступного опалювального сезону облдержадміністрацією створений обласний штаб з питань організації якісної підготовки та сталої роботи об’єктів життєзабезпечення в осінньо-зимовий період 2021/2022 рок</w:t>
      </w:r>
      <w:r w:rsidR="00CF3BE3" w:rsidRPr="001B5DE3">
        <w:rPr>
          <w:rFonts w:ascii="Times New Roman" w:eastAsia="Times New Roman" w:hAnsi="Times New Roman" w:cs="Times New Roman"/>
          <w:sz w:val="28"/>
          <w:szCs w:val="28"/>
          <w:lang w:val="uk-UA"/>
        </w:rPr>
        <w:t>у</w:t>
      </w:r>
      <w:r w:rsidRPr="001B5DE3">
        <w:rPr>
          <w:rFonts w:ascii="Times New Roman" w:eastAsia="Times New Roman" w:hAnsi="Times New Roman" w:cs="Times New Roman"/>
          <w:sz w:val="28"/>
          <w:szCs w:val="28"/>
          <w:lang w:val="uk-UA"/>
        </w:rPr>
        <w:t xml:space="preserve"> (розпорядження голови облдержадміністрації </w:t>
      </w:r>
      <w:r w:rsidRPr="001B5DE3">
        <w:rPr>
          <w:rFonts w:ascii="Times New Roman" w:eastAsia="Times New Roman" w:hAnsi="Times New Roman" w:cs="Times New Roman"/>
          <w:sz w:val="28"/>
          <w:szCs w:val="28"/>
          <w:lang w:val="uk-UA"/>
        </w:rPr>
        <w:br/>
        <w:t>від 14 травня 2021 року № Р-460/0/3-21).</w:t>
      </w:r>
    </w:p>
    <w:p w:rsidR="0021204E" w:rsidRPr="001B5DE3" w:rsidRDefault="0021204E" w:rsidP="00F25D83">
      <w:pPr>
        <w:autoSpaceDE w:val="0"/>
        <w:autoSpaceDN w:val="0"/>
        <w:adjustRightInd w:val="0"/>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bCs/>
          <w:sz w:val="28"/>
          <w:szCs w:val="28"/>
          <w:lang w:val="uk-UA" w:eastAsia="en-US"/>
        </w:rPr>
        <w:t>01 жовтня 2021 року</w:t>
      </w:r>
      <w:r w:rsidR="001B28D9" w:rsidRPr="001B5DE3">
        <w:rPr>
          <w:rFonts w:ascii="Times New Roman" w:eastAsia="Calibri" w:hAnsi="Times New Roman" w:cs="Times New Roman"/>
          <w:bCs/>
          <w:sz w:val="28"/>
          <w:szCs w:val="28"/>
          <w:lang w:val="uk-UA" w:eastAsia="en-US"/>
        </w:rPr>
        <w:t xml:space="preserve"> </w:t>
      </w:r>
      <w:r w:rsidRPr="001B5DE3">
        <w:rPr>
          <w:rFonts w:ascii="Times New Roman" w:eastAsia="Calibri" w:hAnsi="Times New Roman" w:cs="Times New Roman"/>
          <w:sz w:val="28"/>
          <w:szCs w:val="28"/>
          <w:lang w:val="uk-UA" w:eastAsia="en-US"/>
        </w:rPr>
        <w:t xml:space="preserve">– кінцевий термін </w:t>
      </w:r>
      <w:r w:rsidR="001B28D9" w:rsidRPr="001B5DE3">
        <w:rPr>
          <w:rFonts w:ascii="Times New Roman" w:eastAsia="Calibri" w:hAnsi="Times New Roman" w:cs="Times New Roman"/>
          <w:sz w:val="28"/>
          <w:szCs w:val="28"/>
          <w:lang w:val="uk-UA" w:eastAsia="en-US"/>
        </w:rPr>
        <w:t>з</w:t>
      </w:r>
      <w:r w:rsidRPr="001B5DE3">
        <w:rPr>
          <w:rFonts w:ascii="Times New Roman" w:eastAsia="Calibri" w:hAnsi="Times New Roman" w:cs="Times New Roman"/>
          <w:sz w:val="28"/>
          <w:szCs w:val="28"/>
          <w:lang w:val="uk-UA" w:eastAsia="en-US"/>
        </w:rPr>
        <w:t xml:space="preserve"> виконанн</w:t>
      </w:r>
      <w:r w:rsidR="001B28D9" w:rsidRPr="001B5DE3">
        <w:rPr>
          <w:rFonts w:ascii="Times New Roman" w:eastAsia="Calibri" w:hAnsi="Times New Roman" w:cs="Times New Roman"/>
          <w:sz w:val="28"/>
          <w:szCs w:val="28"/>
          <w:lang w:val="uk-UA" w:eastAsia="en-US"/>
        </w:rPr>
        <w:t>я</w:t>
      </w:r>
      <w:r w:rsidRPr="001B5DE3">
        <w:rPr>
          <w:rFonts w:ascii="Times New Roman" w:eastAsia="Calibri" w:hAnsi="Times New Roman" w:cs="Times New Roman"/>
          <w:sz w:val="28"/>
          <w:szCs w:val="28"/>
          <w:lang w:val="uk-UA" w:eastAsia="en-US"/>
        </w:rPr>
        <w:t xml:space="preserve"> комплексу пусконалагоджувальних робіт і пробних пусків тепла.</w:t>
      </w:r>
    </w:p>
    <w:p w:rsidR="0021204E" w:rsidRPr="001B5DE3" w:rsidRDefault="0021204E" w:rsidP="00F25D83">
      <w:pPr>
        <w:autoSpaceDE w:val="0"/>
        <w:autoSpaceDN w:val="0"/>
        <w:adjustRightInd w:val="0"/>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bCs/>
          <w:sz w:val="28"/>
          <w:szCs w:val="28"/>
          <w:lang w:val="uk-UA" w:eastAsia="en-US"/>
        </w:rPr>
        <w:t>На сьогодні область технічно готова</w:t>
      </w:r>
      <w:r w:rsidRPr="001B5DE3">
        <w:rPr>
          <w:rFonts w:ascii="Times New Roman" w:eastAsia="Calibri" w:hAnsi="Times New Roman" w:cs="Times New Roman"/>
          <w:sz w:val="28"/>
          <w:szCs w:val="28"/>
          <w:lang w:val="uk-UA" w:eastAsia="en-US"/>
        </w:rPr>
        <w:t xml:space="preserve"> до початку опалювального сезону </w:t>
      </w:r>
      <w:r w:rsidRPr="001B5DE3">
        <w:rPr>
          <w:rFonts w:ascii="Times New Roman" w:eastAsia="Calibri" w:hAnsi="Times New Roman" w:cs="Times New Roman"/>
          <w:bCs/>
          <w:sz w:val="28"/>
          <w:szCs w:val="28"/>
          <w:lang w:val="uk-UA" w:eastAsia="en-US"/>
        </w:rPr>
        <w:t>більш ніж</w:t>
      </w:r>
      <w:r w:rsidR="000A636C" w:rsidRPr="001B5DE3">
        <w:rPr>
          <w:rFonts w:ascii="Times New Roman" w:eastAsia="Calibri" w:hAnsi="Times New Roman" w:cs="Times New Roman"/>
          <w:bCs/>
          <w:sz w:val="28"/>
          <w:szCs w:val="28"/>
          <w:lang w:val="uk-UA" w:eastAsia="en-US"/>
        </w:rPr>
        <w:t xml:space="preserve"> </w:t>
      </w:r>
      <w:r w:rsidRPr="001B5DE3">
        <w:rPr>
          <w:rFonts w:ascii="Times New Roman" w:eastAsia="Calibri" w:hAnsi="Times New Roman" w:cs="Times New Roman"/>
          <w:bCs/>
          <w:sz w:val="28"/>
          <w:szCs w:val="28"/>
          <w:lang w:val="uk-UA" w:eastAsia="en-US"/>
        </w:rPr>
        <w:t>на 70%.</w:t>
      </w:r>
      <w:r w:rsidR="000A636C" w:rsidRPr="001B5DE3">
        <w:rPr>
          <w:rFonts w:ascii="Times New Roman" w:eastAsia="Calibri" w:hAnsi="Times New Roman" w:cs="Times New Roman"/>
          <w:bCs/>
          <w:sz w:val="28"/>
          <w:szCs w:val="28"/>
          <w:lang w:val="uk-UA" w:eastAsia="en-US"/>
        </w:rPr>
        <w:t xml:space="preserve"> </w:t>
      </w:r>
      <w:r w:rsidRPr="001B5DE3">
        <w:rPr>
          <w:rFonts w:ascii="Times New Roman" w:eastAsia="Calibri" w:hAnsi="Times New Roman" w:cs="Times New Roman"/>
          <w:bCs/>
          <w:sz w:val="28"/>
          <w:szCs w:val="28"/>
          <w:lang w:val="uk-UA" w:eastAsia="en-US"/>
        </w:rPr>
        <w:t>Підготовлено</w:t>
      </w:r>
      <w:r w:rsidR="000A636C" w:rsidRPr="001B5DE3">
        <w:rPr>
          <w:rFonts w:ascii="Times New Roman" w:eastAsia="Calibri" w:hAnsi="Times New Roman" w:cs="Times New Roman"/>
          <w:bCs/>
          <w:sz w:val="28"/>
          <w:szCs w:val="28"/>
          <w:lang w:val="uk-UA" w:eastAsia="en-US"/>
        </w:rPr>
        <w:t xml:space="preserve"> 8</w:t>
      </w:r>
      <w:r w:rsidRPr="001B5DE3">
        <w:rPr>
          <w:rFonts w:ascii="Times New Roman" w:eastAsia="Calibri" w:hAnsi="Times New Roman" w:cs="Times New Roman"/>
          <w:bCs/>
          <w:sz w:val="28"/>
          <w:szCs w:val="28"/>
          <w:lang w:val="uk-UA" w:eastAsia="en-US"/>
        </w:rPr>
        <w:t>625 (72%)</w:t>
      </w:r>
      <w:r w:rsidRPr="001B5DE3">
        <w:rPr>
          <w:rFonts w:ascii="Times New Roman" w:eastAsia="Calibri" w:hAnsi="Times New Roman" w:cs="Times New Roman"/>
          <w:sz w:val="28"/>
          <w:szCs w:val="28"/>
          <w:lang w:val="uk-UA" w:eastAsia="en-US"/>
        </w:rPr>
        <w:t xml:space="preserve"> житлових будинків,</w:t>
      </w:r>
      <w:r w:rsidR="000A636C" w:rsidRPr="001B5DE3">
        <w:rPr>
          <w:rFonts w:ascii="Times New Roman" w:eastAsia="Calibri" w:hAnsi="Times New Roman" w:cs="Times New Roman"/>
          <w:sz w:val="28"/>
          <w:szCs w:val="28"/>
          <w:lang w:val="uk-UA" w:eastAsia="en-US"/>
        </w:rPr>
        <w:t xml:space="preserve"> </w:t>
      </w:r>
      <w:r w:rsidRPr="001B5DE3">
        <w:rPr>
          <w:rFonts w:ascii="Times New Roman" w:eastAsia="Calibri" w:hAnsi="Times New Roman" w:cs="Times New Roman"/>
          <w:bCs/>
          <w:sz w:val="28"/>
          <w:szCs w:val="28"/>
          <w:lang w:val="uk-UA" w:eastAsia="en-US"/>
        </w:rPr>
        <w:t>746</w:t>
      </w:r>
      <w:r w:rsidR="000A636C" w:rsidRPr="001B5DE3">
        <w:rPr>
          <w:rFonts w:ascii="Times New Roman" w:eastAsia="Calibri" w:hAnsi="Times New Roman" w:cs="Times New Roman"/>
          <w:bCs/>
          <w:sz w:val="28"/>
          <w:szCs w:val="28"/>
          <w:lang w:val="uk-UA" w:eastAsia="en-US"/>
        </w:rPr>
        <w:t xml:space="preserve"> </w:t>
      </w:r>
      <w:r w:rsidRPr="001B5DE3">
        <w:rPr>
          <w:rFonts w:ascii="Times New Roman" w:eastAsia="Calibri" w:hAnsi="Times New Roman" w:cs="Times New Roman"/>
          <w:bCs/>
          <w:sz w:val="28"/>
          <w:szCs w:val="28"/>
          <w:lang w:val="uk-UA" w:eastAsia="en-US"/>
        </w:rPr>
        <w:t>(70%)</w:t>
      </w:r>
      <w:r w:rsidR="000A636C" w:rsidRPr="001B5DE3">
        <w:rPr>
          <w:rFonts w:ascii="Times New Roman" w:eastAsia="Calibri" w:hAnsi="Times New Roman" w:cs="Times New Roman"/>
          <w:bCs/>
          <w:sz w:val="28"/>
          <w:szCs w:val="28"/>
          <w:lang w:val="uk-UA" w:eastAsia="en-US"/>
        </w:rPr>
        <w:t xml:space="preserve"> </w:t>
      </w:r>
      <w:r w:rsidRPr="001B5DE3">
        <w:rPr>
          <w:rFonts w:ascii="Times New Roman" w:eastAsia="Calibri" w:hAnsi="Times New Roman" w:cs="Times New Roman"/>
          <w:sz w:val="28"/>
          <w:szCs w:val="28"/>
          <w:lang w:val="uk-UA" w:eastAsia="en-US"/>
        </w:rPr>
        <w:t>котелень,</w:t>
      </w:r>
      <w:r w:rsidR="000A636C" w:rsidRPr="001B5DE3">
        <w:rPr>
          <w:rFonts w:ascii="Times New Roman" w:eastAsia="Calibri" w:hAnsi="Times New Roman" w:cs="Times New Roman"/>
          <w:sz w:val="28"/>
          <w:szCs w:val="28"/>
          <w:lang w:val="uk-UA" w:eastAsia="en-US"/>
        </w:rPr>
        <w:t xml:space="preserve"> </w:t>
      </w:r>
      <w:r w:rsidRPr="001B5DE3">
        <w:rPr>
          <w:rFonts w:ascii="Times New Roman" w:eastAsia="Calibri" w:hAnsi="Times New Roman" w:cs="Times New Roman"/>
          <w:bCs/>
          <w:sz w:val="28"/>
          <w:szCs w:val="28"/>
          <w:lang w:val="uk-UA" w:eastAsia="en-US"/>
        </w:rPr>
        <w:t>622 (76%)</w:t>
      </w:r>
      <w:r w:rsidRPr="001B5DE3">
        <w:rPr>
          <w:rFonts w:ascii="Times New Roman" w:eastAsia="Calibri" w:hAnsi="Times New Roman" w:cs="Times New Roman"/>
          <w:sz w:val="28"/>
          <w:szCs w:val="28"/>
          <w:lang w:val="uk-UA" w:eastAsia="en-US"/>
        </w:rPr>
        <w:t xml:space="preserve"> школи, </w:t>
      </w:r>
      <w:r w:rsidRPr="001B5DE3">
        <w:rPr>
          <w:rFonts w:ascii="Times New Roman" w:eastAsia="Calibri" w:hAnsi="Times New Roman" w:cs="Times New Roman"/>
          <w:bCs/>
          <w:sz w:val="28"/>
          <w:szCs w:val="28"/>
          <w:lang w:val="uk-UA" w:eastAsia="en-US"/>
        </w:rPr>
        <w:t>680 (83%)</w:t>
      </w:r>
      <w:r w:rsidRPr="001B5DE3">
        <w:rPr>
          <w:rFonts w:ascii="Times New Roman" w:eastAsia="Calibri" w:hAnsi="Times New Roman" w:cs="Times New Roman"/>
          <w:sz w:val="28"/>
          <w:szCs w:val="28"/>
          <w:lang w:val="uk-UA" w:eastAsia="en-US"/>
        </w:rPr>
        <w:t xml:space="preserve"> садочків, </w:t>
      </w:r>
      <w:r w:rsidRPr="001B5DE3">
        <w:rPr>
          <w:rFonts w:ascii="Times New Roman" w:eastAsia="Calibri" w:hAnsi="Times New Roman" w:cs="Times New Roman"/>
          <w:bCs/>
          <w:sz w:val="28"/>
          <w:szCs w:val="28"/>
          <w:lang w:val="uk-UA" w:eastAsia="en-US"/>
        </w:rPr>
        <w:t>147 (71%)</w:t>
      </w:r>
      <w:r w:rsidRPr="001B5DE3">
        <w:rPr>
          <w:rFonts w:ascii="Times New Roman" w:eastAsia="Calibri" w:hAnsi="Times New Roman" w:cs="Times New Roman"/>
          <w:sz w:val="28"/>
          <w:szCs w:val="28"/>
          <w:lang w:val="uk-UA" w:eastAsia="en-US"/>
        </w:rPr>
        <w:t xml:space="preserve"> лікарень. </w:t>
      </w:r>
    </w:p>
    <w:p w:rsidR="0021204E" w:rsidRPr="001B5DE3" w:rsidRDefault="0021204E" w:rsidP="00F25D83">
      <w:pPr>
        <w:autoSpaceDE w:val="0"/>
        <w:autoSpaceDN w:val="0"/>
        <w:adjustRightInd w:val="0"/>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bCs/>
          <w:sz w:val="28"/>
          <w:szCs w:val="28"/>
          <w:lang w:val="uk-UA" w:eastAsia="en-US"/>
        </w:rPr>
        <w:t>На місцях утворені комісії</w:t>
      </w:r>
      <w:r w:rsidRPr="001B5DE3">
        <w:rPr>
          <w:rFonts w:ascii="Times New Roman" w:eastAsia="Calibri" w:hAnsi="Times New Roman" w:cs="Times New Roman"/>
          <w:sz w:val="28"/>
          <w:szCs w:val="28"/>
          <w:lang w:val="uk-UA" w:eastAsia="en-US"/>
        </w:rPr>
        <w:t xml:space="preserve"> для перевірки технічного стану об’єктів, до складу яких входять представники Держенергонагляду і підприємств ЖКГ.</w:t>
      </w:r>
    </w:p>
    <w:p w:rsidR="0021204E" w:rsidRPr="001B5DE3" w:rsidRDefault="0021204E" w:rsidP="00F25D83">
      <w:pPr>
        <w:autoSpaceDE w:val="0"/>
        <w:autoSpaceDN w:val="0"/>
        <w:adjustRightInd w:val="0"/>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Проведено </w:t>
      </w:r>
      <w:r w:rsidRPr="001B5DE3">
        <w:rPr>
          <w:rFonts w:ascii="Times New Roman" w:eastAsia="Calibri" w:hAnsi="Times New Roman" w:cs="Times New Roman"/>
          <w:bCs/>
          <w:sz w:val="28"/>
          <w:szCs w:val="28"/>
          <w:lang w:val="uk-UA" w:eastAsia="en-US"/>
        </w:rPr>
        <w:t>засідання штабів</w:t>
      </w:r>
      <w:r w:rsidRPr="001B5DE3">
        <w:rPr>
          <w:rFonts w:ascii="Times New Roman" w:eastAsia="Calibri" w:hAnsi="Times New Roman" w:cs="Times New Roman"/>
          <w:sz w:val="28"/>
          <w:szCs w:val="28"/>
          <w:lang w:val="uk-UA" w:eastAsia="en-US"/>
        </w:rPr>
        <w:t xml:space="preserve"> з підготовки до опалювального сезону.</w:t>
      </w:r>
    </w:p>
    <w:p w:rsidR="0021204E" w:rsidRPr="001B5DE3" w:rsidRDefault="001B28D9" w:rsidP="00F25D83">
      <w:pPr>
        <w:tabs>
          <w:tab w:val="left" w:pos="709"/>
        </w:tabs>
        <w:spacing w:after="0" w:line="240" w:lineRule="auto"/>
        <w:ind w:firstLine="709"/>
        <w:jc w:val="both"/>
        <w:rPr>
          <w:rFonts w:ascii="Times New Roman" w:eastAsia="Times New Roman" w:hAnsi="Times New Roman" w:cs="Times New Roman"/>
          <w:sz w:val="28"/>
          <w:szCs w:val="28"/>
          <w:lang w:val="uk-UA"/>
        </w:rPr>
      </w:pPr>
      <w:r w:rsidRPr="001B5DE3">
        <w:rPr>
          <w:rFonts w:ascii="Times New Roman" w:eastAsia="Calibri" w:hAnsi="Times New Roman" w:cs="Times New Roman"/>
          <w:sz w:val="28"/>
          <w:szCs w:val="28"/>
          <w:lang w:val="uk-UA" w:eastAsia="en-US"/>
        </w:rPr>
        <w:lastRenderedPageBreak/>
        <w:t>У</w:t>
      </w:r>
      <w:r w:rsidR="0021204E" w:rsidRPr="001B5DE3">
        <w:rPr>
          <w:rFonts w:ascii="Times New Roman" w:eastAsia="Calibri" w:hAnsi="Times New Roman" w:cs="Times New Roman"/>
          <w:sz w:val="28"/>
          <w:szCs w:val="28"/>
          <w:lang w:val="uk-UA" w:eastAsia="en-US"/>
        </w:rPr>
        <w:t xml:space="preserve"> технічному плані підприємства області не мають суттєвих проблем з підготовки об’єктів, які можуть бути причиною зриву початку опалювального сезону.</w:t>
      </w:r>
    </w:p>
    <w:p w:rsidR="0021204E" w:rsidRPr="001B5DE3" w:rsidRDefault="0021204E" w:rsidP="00F25D83">
      <w:pPr>
        <w:tabs>
          <w:tab w:val="left" w:pos="709"/>
        </w:tabs>
        <w:spacing w:after="0" w:line="240" w:lineRule="auto"/>
        <w:ind w:firstLine="709"/>
        <w:jc w:val="both"/>
        <w:rPr>
          <w:rFonts w:ascii="Times New Roman" w:eastAsia="Calibri" w:hAnsi="Times New Roman" w:cs="Times New Roman"/>
          <w:sz w:val="28"/>
          <w:szCs w:val="28"/>
          <w:lang w:val="uk-UA" w:eastAsia="en-US"/>
        </w:rPr>
      </w:pPr>
      <w:r w:rsidRPr="001B5DE3">
        <w:rPr>
          <w:rFonts w:ascii="Times New Roman" w:eastAsia="Calibri" w:hAnsi="Times New Roman" w:cs="Times New Roman"/>
          <w:sz w:val="28"/>
          <w:szCs w:val="28"/>
          <w:lang w:val="uk-UA" w:eastAsia="en-US"/>
        </w:rPr>
        <w:t xml:space="preserve">Придбано 12 машин сучасної спецтехніки для виконання робіт із санітарного очищення та благоустрою: </w:t>
      </w:r>
      <w:r w:rsidR="001B28D9" w:rsidRPr="001B5DE3">
        <w:rPr>
          <w:rFonts w:ascii="Times New Roman" w:eastAsia="Calibri" w:hAnsi="Times New Roman" w:cs="Times New Roman"/>
          <w:sz w:val="28"/>
          <w:szCs w:val="28"/>
          <w:lang w:val="uk-UA" w:eastAsia="en-US"/>
        </w:rPr>
        <w:t>у</w:t>
      </w:r>
      <w:r w:rsidRPr="001B5DE3">
        <w:rPr>
          <w:rFonts w:ascii="Times New Roman" w:eastAsia="Calibri" w:hAnsi="Times New Roman" w:cs="Times New Roman"/>
          <w:sz w:val="28"/>
          <w:szCs w:val="28"/>
          <w:lang w:val="uk-UA" w:eastAsia="en-US"/>
        </w:rPr>
        <w:t xml:space="preserve"> тому числі 7 самоскидів на базі шасі FORD TRUC</w:t>
      </w:r>
      <w:r w:rsidR="00E67086" w:rsidRPr="001B5DE3">
        <w:rPr>
          <w:rFonts w:ascii="Times New Roman" w:eastAsia="Calibri" w:hAnsi="Times New Roman" w:cs="Times New Roman"/>
          <w:sz w:val="28"/>
          <w:szCs w:val="28"/>
          <w:lang w:val="uk-UA" w:eastAsia="en-US"/>
        </w:rPr>
        <w:t>KS 3542D зі змінним обладнанням</w:t>
      </w:r>
      <w:r w:rsidRPr="001B5DE3">
        <w:rPr>
          <w:rFonts w:ascii="Times New Roman" w:eastAsia="Calibri" w:hAnsi="Times New Roman" w:cs="Times New Roman"/>
          <w:sz w:val="28"/>
          <w:szCs w:val="28"/>
          <w:lang w:val="uk-UA" w:eastAsia="en-US"/>
        </w:rPr>
        <w:t xml:space="preserve"> для санітарної оч</w:t>
      </w:r>
      <w:r w:rsidR="001B28D9" w:rsidRPr="001B5DE3">
        <w:rPr>
          <w:rFonts w:ascii="Times New Roman" w:eastAsia="Calibri" w:hAnsi="Times New Roman" w:cs="Times New Roman"/>
          <w:sz w:val="28"/>
          <w:szCs w:val="28"/>
          <w:lang w:val="uk-UA" w:eastAsia="en-US"/>
        </w:rPr>
        <w:t>и</w:t>
      </w:r>
      <w:r w:rsidRPr="001B5DE3">
        <w:rPr>
          <w:rFonts w:ascii="Times New Roman" w:eastAsia="Calibri" w:hAnsi="Times New Roman" w:cs="Times New Roman"/>
          <w:sz w:val="28"/>
          <w:szCs w:val="28"/>
          <w:lang w:val="uk-UA" w:eastAsia="en-US"/>
        </w:rPr>
        <w:t xml:space="preserve">стки територій населених пунктів. </w:t>
      </w:r>
    </w:p>
    <w:p w:rsidR="0021204E" w:rsidRPr="001B5DE3" w:rsidRDefault="0021204E" w:rsidP="00F25D83">
      <w:pPr>
        <w:tabs>
          <w:tab w:val="left" w:pos="709"/>
        </w:tabs>
        <w:spacing w:after="0" w:line="240" w:lineRule="auto"/>
        <w:ind w:firstLine="709"/>
        <w:jc w:val="both"/>
        <w:rPr>
          <w:rFonts w:ascii="Times New Roman" w:hAnsi="Times New Roman" w:cs="Times New Roman"/>
          <w:sz w:val="28"/>
          <w:szCs w:val="28"/>
          <w:lang w:val="uk-UA"/>
        </w:rPr>
      </w:pPr>
      <w:r w:rsidRPr="001B5DE3">
        <w:rPr>
          <w:rFonts w:ascii="Times New Roman" w:eastAsia="Calibri" w:hAnsi="Times New Roman" w:cs="Times New Roman"/>
          <w:sz w:val="28"/>
          <w:szCs w:val="28"/>
          <w:lang w:val="uk-UA" w:eastAsia="en-US"/>
        </w:rPr>
        <w:t>Реалізуються проєкти з реконструкції парків, площ та скверів у містах Жовті Води, Марганець, Синельникове, Павлоград</w:t>
      </w:r>
      <w:r w:rsidR="00E67086" w:rsidRPr="001B5DE3">
        <w:rPr>
          <w:rFonts w:ascii="Times New Roman" w:eastAsia="Calibri" w:hAnsi="Times New Roman" w:cs="Times New Roman"/>
          <w:sz w:val="28"/>
          <w:szCs w:val="28"/>
          <w:lang w:val="uk-UA" w:eastAsia="en-US"/>
        </w:rPr>
        <w:t>. П</w:t>
      </w:r>
      <w:r w:rsidRPr="001B5DE3">
        <w:rPr>
          <w:rFonts w:ascii="Times New Roman" w:eastAsia="Calibri" w:hAnsi="Times New Roman" w:cs="Times New Roman"/>
          <w:sz w:val="28"/>
          <w:szCs w:val="28"/>
          <w:lang w:val="uk-UA" w:eastAsia="en-US"/>
        </w:rPr>
        <w:t>ід час реалізації про</w:t>
      </w:r>
      <w:r w:rsidR="00F97A5C" w:rsidRPr="001B5DE3">
        <w:rPr>
          <w:rFonts w:ascii="Times New Roman" w:eastAsia="Calibri" w:hAnsi="Times New Roman" w:cs="Times New Roman"/>
          <w:sz w:val="28"/>
          <w:szCs w:val="28"/>
          <w:lang w:val="uk-UA" w:eastAsia="en-US"/>
        </w:rPr>
        <w:t>є</w:t>
      </w:r>
      <w:r w:rsidRPr="001B5DE3">
        <w:rPr>
          <w:rFonts w:ascii="Times New Roman" w:eastAsia="Calibri" w:hAnsi="Times New Roman" w:cs="Times New Roman"/>
          <w:sz w:val="28"/>
          <w:szCs w:val="28"/>
          <w:lang w:val="uk-UA" w:eastAsia="en-US"/>
        </w:rPr>
        <w:t xml:space="preserve">ктів приділяється увага впровадженню безбар’єрного простору для маломобільних груп населення, здійснюються роботи </w:t>
      </w:r>
      <w:r w:rsidR="00F97A5C" w:rsidRPr="001B5DE3">
        <w:rPr>
          <w:rFonts w:ascii="Times New Roman" w:eastAsia="Calibri" w:hAnsi="Times New Roman" w:cs="Times New Roman"/>
          <w:sz w:val="28"/>
          <w:szCs w:val="28"/>
          <w:lang w:val="uk-UA" w:eastAsia="en-US"/>
        </w:rPr>
        <w:t>з</w:t>
      </w:r>
      <w:r w:rsidRPr="001B5DE3">
        <w:rPr>
          <w:rFonts w:ascii="Times New Roman" w:eastAsia="Calibri" w:hAnsi="Times New Roman" w:cs="Times New Roman"/>
          <w:sz w:val="28"/>
          <w:szCs w:val="28"/>
          <w:lang w:val="uk-UA" w:eastAsia="en-US"/>
        </w:rPr>
        <w:t xml:space="preserve"> відновлен</w:t>
      </w:r>
      <w:r w:rsidR="00F97A5C" w:rsidRPr="001B5DE3">
        <w:rPr>
          <w:rFonts w:ascii="Times New Roman" w:eastAsia="Calibri" w:hAnsi="Times New Roman" w:cs="Times New Roman"/>
          <w:sz w:val="28"/>
          <w:szCs w:val="28"/>
          <w:lang w:val="uk-UA" w:eastAsia="en-US"/>
        </w:rPr>
        <w:t>я</w:t>
      </w:r>
      <w:r w:rsidRPr="001B5DE3">
        <w:rPr>
          <w:rFonts w:ascii="Times New Roman" w:eastAsia="Calibri" w:hAnsi="Times New Roman" w:cs="Times New Roman"/>
          <w:sz w:val="28"/>
          <w:szCs w:val="28"/>
          <w:lang w:val="uk-UA" w:eastAsia="en-US"/>
        </w:rPr>
        <w:t xml:space="preserve"> освітлення, встановленн</w:t>
      </w:r>
      <w:r w:rsidR="00F97A5C" w:rsidRPr="001B5DE3">
        <w:rPr>
          <w:rFonts w:ascii="Times New Roman" w:eastAsia="Calibri" w:hAnsi="Times New Roman" w:cs="Times New Roman"/>
          <w:sz w:val="28"/>
          <w:szCs w:val="28"/>
          <w:lang w:val="uk-UA" w:eastAsia="en-US"/>
        </w:rPr>
        <w:t>я</w:t>
      </w:r>
      <w:r w:rsidRPr="001B5DE3">
        <w:rPr>
          <w:rFonts w:ascii="Times New Roman" w:eastAsia="Calibri" w:hAnsi="Times New Roman" w:cs="Times New Roman"/>
          <w:sz w:val="28"/>
          <w:szCs w:val="28"/>
          <w:lang w:val="uk-UA" w:eastAsia="en-US"/>
        </w:rPr>
        <w:t xml:space="preserve"> ігрових та спортивних майданчиків, збільшенн</w:t>
      </w:r>
      <w:r w:rsidR="00F97A5C" w:rsidRPr="001B5DE3">
        <w:rPr>
          <w:rFonts w:ascii="Times New Roman" w:eastAsia="Calibri" w:hAnsi="Times New Roman" w:cs="Times New Roman"/>
          <w:sz w:val="28"/>
          <w:szCs w:val="28"/>
          <w:lang w:val="uk-UA" w:eastAsia="en-US"/>
        </w:rPr>
        <w:t>я</w:t>
      </w:r>
      <w:r w:rsidRPr="001B5DE3">
        <w:rPr>
          <w:rFonts w:ascii="Times New Roman" w:eastAsia="Calibri" w:hAnsi="Times New Roman" w:cs="Times New Roman"/>
          <w:sz w:val="28"/>
          <w:szCs w:val="28"/>
          <w:lang w:val="uk-UA" w:eastAsia="en-US"/>
        </w:rPr>
        <w:t xml:space="preserve"> озеленення та відновлення пішохідних доріжок. Площа</w:t>
      </w:r>
      <w:r w:rsidR="00F97A5C"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на якій проводились роботи</w:t>
      </w:r>
      <w:r w:rsidR="00F97A5C" w:rsidRPr="001B5DE3">
        <w:rPr>
          <w:rFonts w:ascii="Times New Roman" w:eastAsia="Calibri" w:hAnsi="Times New Roman" w:cs="Times New Roman"/>
          <w:sz w:val="28"/>
          <w:szCs w:val="28"/>
          <w:lang w:val="uk-UA" w:eastAsia="en-US"/>
        </w:rPr>
        <w:t>,</w:t>
      </w:r>
      <w:r w:rsidRPr="001B5DE3">
        <w:rPr>
          <w:rFonts w:ascii="Times New Roman" w:eastAsia="Calibri" w:hAnsi="Times New Roman" w:cs="Times New Roman"/>
          <w:sz w:val="28"/>
          <w:szCs w:val="28"/>
          <w:lang w:val="uk-UA" w:eastAsia="en-US"/>
        </w:rPr>
        <w:t xml:space="preserve"> склалає 63897 </w:t>
      </w:r>
      <w:r w:rsidR="003C3255" w:rsidRPr="001B5DE3">
        <w:rPr>
          <w:rFonts w:ascii="Times New Roman" w:eastAsia="Calibri" w:hAnsi="Times New Roman" w:cs="Times New Roman"/>
          <w:sz w:val="28"/>
          <w:szCs w:val="28"/>
          <w:lang w:val="uk-UA" w:eastAsia="en-US"/>
        </w:rPr>
        <w:t xml:space="preserve"> м²</w:t>
      </w:r>
      <w:r w:rsidRPr="001B5DE3">
        <w:rPr>
          <w:rFonts w:ascii="Times New Roman" w:eastAsia="Calibri" w:hAnsi="Times New Roman" w:cs="Times New Roman"/>
          <w:sz w:val="28"/>
          <w:szCs w:val="28"/>
          <w:lang w:val="uk-UA" w:eastAsia="en-US"/>
        </w:rPr>
        <w:t>.</w:t>
      </w:r>
    </w:p>
    <w:p w:rsidR="00F2647B" w:rsidRPr="001B5DE3" w:rsidRDefault="00F2647B" w:rsidP="00F25D83">
      <w:pPr>
        <w:spacing w:after="0" w:line="240" w:lineRule="auto"/>
        <w:rPr>
          <w:rFonts w:ascii="Times New Roman" w:hAnsi="Times New Roman" w:cs="Times New Roman"/>
          <w:sz w:val="28"/>
          <w:szCs w:val="28"/>
          <w:lang w:val="uk-UA"/>
        </w:rPr>
      </w:pPr>
    </w:p>
    <w:p w:rsidR="00CC3037" w:rsidRPr="001B5DE3" w:rsidRDefault="00CC3037" w:rsidP="003C3255">
      <w:pPr>
        <w:spacing w:after="0" w:line="240" w:lineRule="auto"/>
        <w:jc w:val="both"/>
        <w:rPr>
          <w:rFonts w:ascii="Times New Roman" w:hAnsi="Times New Roman" w:cs="Times New Roman"/>
          <w:b/>
          <w:sz w:val="28"/>
          <w:szCs w:val="28"/>
          <w:lang w:val="uk-UA"/>
        </w:rPr>
      </w:pPr>
      <w:r w:rsidRPr="001B5DE3">
        <w:rPr>
          <w:rFonts w:ascii="Times New Roman" w:hAnsi="Times New Roman" w:cs="Times New Roman"/>
          <w:b/>
          <w:sz w:val="28"/>
          <w:szCs w:val="28"/>
          <w:lang w:val="uk-UA"/>
        </w:rPr>
        <w:t>Розвиток інфраструктури регіону, благоустрій територій</w:t>
      </w:r>
    </w:p>
    <w:p w:rsidR="00CC3037" w:rsidRPr="001B5DE3" w:rsidRDefault="00CC3037" w:rsidP="003C3255">
      <w:pPr>
        <w:spacing w:after="0" w:line="240" w:lineRule="auto"/>
        <w:ind w:firstLine="720"/>
        <w:jc w:val="both"/>
        <w:rPr>
          <w:rFonts w:ascii="Times New Roman" w:hAnsi="Times New Roman" w:cs="Times New Roman"/>
          <w:sz w:val="28"/>
          <w:szCs w:val="28"/>
          <w:lang w:val="uk-UA"/>
        </w:rPr>
      </w:pP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 xml:space="preserve">Пріоритетним напрямом у 2021 році залишається підтримка експлуатаційного стану доріг області на високому якісному рівні, забезпечення безпечних умов руху автотранспорту автомобільними дорогами загального користування місцевого значення. </w:t>
      </w: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Протягом І півріччя 2021 року виконувалися роботи з капітального ремонту на 7 автомобільних дорогах загального користування місцевого значення загальною протяжністю 73,6 км, на 4 штучних спорудах та 1 дороги комунальної власності протяжністю 1,54 км. Крім того, в рамках експлуатаційного утримання автомобільних доріг загального користування місцевого значення ведуться роботи на 5 об’єктах.</w:t>
      </w: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Середнім ремонтом відремонтовано 3 дороги комунальної власності загальною протяжністю 24,02 км, а також відремонтовано 1 штучну споруду.</w:t>
      </w: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Продовжується реалізація проєктів:</w:t>
      </w: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з вирішення проблем із забезпечення централізованим питним водопостачанням населення області, що користується привізною водою, на територіях Дніпровського, Нікопольського, Новомосковського та Синельниківського районів, зокрема такі проєкти: “Реконструкція водогону від смт Гвардійське до смт Губиниха Новомосковського району Дніпропетровської області”, “Реконструкція водогону від м. Новомосковськ до с. Орлівщина Новомосковського району Дніпропетровської області”, “Нове будівництво системи водопостачання для с.</w:t>
      </w:r>
      <w:r w:rsidR="00F25D83" w:rsidRPr="001B5DE3">
        <w:rPr>
          <w:rFonts w:ascii="Times New Roman" w:hAnsi="Times New Roman" w:cs="Times New Roman"/>
          <w:bCs/>
          <w:iCs/>
          <w:sz w:val="28"/>
          <w:szCs w:val="28"/>
          <w:lang w:val="uk-UA"/>
        </w:rPr>
        <w:t xml:space="preserve"> </w:t>
      </w:r>
      <w:r w:rsidRPr="001B5DE3">
        <w:rPr>
          <w:rFonts w:ascii="Times New Roman" w:hAnsi="Times New Roman" w:cs="Times New Roman"/>
          <w:bCs/>
          <w:iCs/>
          <w:sz w:val="28"/>
          <w:szCs w:val="28"/>
          <w:lang w:val="uk-UA"/>
        </w:rPr>
        <w:t>Борисівка та с. Дмитрівка Нікопольського ра</w:t>
      </w:r>
      <w:r w:rsidR="003C3255" w:rsidRPr="001B5DE3">
        <w:rPr>
          <w:rFonts w:ascii="Times New Roman" w:hAnsi="Times New Roman" w:cs="Times New Roman"/>
          <w:bCs/>
          <w:iCs/>
          <w:sz w:val="28"/>
          <w:szCs w:val="28"/>
          <w:lang w:val="uk-UA"/>
        </w:rPr>
        <w:t>йону Дніпропетровської області”;</w:t>
      </w:r>
    </w:p>
    <w:p w:rsidR="007836BD" w:rsidRPr="001B5DE3" w:rsidRDefault="007836BD" w:rsidP="003C3255">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спрямованих на поліпшення екологічної ситуації в області та створення максимального рівня комфорту та затишку для мешканців</w:t>
      </w:r>
      <w:r w:rsidR="003C3255" w:rsidRPr="001B5DE3">
        <w:rPr>
          <w:rFonts w:ascii="Times New Roman" w:hAnsi="Times New Roman" w:cs="Times New Roman"/>
          <w:bCs/>
          <w:iCs/>
          <w:sz w:val="28"/>
          <w:szCs w:val="28"/>
          <w:lang w:val="uk-UA"/>
        </w:rPr>
        <w:t xml:space="preserve"> </w:t>
      </w:r>
      <w:r w:rsidRPr="001B5DE3">
        <w:rPr>
          <w:rFonts w:ascii="Times New Roman" w:hAnsi="Times New Roman" w:cs="Times New Roman"/>
          <w:bCs/>
          <w:iCs/>
          <w:sz w:val="28"/>
          <w:szCs w:val="28"/>
          <w:lang w:val="uk-UA"/>
        </w:rPr>
        <w:t xml:space="preserve">області, а саме – благоустрій паркових зон </w:t>
      </w:r>
      <w:r w:rsidR="003C3255" w:rsidRPr="001B5DE3">
        <w:rPr>
          <w:rFonts w:ascii="Times New Roman" w:hAnsi="Times New Roman" w:cs="Times New Roman"/>
          <w:bCs/>
          <w:iCs/>
          <w:sz w:val="28"/>
          <w:szCs w:val="28"/>
          <w:lang w:val="uk-UA"/>
        </w:rPr>
        <w:t>у</w:t>
      </w:r>
      <w:r w:rsidRPr="001B5DE3">
        <w:rPr>
          <w:rFonts w:ascii="Times New Roman" w:hAnsi="Times New Roman" w:cs="Times New Roman"/>
          <w:bCs/>
          <w:iCs/>
          <w:sz w:val="28"/>
          <w:szCs w:val="28"/>
          <w:lang w:val="uk-UA"/>
        </w:rPr>
        <w:t xml:space="preserve"> містах Вільногірськ, Жовті Води, Кривий Ріг, Марганець, Павлоград, Покров, Синельникове та селищах Васильківка, Слобожанське, Софіївка та Царичанка.</w:t>
      </w:r>
    </w:p>
    <w:p w:rsidR="00091853" w:rsidRDefault="00091853" w:rsidP="003C3255">
      <w:pPr>
        <w:spacing w:after="0" w:line="240" w:lineRule="auto"/>
        <w:ind w:firstLine="709"/>
        <w:jc w:val="both"/>
        <w:rPr>
          <w:rFonts w:ascii="Times New Roman" w:hAnsi="Times New Roman" w:cs="Times New Roman"/>
          <w:lang w:val="uk-UA"/>
        </w:rPr>
      </w:pPr>
    </w:p>
    <w:p w:rsidR="00150095" w:rsidRPr="001B5DE3" w:rsidRDefault="00150095" w:rsidP="003C3255">
      <w:pPr>
        <w:spacing w:after="0" w:line="240" w:lineRule="auto"/>
        <w:ind w:firstLine="709"/>
        <w:jc w:val="both"/>
        <w:rPr>
          <w:rFonts w:ascii="Times New Roman" w:hAnsi="Times New Roman" w:cs="Times New Roman"/>
          <w:lang w:val="uk-UA"/>
        </w:rPr>
      </w:pPr>
    </w:p>
    <w:p w:rsidR="00CC3037" w:rsidRPr="00150095" w:rsidRDefault="00CC3037" w:rsidP="003C3255">
      <w:pPr>
        <w:spacing w:after="0" w:line="240" w:lineRule="auto"/>
        <w:jc w:val="both"/>
        <w:rPr>
          <w:rFonts w:ascii="Times New Roman" w:hAnsi="Times New Roman" w:cs="Times New Roman"/>
          <w:b/>
          <w:spacing w:val="-4"/>
          <w:sz w:val="28"/>
          <w:szCs w:val="28"/>
          <w:lang w:val="uk-UA"/>
        </w:rPr>
      </w:pPr>
      <w:r w:rsidRPr="00150095">
        <w:rPr>
          <w:rFonts w:ascii="Times New Roman" w:hAnsi="Times New Roman" w:cs="Times New Roman"/>
          <w:b/>
          <w:spacing w:val="-4"/>
          <w:sz w:val="28"/>
          <w:szCs w:val="28"/>
          <w:lang w:val="uk-UA"/>
        </w:rPr>
        <w:lastRenderedPageBreak/>
        <w:t>Транспорт, транспортна інфраструктура, зв’язок та електронне урядування</w:t>
      </w:r>
    </w:p>
    <w:p w:rsidR="00CC3037" w:rsidRPr="001B5DE3" w:rsidRDefault="00CC3037" w:rsidP="003C3255">
      <w:pPr>
        <w:spacing w:after="0" w:line="240" w:lineRule="auto"/>
        <w:rPr>
          <w:rFonts w:ascii="Times New Roman" w:hAnsi="Times New Roman" w:cs="Times New Roman"/>
          <w:sz w:val="28"/>
          <w:szCs w:val="28"/>
          <w:lang w:val="uk-UA"/>
        </w:rPr>
      </w:pPr>
    </w:p>
    <w:p w:rsidR="008A4BAE" w:rsidRPr="001B5DE3" w:rsidRDefault="008A4BAE" w:rsidP="0040760A">
      <w:pPr>
        <w:pStyle w:val="af3"/>
        <w:spacing w:before="0" w:beforeAutospacing="0" w:after="0" w:afterAutospacing="0" w:line="235" w:lineRule="auto"/>
        <w:ind w:firstLine="720"/>
        <w:jc w:val="both"/>
        <w:rPr>
          <w:color w:val="auto"/>
          <w:lang w:val="uk-UA"/>
        </w:rPr>
      </w:pPr>
      <w:r w:rsidRPr="001B5DE3">
        <w:rPr>
          <w:color w:val="auto"/>
          <w:lang w:val="uk-UA"/>
        </w:rPr>
        <w:t>У січні – червні 2021 року порівняно з показниками за</w:t>
      </w:r>
      <w:r w:rsidR="00E97272">
        <w:rPr>
          <w:color w:val="auto"/>
          <w:lang w:val="uk-UA"/>
        </w:rPr>
        <w:t xml:space="preserve"> </w:t>
      </w:r>
      <w:r w:rsidRPr="001B5DE3">
        <w:rPr>
          <w:color w:val="auto"/>
          <w:lang w:val="uk-UA"/>
        </w:rPr>
        <w:t xml:space="preserve">січень – червень 2020 року перевезення вантажів </w:t>
      </w:r>
      <w:r w:rsidR="003C3255" w:rsidRPr="001B5DE3">
        <w:rPr>
          <w:color w:val="auto"/>
          <w:lang w:val="uk-UA"/>
        </w:rPr>
        <w:t>у</w:t>
      </w:r>
      <w:r w:rsidRPr="001B5DE3">
        <w:rPr>
          <w:color w:val="auto"/>
          <w:lang w:val="uk-UA"/>
        </w:rPr>
        <w:t>сіма видами транспорту зросли на 15,3 %, перевезення пасажирів – на 12,9%, що повністю задовольняє потреби області у вантажних та пасажирських перевезеннях.</w:t>
      </w:r>
    </w:p>
    <w:p w:rsidR="008A4BAE" w:rsidRPr="001B5DE3" w:rsidRDefault="008A4BAE" w:rsidP="0040760A">
      <w:pPr>
        <w:tabs>
          <w:tab w:val="left" w:pos="8580"/>
          <w:tab w:val="left" w:pos="12740"/>
        </w:tabs>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Випереджаючими темпами зростають вантажні перевезення автомобільним (164,7 %) та водним (178,9 %) транспортом.</w:t>
      </w:r>
    </w:p>
    <w:p w:rsidR="003C3255" w:rsidRPr="001B5DE3" w:rsidRDefault="003C3255" w:rsidP="008A4BAE">
      <w:pPr>
        <w:spacing w:after="0" w:line="240" w:lineRule="auto"/>
        <w:ind w:firstLine="709"/>
        <w:jc w:val="center"/>
        <w:rPr>
          <w:rFonts w:ascii="Times New Roman" w:hAnsi="Times New Roman" w:cs="Times New Roman"/>
          <w:b/>
          <w:bCs/>
          <w:sz w:val="28"/>
          <w:szCs w:val="28"/>
          <w:lang w:val="uk-UA"/>
        </w:rPr>
      </w:pPr>
    </w:p>
    <w:p w:rsidR="008A4BAE" w:rsidRPr="001B5DE3" w:rsidRDefault="008A4BAE" w:rsidP="008A4BAE">
      <w:pPr>
        <w:spacing w:after="0" w:line="240" w:lineRule="auto"/>
        <w:ind w:firstLine="709"/>
        <w:jc w:val="center"/>
        <w:rPr>
          <w:rFonts w:ascii="Times New Roman" w:hAnsi="Times New Roman" w:cs="Times New Roman"/>
          <w:b/>
          <w:bCs/>
          <w:sz w:val="28"/>
          <w:szCs w:val="28"/>
          <w:lang w:val="uk-UA"/>
        </w:rPr>
      </w:pPr>
      <w:r w:rsidRPr="001B5DE3">
        <w:rPr>
          <w:rFonts w:ascii="Times New Roman" w:hAnsi="Times New Roman" w:cs="Times New Roman"/>
          <w:b/>
          <w:bCs/>
          <w:sz w:val="28"/>
          <w:szCs w:val="28"/>
          <w:lang w:val="uk-UA"/>
        </w:rPr>
        <w:t xml:space="preserve">Підсумки роботи транспорту області </w:t>
      </w:r>
    </w:p>
    <w:p w:rsidR="008A4BAE" w:rsidRPr="001B5DE3" w:rsidRDefault="008A4BAE" w:rsidP="008A4BAE">
      <w:pPr>
        <w:spacing w:after="0" w:line="240" w:lineRule="auto"/>
        <w:ind w:firstLine="709"/>
        <w:jc w:val="center"/>
        <w:rPr>
          <w:rFonts w:ascii="Times New Roman" w:hAnsi="Times New Roman" w:cs="Times New Roman"/>
          <w:bCs/>
          <w:sz w:val="28"/>
          <w:szCs w:val="28"/>
          <w:lang w:val="uk-UA"/>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8"/>
        <w:gridCol w:w="1276"/>
        <w:gridCol w:w="1417"/>
        <w:gridCol w:w="1418"/>
      </w:tblGrid>
      <w:tr w:rsidR="001B5DE3" w:rsidRPr="001B5DE3" w:rsidTr="00D86574">
        <w:tc>
          <w:tcPr>
            <w:tcW w:w="4111" w:type="dxa"/>
            <w:vMerge w:val="restart"/>
            <w:shd w:val="clear" w:color="auto" w:fill="FFFFFF"/>
          </w:tcPr>
          <w:p w:rsidR="008A4BAE" w:rsidRPr="001B5DE3" w:rsidRDefault="008A4BAE" w:rsidP="00D86574">
            <w:pPr>
              <w:spacing w:after="0"/>
              <w:rPr>
                <w:rFonts w:ascii="Times New Roman" w:hAnsi="Times New Roman" w:cs="Times New Roman"/>
                <w:sz w:val="24"/>
                <w:szCs w:val="24"/>
                <w:lang w:val="uk-UA"/>
              </w:rPr>
            </w:pPr>
          </w:p>
        </w:tc>
        <w:tc>
          <w:tcPr>
            <w:tcW w:w="2694" w:type="dxa"/>
            <w:gridSpan w:val="2"/>
            <w:shd w:val="clear" w:color="auto" w:fill="FFFFFF"/>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2020</w:t>
            </w:r>
          </w:p>
        </w:tc>
        <w:tc>
          <w:tcPr>
            <w:tcW w:w="2835" w:type="dxa"/>
            <w:gridSpan w:val="2"/>
            <w:shd w:val="clear" w:color="auto" w:fill="FFFFFF"/>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w:t>
            </w:r>
          </w:p>
        </w:tc>
      </w:tr>
      <w:tr w:rsidR="001B5DE3" w:rsidRPr="001B5DE3" w:rsidTr="00D86574">
        <w:tc>
          <w:tcPr>
            <w:tcW w:w="4111" w:type="dxa"/>
            <w:vMerge/>
            <w:shd w:val="clear" w:color="auto" w:fill="FFFFFF"/>
          </w:tcPr>
          <w:p w:rsidR="008A4BAE" w:rsidRPr="001B5DE3" w:rsidRDefault="008A4BAE" w:rsidP="00D86574">
            <w:pPr>
              <w:spacing w:after="0"/>
              <w:rPr>
                <w:rFonts w:ascii="Times New Roman" w:hAnsi="Times New Roman" w:cs="Times New Roman"/>
                <w:sz w:val="24"/>
                <w:szCs w:val="24"/>
                <w:lang w:val="uk-UA"/>
              </w:rPr>
            </w:pPr>
          </w:p>
        </w:tc>
        <w:tc>
          <w:tcPr>
            <w:tcW w:w="1418" w:type="dxa"/>
            <w:shd w:val="clear" w:color="auto" w:fill="FFFFFF"/>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 кв</w:t>
            </w:r>
          </w:p>
        </w:tc>
        <w:tc>
          <w:tcPr>
            <w:tcW w:w="1276" w:type="dxa"/>
            <w:shd w:val="clear" w:color="auto" w:fill="FFFFFF"/>
            <w:vAlign w:val="center"/>
          </w:tcPr>
          <w:p w:rsidR="008A4BAE" w:rsidRPr="001B5DE3" w:rsidRDefault="008A4BAE" w:rsidP="00D86574">
            <w:pPr>
              <w:spacing w:after="0"/>
              <w:ind w:left="318" w:hanging="318"/>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ІІ кв</w:t>
            </w:r>
          </w:p>
        </w:tc>
        <w:tc>
          <w:tcPr>
            <w:tcW w:w="1417" w:type="dxa"/>
            <w:shd w:val="clear" w:color="auto" w:fill="FFFFFF"/>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 кв</w:t>
            </w:r>
          </w:p>
        </w:tc>
        <w:tc>
          <w:tcPr>
            <w:tcW w:w="1418" w:type="dxa"/>
            <w:shd w:val="clear" w:color="auto" w:fill="FFFFFF"/>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ІІ кв</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Перевезено вантажів, млн тонн</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26,3</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51,7</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27,4</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59,7</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 до попереднього року</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101,1</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96,2</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104,3</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115,3</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Вантажообіг, млн ткм</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5752,7</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11152,9</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5574,5</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11796,1</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 до попереднього року</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88,6</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85,3</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97,0</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105,8</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Перевезено пасажирів, млн пасажирів </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57,3</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81,1</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45,1</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92,0</w:t>
            </w:r>
          </w:p>
        </w:tc>
      </w:tr>
      <w:tr w:rsidR="001B5DE3"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 до попереднього року</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76,3</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54,0</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78,5</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112,9</w:t>
            </w:r>
          </w:p>
        </w:tc>
      </w:tr>
      <w:tr w:rsidR="001B5DE3" w:rsidRPr="001B5DE3" w:rsidTr="00D86574">
        <w:tc>
          <w:tcPr>
            <w:tcW w:w="4111" w:type="dxa"/>
            <w:shd w:val="clear" w:color="auto" w:fill="auto"/>
          </w:tcPr>
          <w:p w:rsidR="008A4BAE" w:rsidRPr="001B5DE3" w:rsidRDefault="008A4BAE" w:rsidP="00453EA1">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Пасажирообі</w:t>
            </w:r>
            <w:r w:rsidR="00453EA1" w:rsidRPr="001B5DE3">
              <w:rPr>
                <w:rFonts w:ascii="Times New Roman" w:hAnsi="Times New Roman" w:cs="Times New Roman"/>
                <w:sz w:val="24"/>
                <w:szCs w:val="24"/>
                <w:lang w:val="uk-UA"/>
              </w:rPr>
              <w:t>г</w:t>
            </w:r>
            <w:r w:rsidRPr="001B5DE3">
              <w:rPr>
                <w:rFonts w:ascii="Times New Roman" w:hAnsi="Times New Roman" w:cs="Times New Roman"/>
                <w:sz w:val="24"/>
                <w:szCs w:val="24"/>
                <w:lang w:val="uk-UA"/>
              </w:rPr>
              <w:t>, млн пас. км</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972,9</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1212,0</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695,5</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1571,3</w:t>
            </w:r>
          </w:p>
        </w:tc>
      </w:tr>
      <w:tr w:rsidR="008A4BAE" w:rsidRPr="001B5DE3" w:rsidTr="00D86574">
        <w:tc>
          <w:tcPr>
            <w:tcW w:w="4111" w:type="dxa"/>
            <w:shd w:val="clear" w:color="auto" w:fill="auto"/>
          </w:tcPr>
          <w:p w:rsidR="008A4BAE" w:rsidRPr="001B5DE3" w:rsidRDefault="008A4BAE" w:rsidP="00D86574">
            <w:pPr>
              <w:spacing w:after="0"/>
              <w:rPr>
                <w:rFonts w:ascii="Times New Roman" w:hAnsi="Times New Roman" w:cs="Times New Roman"/>
                <w:sz w:val="24"/>
                <w:szCs w:val="24"/>
                <w:lang w:val="uk-UA"/>
              </w:rPr>
            </w:pPr>
            <w:r w:rsidRPr="001B5DE3">
              <w:rPr>
                <w:rFonts w:ascii="Times New Roman" w:hAnsi="Times New Roman" w:cs="Times New Roman"/>
                <w:sz w:val="24"/>
                <w:szCs w:val="24"/>
                <w:lang w:val="uk-UA"/>
              </w:rPr>
              <w:t>% до попереднього року</w:t>
            </w:r>
          </w:p>
        </w:tc>
        <w:tc>
          <w:tcPr>
            <w:tcW w:w="1418" w:type="dxa"/>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79,7</w:t>
            </w:r>
          </w:p>
        </w:tc>
        <w:tc>
          <w:tcPr>
            <w:tcW w:w="1276"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46,3</w:t>
            </w:r>
          </w:p>
        </w:tc>
        <w:tc>
          <w:tcPr>
            <w:tcW w:w="1417"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74,4</w:t>
            </w:r>
          </w:p>
        </w:tc>
        <w:tc>
          <w:tcPr>
            <w:tcW w:w="1418" w:type="dxa"/>
            <w:shd w:val="clear" w:color="auto" w:fill="auto"/>
            <w:vAlign w:val="center"/>
          </w:tcPr>
          <w:p w:rsidR="008A4BAE" w:rsidRPr="001B5DE3" w:rsidRDefault="008A4BAE" w:rsidP="00D86574">
            <w:pPr>
              <w:spacing w:after="0"/>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124,5</w:t>
            </w:r>
          </w:p>
        </w:tc>
      </w:tr>
    </w:tbl>
    <w:p w:rsidR="008A4BAE" w:rsidRPr="001B5DE3" w:rsidRDefault="008A4BAE" w:rsidP="008A4BAE">
      <w:pPr>
        <w:spacing w:after="0" w:line="240" w:lineRule="auto"/>
        <w:jc w:val="both"/>
        <w:rPr>
          <w:rFonts w:ascii="Times New Roman" w:eastAsia="Calibri" w:hAnsi="Times New Roman" w:cs="Times New Roman"/>
          <w:sz w:val="28"/>
          <w:szCs w:val="28"/>
          <w:lang w:val="uk-UA" w:eastAsia="en-US"/>
        </w:rPr>
      </w:pPr>
    </w:p>
    <w:p w:rsidR="008A4BAE" w:rsidRPr="001B5DE3" w:rsidRDefault="008A4BAE" w:rsidP="008A4BAE">
      <w:pPr>
        <w:pStyle w:val="afc"/>
        <w:ind w:firstLine="709"/>
        <w:jc w:val="both"/>
        <w:rPr>
          <w:rFonts w:ascii="Times New Roman" w:hAnsi="Times New Roman"/>
          <w:sz w:val="28"/>
          <w:szCs w:val="28"/>
          <w:lang w:val="uk-UA"/>
        </w:rPr>
      </w:pPr>
      <w:proofErr w:type="gramStart"/>
      <w:r w:rsidRPr="001B5DE3">
        <w:rPr>
          <w:rFonts w:ascii="Times New Roman" w:hAnsi="Times New Roman"/>
          <w:sz w:val="28"/>
          <w:szCs w:val="28"/>
        </w:rPr>
        <w:t xml:space="preserve">Станом на </w:t>
      </w:r>
      <w:r w:rsidRPr="001B5DE3">
        <w:rPr>
          <w:rFonts w:ascii="Times New Roman" w:hAnsi="Times New Roman"/>
          <w:sz w:val="28"/>
          <w:szCs w:val="28"/>
          <w:lang w:val="uk-UA"/>
        </w:rPr>
        <w:t>червень</w:t>
      </w:r>
      <w:r w:rsidRPr="001B5DE3">
        <w:rPr>
          <w:rFonts w:ascii="Times New Roman" w:hAnsi="Times New Roman"/>
          <w:sz w:val="28"/>
          <w:szCs w:val="28"/>
        </w:rPr>
        <w:t xml:space="preserve"> 2021 року організовано роботу 347 автобусних маршрутів, у тому числі 174 міжміських та 173 приміських автобусних маршрутів загального користування, що не виходять за межі Дніпропетровської області. Контроль за роботою пасажирських перевізників здійснюєтьс</w:t>
      </w:r>
      <w:r w:rsidR="00453EA1" w:rsidRPr="001B5DE3">
        <w:rPr>
          <w:rFonts w:ascii="Times New Roman" w:hAnsi="Times New Roman"/>
          <w:sz w:val="28"/>
          <w:szCs w:val="28"/>
        </w:rPr>
        <w:t>я із застосуванням системи GPS-</w:t>
      </w:r>
      <w:r w:rsidRPr="001B5DE3">
        <w:rPr>
          <w:rFonts w:ascii="Times New Roman" w:hAnsi="Times New Roman"/>
          <w:sz w:val="28"/>
          <w:szCs w:val="28"/>
        </w:rPr>
        <w:t>моніторингу, загальнодоступна актуальна інформація в режимі реального часу розм</w:t>
      </w:r>
      <w:proofErr w:type="gramEnd"/>
      <w:r w:rsidRPr="001B5DE3">
        <w:rPr>
          <w:rFonts w:ascii="Times New Roman" w:hAnsi="Times New Roman"/>
          <w:sz w:val="28"/>
          <w:szCs w:val="28"/>
        </w:rPr>
        <w:t xml:space="preserve">іщена на сайті облдержадміністрації у розділі </w:t>
      </w:r>
      <w:r w:rsidR="00453EA1" w:rsidRPr="001B5DE3">
        <w:rPr>
          <w:rFonts w:ascii="Times New Roman" w:hAnsi="Times New Roman"/>
          <w:sz w:val="28"/>
          <w:szCs w:val="28"/>
          <w:lang w:val="uk-UA"/>
        </w:rPr>
        <w:t>“Т</w:t>
      </w:r>
      <w:r w:rsidRPr="001B5DE3">
        <w:rPr>
          <w:rFonts w:ascii="Times New Roman" w:hAnsi="Times New Roman"/>
          <w:sz w:val="28"/>
          <w:szCs w:val="28"/>
        </w:rPr>
        <w:t>ранспорт Easyway</w:t>
      </w:r>
      <w:r w:rsidR="00453EA1" w:rsidRPr="001B5DE3">
        <w:rPr>
          <w:rFonts w:ascii="Times New Roman" w:hAnsi="Times New Roman"/>
          <w:sz w:val="28"/>
          <w:szCs w:val="28"/>
          <w:lang w:val="uk-UA"/>
        </w:rPr>
        <w:t>”</w:t>
      </w:r>
      <w:r w:rsidRPr="001B5DE3">
        <w:rPr>
          <w:rFonts w:ascii="Times New Roman" w:hAnsi="Times New Roman"/>
          <w:sz w:val="28"/>
          <w:szCs w:val="28"/>
        </w:rPr>
        <w:t>.</w:t>
      </w:r>
    </w:p>
    <w:p w:rsidR="008A4BAE" w:rsidRPr="001B5DE3" w:rsidRDefault="008A4BAE" w:rsidP="008A4BAE">
      <w:pPr>
        <w:pStyle w:val="afc"/>
        <w:ind w:firstLine="709"/>
        <w:jc w:val="both"/>
        <w:rPr>
          <w:rFonts w:ascii="Times New Roman" w:hAnsi="Times New Roman"/>
          <w:sz w:val="28"/>
          <w:szCs w:val="28"/>
          <w:lang w:val="uk-UA"/>
        </w:rPr>
      </w:pPr>
    </w:p>
    <w:tbl>
      <w:tblPr>
        <w:tblW w:w="9651" w:type="dxa"/>
        <w:tblInd w:w="96" w:type="dxa"/>
        <w:tblLayout w:type="fixed"/>
        <w:tblLook w:val="04A0" w:firstRow="1" w:lastRow="0" w:firstColumn="1" w:lastColumn="0" w:noHBand="0" w:noVBand="1"/>
      </w:tblPr>
      <w:tblGrid>
        <w:gridCol w:w="1430"/>
        <w:gridCol w:w="1149"/>
        <w:gridCol w:w="1403"/>
        <w:gridCol w:w="1559"/>
        <w:gridCol w:w="2126"/>
        <w:gridCol w:w="1984"/>
      </w:tblGrid>
      <w:tr w:rsidR="001B5DE3" w:rsidRPr="001B5DE3" w:rsidTr="00CE5AD7">
        <w:trPr>
          <w:trHeight w:val="990"/>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Період</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40760A"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 xml:space="preserve">Кількість внутрішньообласних автобусних маршрутів </w:t>
            </w:r>
          </w:p>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загального користування</w:t>
            </w:r>
          </w:p>
        </w:tc>
        <w:tc>
          <w:tcPr>
            <w:tcW w:w="4110" w:type="dxa"/>
            <w:gridSpan w:val="2"/>
            <w:tcBorders>
              <w:top w:val="single" w:sz="4" w:space="0" w:color="auto"/>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Кількість перевізників та транспортних засобів, які задіяні для обслуговування автобусних маршрутів загального користування</w:t>
            </w:r>
          </w:p>
        </w:tc>
      </w:tr>
      <w:tr w:rsidR="001B5DE3" w:rsidRPr="001B5DE3" w:rsidTr="00CE5AD7">
        <w:trPr>
          <w:trHeight w:val="600"/>
        </w:trPr>
        <w:tc>
          <w:tcPr>
            <w:tcW w:w="1430" w:type="dxa"/>
            <w:vMerge/>
            <w:tcBorders>
              <w:top w:val="single" w:sz="4" w:space="0" w:color="auto"/>
              <w:left w:val="single" w:sz="4" w:space="0" w:color="auto"/>
              <w:bottom w:val="single" w:sz="4" w:space="0" w:color="auto"/>
              <w:right w:val="single" w:sz="4" w:space="0" w:color="auto"/>
            </w:tcBorders>
            <w:vAlign w:val="center"/>
            <w:hideMark/>
          </w:tcPr>
          <w:p w:rsidR="008A4BAE" w:rsidRPr="001B5DE3" w:rsidRDefault="008A4BAE" w:rsidP="00D86574">
            <w:pPr>
              <w:spacing w:after="0" w:line="240" w:lineRule="auto"/>
              <w:rPr>
                <w:rFonts w:ascii="Times New Roman" w:eastAsia="Times New Roman" w:hAnsi="Times New Roman" w:cs="Times New Roman"/>
                <w:bCs/>
                <w:sz w:val="24"/>
                <w:szCs w:val="24"/>
                <w:lang w:val="uk-UA" w:eastAsia="uk-UA"/>
              </w:rPr>
            </w:pPr>
          </w:p>
        </w:tc>
        <w:tc>
          <w:tcPr>
            <w:tcW w:w="1149" w:type="dxa"/>
            <w:tcBorders>
              <w:top w:val="nil"/>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міських</w:t>
            </w:r>
          </w:p>
        </w:tc>
        <w:tc>
          <w:tcPr>
            <w:tcW w:w="1403" w:type="dxa"/>
            <w:tcBorders>
              <w:top w:val="nil"/>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приміських</w:t>
            </w:r>
          </w:p>
        </w:tc>
        <w:tc>
          <w:tcPr>
            <w:tcW w:w="1559" w:type="dxa"/>
            <w:tcBorders>
              <w:top w:val="nil"/>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міжміських</w:t>
            </w:r>
          </w:p>
        </w:tc>
        <w:tc>
          <w:tcPr>
            <w:tcW w:w="2126" w:type="dxa"/>
            <w:tcBorders>
              <w:top w:val="nil"/>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Кількість перевізників</w:t>
            </w:r>
          </w:p>
        </w:tc>
        <w:tc>
          <w:tcPr>
            <w:tcW w:w="1984" w:type="dxa"/>
            <w:tcBorders>
              <w:top w:val="nil"/>
              <w:left w:val="nil"/>
              <w:bottom w:val="single" w:sz="4" w:space="0" w:color="auto"/>
              <w:right w:val="single" w:sz="4" w:space="0" w:color="auto"/>
            </w:tcBorders>
            <w:shd w:val="clear" w:color="auto" w:fill="auto"/>
            <w:hideMark/>
          </w:tcPr>
          <w:p w:rsidR="008A4BAE" w:rsidRPr="001B5DE3" w:rsidRDefault="008A4BAE" w:rsidP="00D86574">
            <w:pPr>
              <w:spacing w:after="0" w:line="240" w:lineRule="auto"/>
              <w:jc w:val="center"/>
              <w:rPr>
                <w:rFonts w:ascii="Times New Roman" w:eastAsia="Times New Roman" w:hAnsi="Times New Roman" w:cs="Times New Roman"/>
                <w:bCs/>
                <w:sz w:val="24"/>
                <w:szCs w:val="24"/>
                <w:lang w:val="uk-UA" w:eastAsia="uk-UA"/>
              </w:rPr>
            </w:pPr>
            <w:r w:rsidRPr="001B5DE3">
              <w:rPr>
                <w:rFonts w:ascii="Times New Roman" w:eastAsia="Times New Roman" w:hAnsi="Times New Roman" w:cs="Times New Roman"/>
                <w:bCs/>
                <w:sz w:val="24"/>
                <w:szCs w:val="24"/>
                <w:lang w:val="uk-UA" w:eastAsia="uk-UA"/>
              </w:rPr>
              <w:t>Кількість транспортних засобів</w:t>
            </w:r>
          </w:p>
        </w:tc>
      </w:tr>
      <w:tr w:rsidR="001B5DE3" w:rsidRPr="001B5DE3" w:rsidTr="00CE5AD7">
        <w:trPr>
          <w:trHeight w:val="312"/>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8A4BAE" w:rsidRPr="001B5DE3" w:rsidRDefault="005C5F67" w:rsidP="005C5F67">
            <w:pPr>
              <w:spacing w:after="0" w:line="240" w:lineRule="auto"/>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с</w:t>
            </w:r>
            <w:r w:rsidR="008A4BAE" w:rsidRPr="001B5DE3">
              <w:rPr>
                <w:rFonts w:ascii="Times New Roman" w:eastAsia="Times New Roman" w:hAnsi="Times New Roman" w:cs="Times New Roman"/>
                <w:sz w:val="24"/>
                <w:szCs w:val="24"/>
                <w:lang w:val="uk-UA" w:eastAsia="uk-UA"/>
              </w:rPr>
              <w:t>ічень</w:t>
            </w:r>
            <w:r w:rsidRPr="001B5DE3">
              <w:rPr>
                <w:rFonts w:ascii="Times New Roman" w:eastAsia="Times New Roman" w:hAnsi="Times New Roman" w:cs="Times New Roman"/>
                <w:sz w:val="24"/>
                <w:szCs w:val="24"/>
                <w:lang w:val="uk-UA" w:eastAsia="uk-UA"/>
              </w:rPr>
              <w:t xml:space="preserve"> –</w:t>
            </w:r>
            <w:r w:rsidR="008A4BAE" w:rsidRPr="001B5DE3">
              <w:rPr>
                <w:rFonts w:ascii="Times New Roman" w:eastAsia="Times New Roman" w:hAnsi="Times New Roman" w:cs="Times New Roman"/>
                <w:sz w:val="24"/>
                <w:szCs w:val="24"/>
                <w:lang w:val="uk-UA" w:eastAsia="uk-UA"/>
              </w:rPr>
              <w:t>червень, 2021</w:t>
            </w:r>
          </w:p>
        </w:tc>
        <w:tc>
          <w:tcPr>
            <w:tcW w:w="1149" w:type="dxa"/>
            <w:tcBorders>
              <w:top w:val="nil"/>
              <w:left w:val="nil"/>
              <w:bottom w:val="single" w:sz="4" w:space="0" w:color="auto"/>
              <w:right w:val="single" w:sz="4" w:space="0" w:color="auto"/>
            </w:tcBorders>
            <w:shd w:val="clear" w:color="auto" w:fill="auto"/>
            <w:vAlign w:val="center"/>
            <w:hideMark/>
          </w:tcPr>
          <w:p w:rsidR="008A4BAE" w:rsidRPr="001B5DE3" w:rsidRDefault="008A4BAE" w:rsidP="0040760A">
            <w:pPr>
              <w:spacing w:after="0" w:line="240" w:lineRule="auto"/>
              <w:jc w:val="center"/>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287</w:t>
            </w:r>
          </w:p>
        </w:tc>
        <w:tc>
          <w:tcPr>
            <w:tcW w:w="1403" w:type="dxa"/>
            <w:tcBorders>
              <w:top w:val="nil"/>
              <w:left w:val="nil"/>
              <w:bottom w:val="single" w:sz="4" w:space="0" w:color="auto"/>
              <w:right w:val="single" w:sz="4" w:space="0" w:color="auto"/>
            </w:tcBorders>
            <w:shd w:val="clear" w:color="auto" w:fill="auto"/>
            <w:vAlign w:val="center"/>
            <w:hideMark/>
          </w:tcPr>
          <w:p w:rsidR="008A4BAE" w:rsidRPr="001B5DE3" w:rsidRDefault="008A4BAE" w:rsidP="0040760A">
            <w:pPr>
              <w:spacing w:after="0" w:line="240" w:lineRule="auto"/>
              <w:jc w:val="center"/>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173</w:t>
            </w:r>
          </w:p>
        </w:tc>
        <w:tc>
          <w:tcPr>
            <w:tcW w:w="1559" w:type="dxa"/>
            <w:tcBorders>
              <w:top w:val="nil"/>
              <w:left w:val="nil"/>
              <w:bottom w:val="single" w:sz="4" w:space="0" w:color="auto"/>
              <w:right w:val="single" w:sz="4" w:space="0" w:color="auto"/>
            </w:tcBorders>
            <w:shd w:val="clear" w:color="auto" w:fill="auto"/>
            <w:vAlign w:val="center"/>
            <w:hideMark/>
          </w:tcPr>
          <w:p w:rsidR="008A4BAE" w:rsidRPr="001B5DE3" w:rsidRDefault="008A4BAE" w:rsidP="0040760A">
            <w:pPr>
              <w:spacing w:after="0" w:line="240" w:lineRule="auto"/>
              <w:jc w:val="center"/>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174</w:t>
            </w:r>
          </w:p>
        </w:tc>
        <w:tc>
          <w:tcPr>
            <w:tcW w:w="2126" w:type="dxa"/>
            <w:tcBorders>
              <w:top w:val="nil"/>
              <w:left w:val="nil"/>
              <w:bottom w:val="single" w:sz="4" w:space="0" w:color="auto"/>
              <w:right w:val="single" w:sz="4" w:space="0" w:color="auto"/>
            </w:tcBorders>
            <w:shd w:val="clear" w:color="auto" w:fill="auto"/>
            <w:vAlign w:val="center"/>
            <w:hideMark/>
          </w:tcPr>
          <w:p w:rsidR="008A4BAE" w:rsidRPr="001B5DE3" w:rsidRDefault="008A4BAE" w:rsidP="0040760A">
            <w:pPr>
              <w:spacing w:after="0" w:line="240" w:lineRule="auto"/>
              <w:jc w:val="center"/>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37</w:t>
            </w:r>
          </w:p>
        </w:tc>
        <w:tc>
          <w:tcPr>
            <w:tcW w:w="1984" w:type="dxa"/>
            <w:tcBorders>
              <w:top w:val="nil"/>
              <w:left w:val="nil"/>
              <w:bottom w:val="single" w:sz="4" w:space="0" w:color="auto"/>
              <w:right w:val="single" w:sz="4" w:space="0" w:color="auto"/>
            </w:tcBorders>
            <w:shd w:val="clear" w:color="auto" w:fill="auto"/>
            <w:vAlign w:val="center"/>
            <w:hideMark/>
          </w:tcPr>
          <w:p w:rsidR="008A4BAE" w:rsidRPr="001B5DE3" w:rsidRDefault="008A4BAE" w:rsidP="0040760A">
            <w:pPr>
              <w:spacing w:after="0" w:line="240" w:lineRule="auto"/>
              <w:jc w:val="center"/>
              <w:rPr>
                <w:rFonts w:ascii="Times New Roman" w:eastAsia="Times New Roman" w:hAnsi="Times New Roman" w:cs="Times New Roman"/>
                <w:sz w:val="24"/>
                <w:szCs w:val="24"/>
                <w:lang w:val="uk-UA" w:eastAsia="uk-UA"/>
              </w:rPr>
            </w:pPr>
            <w:r w:rsidRPr="001B5DE3">
              <w:rPr>
                <w:rFonts w:ascii="Times New Roman" w:eastAsia="Times New Roman" w:hAnsi="Times New Roman" w:cs="Times New Roman"/>
                <w:sz w:val="24"/>
                <w:szCs w:val="24"/>
                <w:lang w:val="uk-UA" w:eastAsia="uk-UA"/>
              </w:rPr>
              <w:t>2824</w:t>
            </w:r>
          </w:p>
        </w:tc>
      </w:tr>
    </w:tbl>
    <w:p w:rsidR="00FD6FA1" w:rsidRPr="001B5DE3" w:rsidRDefault="00FD6FA1" w:rsidP="00FD6FA1">
      <w:pPr>
        <w:pStyle w:val="afc"/>
        <w:ind w:firstLine="709"/>
        <w:jc w:val="both"/>
        <w:rPr>
          <w:rFonts w:ascii="Times New Roman" w:hAnsi="Times New Roman"/>
          <w:sz w:val="28"/>
          <w:szCs w:val="28"/>
          <w:lang w:val="uk-UA"/>
        </w:rPr>
      </w:pPr>
    </w:p>
    <w:p w:rsidR="008A4BAE" w:rsidRPr="001B5DE3" w:rsidRDefault="008A4BAE" w:rsidP="00FD6FA1">
      <w:pPr>
        <w:pStyle w:val="afc"/>
        <w:ind w:firstLine="709"/>
        <w:jc w:val="both"/>
        <w:rPr>
          <w:rFonts w:ascii="Times New Roman" w:hAnsi="Times New Roman"/>
          <w:sz w:val="28"/>
          <w:szCs w:val="28"/>
        </w:rPr>
      </w:pPr>
      <w:r w:rsidRPr="001B5DE3">
        <w:rPr>
          <w:rFonts w:ascii="Times New Roman" w:hAnsi="Times New Roman"/>
          <w:sz w:val="28"/>
          <w:szCs w:val="28"/>
        </w:rPr>
        <w:t xml:space="preserve"> У І </w:t>
      </w:r>
      <w:proofErr w:type="gramStart"/>
      <w:r w:rsidRPr="001B5DE3">
        <w:rPr>
          <w:rFonts w:ascii="Times New Roman" w:hAnsi="Times New Roman"/>
          <w:sz w:val="28"/>
          <w:szCs w:val="28"/>
        </w:rPr>
        <w:t>п</w:t>
      </w:r>
      <w:proofErr w:type="gramEnd"/>
      <w:r w:rsidRPr="001B5DE3">
        <w:rPr>
          <w:rFonts w:ascii="Times New Roman" w:hAnsi="Times New Roman"/>
          <w:sz w:val="28"/>
          <w:szCs w:val="28"/>
        </w:rPr>
        <w:t>івріччі 2021 року конкурси</w:t>
      </w:r>
      <w:r w:rsidRPr="001B5DE3">
        <w:rPr>
          <w:rFonts w:ascii="Times New Roman" w:hAnsi="Times New Roman"/>
          <w:bCs/>
          <w:sz w:val="28"/>
          <w:szCs w:val="28"/>
        </w:rPr>
        <w:t xml:space="preserve"> з перевезення пасажирів на міжміських та приміських автобусних маршрутах загального користування, що не виходять за межі території Дніпропетровської області (внутрішньообласні маршрути)</w:t>
      </w:r>
      <w:r w:rsidRPr="001B5DE3">
        <w:rPr>
          <w:rFonts w:ascii="Times New Roman" w:hAnsi="Times New Roman"/>
          <w:sz w:val="28"/>
          <w:szCs w:val="28"/>
        </w:rPr>
        <w:t xml:space="preserve"> не проводились.</w:t>
      </w:r>
    </w:p>
    <w:p w:rsidR="008A4BAE" w:rsidRPr="001B5DE3" w:rsidRDefault="008A4BAE" w:rsidP="00BB3FF7">
      <w:pPr>
        <w:pStyle w:val="afc"/>
        <w:spacing w:line="230" w:lineRule="auto"/>
        <w:ind w:firstLine="709"/>
        <w:jc w:val="both"/>
        <w:rPr>
          <w:rFonts w:ascii="Times New Roman" w:hAnsi="Times New Roman"/>
          <w:sz w:val="28"/>
          <w:szCs w:val="28"/>
        </w:rPr>
      </w:pPr>
      <w:proofErr w:type="gramStart"/>
      <w:r w:rsidRPr="001B5DE3">
        <w:rPr>
          <w:rFonts w:ascii="Times New Roman" w:hAnsi="Times New Roman"/>
          <w:sz w:val="28"/>
          <w:szCs w:val="28"/>
        </w:rPr>
        <w:lastRenderedPageBreak/>
        <w:t>З</w:t>
      </w:r>
      <w:proofErr w:type="gramEnd"/>
      <w:r w:rsidRPr="001B5DE3">
        <w:rPr>
          <w:rFonts w:ascii="Times New Roman" w:hAnsi="Times New Roman"/>
          <w:sz w:val="28"/>
          <w:szCs w:val="28"/>
        </w:rPr>
        <w:t xml:space="preserve"> метою підвищення якості послуг пасажирських перевезень автомобільним транспортом у січні</w:t>
      </w:r>
      <w:r w:rsidR="00A36A7A" w:rsidRPr="001B5DE3">
        <w:rPr>
          <w:rFonts w:ascii="Times New Roman" w:hAnsi="Times New Roman"/>
          <w:sz w:val="28"/>
          <w:szCs w:val="28"/>
          <w:lang w:val="uk-UA"/>
        </w:rPr>
        <w:t xml:space="preserve"> – </w:t>
      </w:r>
      <w:r w:rsidRPr="001B5DE3">
        <w:rPr>
          <w:rFonts w:ascii="Times New Roman" w:hAnsi="Times New Roman"/>
          <w:sz w:val="28"/>
          <w:szCs w:val="28"/>
          <w:lang w:val="uk-UA"/>
        </w:rPr>
        <w:t>червні</w:t>
      </w:r>
      <w:r w:rsidRPr="001B5DE3">
        <w:rPr>
          <w:rFonts w:ascii="Times New Roman" w:hAnsi="Times New Roman"/>
          <w:sz w:val="28"/>
          <w:szCs w:val="28"/>
        </w:rPr>
        <w:t xml:space="preserve"> 2021 року:</w:t>
      </w:r>
    </w:p>
    <w:p w:rsidR="008A4BAE" w:rsidRPr="001B5DE3" w:rsidRDefault="008A4BAE" w:rsidP="00BB3FF7">
      <w:pPr>
        <w:pStyle w:val="afc"/>
        <w:spacing w:line="230" w:lineRule="auto"/>
        <w:ind w:firstLine="709"/>
        <w:jc w:val="both"/>
        <w:rPr>
          <w:rFonts w:ascii="Times New Roman" w:hAnsi="Times New Roman"/>
          <w:sz w:val="28"/>
          <w:szCs w:val="28"/>
          <w:lang w:val="uk-UA"/>
        </w:rPr>
      </w:pPr>
      <w:proofErr w:type="gramStart"/>
      <w:r w:rsidRPr="001B5DE3">
        <w:rPr>
          <w:rFonts w:ascii="Times New Roman" w:hAnsi="Times New Roman"/>
          <w:sz w:val="28"/>
          <w:szCs w:val="28"/>
        </w:rPr>
        <w:t>робочою групою, створеною розпорядженням голови облдерж</w:t>
      </w:r>
      <w:r w:rsidR="00CE5AD7">
        <w:rPr>
          <w:rFonts w:ascii="Times New Roman" w:hAnsi="Times New Roman"/>
          <w:sz w:val="28"/>
          <w:szCs w:val="28"/>
          <w:lang w:val="uk-UA"/>
        </w:rPr>
        <w:t>-</w:t>
      </w:r>
      <w:r w:rsidRPr="001B5DE3">
        <w:rPr>
          <w:rFonts w:ascii="Times New Roman" w:hAnsi="Times New Roman"/>
          <w:sz w:val="28"/>
          <w:szCs w:val="28"/>
        </w:rPr>
        <w:t>адміністрації від 25 квітня 2014 року № Р-242/0/3-14 (зі змінами)</w:t>
      </w:r>
      <w:r w:rsidRPr="001B5DE3">
        <w:rPr>
          <w:rFonts w:ascii="Times New Roman" w:hAnsi="Times New Roman"/>
          <w:sz w:val="28"/>
          <w:szCs w:val="28"/>
          <w:lang w:val="uk-UA"/>
        </w:rPr>
        <w:t>,</w:t>
      </w:r>
      <w:r w:rsidRPr="001B5DE3">
        <w:rPr>
          <w:rFonts w:ascii="Times New Roman" w:hAnsi="Times New Roman"/>
          <w:sz w:val="28"/>
          <w:szCs w:val="28"/>
        </w:rPr>
        <w:t xml:space="preserve"> здійснювався контроль за дотриманням законодавства у сфері автомобільного транспорту, якістю перевезень та безпеки дорожнього руху на маршрутах, відповідно до затверджених заступником гол</w:t>
      </w:r>
      <w:r w:rsidR="00A36A7A" w:rsidRPr="001B5DE3">
        <w:rPr>
          <w:rFonts w:ascii="Times New Roman" w:hAnsi="Times New Roman"/>
          <w:sz w:val="28"/>
          <w:szCs w:val="28"/>
        </w:rPr>
        <w:t>ови облдержадміністрації планів</w:t>
      </w:r>
      <w:r w:rsidR="00A36A7A" w:rsidRPr="001B5DE3">
        <w:rPr>
          <w:rFonts w:ascii="Times New Roman" w:hAnsi="Times New Roman"/>
          <w:sz w:val="28"/>
          <w:szCs w:val="28"/>
          <w:lang w:val="uk-UA"/>
        </w:rPr>
        <w:t xml:space="preserve"> </w:t>
      </w:r>
      <w:r w:rsidRPr="001B5DE3">
        <w:rPr>
          <w:rFonts w:ascii="Times New Roman" w:hAnsi="Times New Roman"/>
          <w:sz w:val="28"/>
          <w:szCs w:val="28"/>
        </w:rPr>
        <w:t>графіків;</w:t>
      </w:r>
      <w:proofErr w:type="gramEnd"/>
    </w:p>
    <w:p w:rsidR="008A4BAE" w:rsidRPr="001B5DE3" w:rsidRDefault="008A4BAE" w:rsidP="00BB3FF7">
      <w:pPr>
        <w:spacing w:after="0" w:line="230" w:lineRule="auto"/>
        <w:ind w:firstLine="709"/>
        <w:jc w:val="both"/>
        <w:rPr>
          <w:rFonts w:ascii="Times New Roman" w:hAnsi="Times New Roman" w:cs="Times New Roman"/>
          <w:sz w:val="28"/>
          <w:szCs w:val="28"/>
        </w:rPr>
      </w:pPr>
      <w:r w:rsidRPr="001B5DE3">
        <w:rPr>
          <w:rFonts w:ascii="Times New Roman" w:hAnsi="Times New Roman" w:cs="Times New Roman"/>
          <w:sz w:val="28"/>
          <w:szCs w:val="28"/>
          <w:lang w:val="uk-UA"/>
        </w:rPr>
        <w:t>робочою групою з питань функціонування ринку пасажирських автомобільних перевезень у Дніпропетровській області, утвореною розпорядженням голови</w:t>
      </w:r>
      <w:r w:rsidR="00A36A7A" w:rsidRPr="001B5DE3">
        <w:rPr>
          <w:rFonts w:ascii="Times New Roman" w:hAnsi="Times New Roman" w:cs="Times New Roman"/>
          <w:sz w:val="28"/>
          <w:szCs w:val="28"/>
          <w:lang w:val="uk-UA"/>
        </w:rPr>
        <w:t xml:space="preserve"> облдержадміністрації від 14 травня </w:t>
      </w:r>
      <w:r w:rsidRPr="001B5DE3">
        <w:rPr>
          <w:rFonts w:ascii="Times New Roman" w:hAnsi="Times New Roman" w:cs="Times New Roman"/>
          <w:sz w:val="28"/>
          <w:szCs w:val="28"/>
          <w:lang w:val="uk-UA"/>
        </w:rPr>
        <w:t xml:space="preserve">2020 </w:t>
      </w:r>
      <w:r w:rsidR="00A36A7A" w:rsidRPr="001B5DE3">
        <w:rPr>
          <w:rFonts w:ascii="Times New Roman" w:hAnsi="Times New Roman" w:cs="Times New Roman"/>
          <w:sz w:val="28"/>
          <w:szCs w:val="28"/>
          <w:lang w:val="uk-UA"/>
        </w:rPr>
        <w:t xml:space="preserve">року </w:t>
      </w:r>
      <w:r w:rsidR="00A36A7A"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 Р-303/0/3-20 (</w:t>
      </w:r>
      <w:r w:rsidR="00A36A7A" w:rsidRPr="001B5DE3">
        <w:rPr>
          <w:rFonts w:ascii="Times New Roman" w:hAnsi="Times New Roman" w:cs="Times New Roman"/>
          <w:sz w:val="28"/>
          <w:szCs w:val="28"/>
          <w:lang w:val="uk-UA"/>
        </w:rPr>
        <w:t xml:space="preserve">із </w:t>
      </w:r>
      <w:r w:rsidRPr="001B5DE3">
        <w:rPr>
          <w:rFonts w:ascii="Times New Roman" w:hAnsi="Times New Roman" w:cs="Times New Roman"/>
          <w:sz w:val="28"/>
          <w:szCs w:val="28"/>
          <w:lang w:val="uk-UA"/>
        </w:rPr>
        <w:t xml:space="preserve">змінами), здійснювались перевірки з метою встановлення перевізників, які здійснюють нелегальні перевезення. </w:t>
      </w:r>
      <w:r w:rsidRPr="001B5DE3">
        <w:rPr>
          <w:rFonts w:ascii="Times New Roman" w:hAnsi="Times New Roman" w:cs="Times New Roman"/>
          <w:sz w:val="28"/>
          <w:szCs w:val="28"/>
        </w:rPr>
        <w:t>Інформація щодо виявлених нелегальних перевізникі</w:t>
      </w:r>
      <w:proofErr w:type="gramStart"/>
      <w:r w:rsidRPr="001B5DE3">
        <w:rPr>
          <w:rFonts w:ascii="Times New Roman" w:hAnsi="Times New Roman" w:cs="Times New Roman"/>
          <w:sz w:val="28"/>
          <w:szCs w:val="28"/>
        </w:rPr>
        <w:t>в</w:t>
      </w:r>
      <w:proofErr w:type="gramEnd"/>
      <w:r w:rsidRPr="001B5DE3">
        <w:rPr>
          <w:rFonts w:ascii="Times New Roman" w:hAnsi="Times New Roman" w:cs="Times New Roman"/>
          <w:sz w:val="28"/>
          <w:szCs w:val="28"/>
        </w:rPr>
        <w:t xml:space="preserve"> направлена до Міністерства інфраструктури України;</w:t>
      </w:r>
    </w:p>
    <w:p w:rsidR="008A4BAE" w:rsidRPr="001B5DE3" w:rsidRDefault="008A4BAE" w:rsidP="00BB3FF7">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керівниками підприємств пасажирського автомобільного транспорту забезпечено проведення інструктажів з водійським складом щодо необхідності дотримання Правил надання послуг пасажирського автомобільного транспорту, зокрема в частині перевезення пільгової категорії та надання якісних послуг;</w:t>
      </w:r>
    </w:p>
    <w:p w:rsidR="008A4BAE" w:rsidRPr="001B5DE3" w:rsidRDefault="008A4BAE" w:rsidP="00BB3FF7">
      <w:pPr>
        <w:pStyle w:val="afc"/>
        <w:spacing w:line="230" w:lineRule="auto"/>
        <w:ind w:firstLine="709"/>
        <w:jc w:val="both"/>
        <w:rPr>
          <w:rFonts w:ascii="Times New Roman" w:hAnsi="Times New Roman"/>
          <w:sz w:val="28"/>
          <w:szCs w:val="28"/>
          <w:lang w:val="uk-UA"/>
        </w:rPr>
      </w:pPr>
      <w:r w:rsidRPr="001B5DE3">
        <w:rPr>
          <w:rFonts w:ascii="Times New Roman" w:hAnsi="Times New Roman"/>
          <w:sz w:val="28"/>
          <w:szCs w:val="28"/>
        </w:rPr>
        <w:t>керівниками автостанцій визначені окремі особи, в</w:t>
      </w:r>
      <w:r w:rsidR="00E43AC6" w:rsidRPr="001B5DE3">
        <w:rPr>
          <w:rFonts w:ascii="Times New Roman" w:hAnsi="Times New Roman"/>
          <w:sz w:val="28"/>
          <w:szCs w:val="28"/>
        </w:rPr>
        <w:t>ідповідальні за дотримання</w:t>
      </w:r>
      <w:r w:rsidRPr="001B5DE3">
        <w:rPr>
          <w:rFonts w:ascii="Times New Roman" w:hAnsi="Times New Roman"/>
          <w:sz w:val="28"/>
          <w:szCs w:val="28"/>
        </w:rPr>
        <w:t xml:space="preserve"> автомобільними перевізниками та водіями автобусів протиепідемічних норм </w:t>
      </w:r>
      <w:proofErr w:type="gramStart"/>
      <w:r w:rsidRPr="001B5DE3">
        <w:rPr>
          <w:rFonts w:ascii="Times New Roman" w:hAnsi="Times New Roman"/>
          <w:sz w:val="28"/>
          <w:szCs w:val="28"/>
        </w:rPr>
        <w:t>п</w:t>
      </w:r>
      <w:proofErr w:type="gramEnd"/>
      <w:r w:rsidRPr="001B5DE3">
        <w:rPr>
          <w:rFonts w:ascii="Times New Roman" w:hAnsi="Times New Roman"/>
          <w:sz w:val="28"/>
          <w:szCs w:val="28"/>
        </w:rPr>
        <w:t>ід час посадки та висадки пасажирів.</w:t>
      </w:r>
    </w:p>
    <w:p w:rsidR="008A4BAE" w:rsidRPr="001B5DE3" w:rsidRDefault="008A4BAE" w:rsidP="00BB3FF7">
      <w:pPr>
        <w:spacing w:after="0" w:line="23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Для зменшення впливу транспорту на довкілля транспортними підприємствами вживаються заходи щодо оновлення рухомого складу, який відповідає високому рівню екологічної норми з метою збереження навколишнього середовища.</w:t>
      </w:r>
    </w:p>
    <w:p w:rsidR="008A4BAE" w:rsidRPr="001B5DE3" w:rsidRDefault="008A4BAE" w:rsidP="00BB3FF7">
      <w:pPr>
        <w:spacing w:after="0" w:line="230" w:lineRule="auto"/>
        <w:ind w:firstLine="709"/>
        <w:jc w:val="both"/>
        <w:rPr>
          <w:rFonts w:ascii="Times New Roman" w:hAnsi="Times New Roman" w:cs="Times New Roman"/>
          <w:sz w:val="28"/>
          <w:szCs w:val="28"/>
        </w:rPr>
      </w:pPr>
      <w:r w:rsidRPr="001B5DE3">
        <w:rPr>
          <w:rFonts w:ascii="Times New Roman" w:hAnsi="Times New Roman" w:cs="Times New Roman"/>
          <w:sz w:val="28"/>
          <w:szCs w:val="28"/>
          <w:lang w:val="uk-UA"/>
        </w:rPr>
        <w:t xml:space="preserve">Окрім того, зменшення забруднення довкілля досягається шляхом раціональної експлуатації автобусів, а саме – підтримка транспортних засобів </w:t>
      </w:r>
      <w:r w:rsidR="00E43AC6"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 технічно справному стані. </w:t>
      </w:r>
      <w:r w:rsidR="00E75CF1" w:rsidRPr="001B5DE3">
        <w:rPr>
          <w:rFonts w:ascii="Times New Roman" w:hAnsi="Times New Roman" w:cs="Times New Roman"/>
          <w:sz w:val="28"/>
          <w:szCs w:val="28"/>
          <w:lang w:val="uk-UA"/>
        </w:rPr>
        <w:t xml:space="preserve">Водночас у </w:t>
      </w:r>
      <w:r w:rsidRPr="001B5DE3">
        <w:rPr>
          <w:rFonts w:ascii="Times New Roman" w:hAnsi="Times New Roman" w:cs="Times New Roman"/>
          <w:sz w:val="28"/>
          <w:szCs w:val="28"/>
        </w:rPr>
        <w:t>процесі техн</w:t>
      </w:r>
      <w:r w:rsidR="00E75CF1" w:rsidRPr="001B5DE3">
        <w:rPr>
          <w:rFonts w:ascii="Times New Roman" w:hAnsi="Times New Roman" w:cs="Times New Roman"/>
          <w:sz w:val="28"/>
          <w:szCs w:val="28"/>
        </w:rPr>
        <w:t>ічного обслуговування та огляду</w:t>
      </w:r>
      <w:r w:rsidRPr="001B5DE3">
        <w:rPr>
          <w:rFonts w:ascii="Times New Roman" w:hAnsi="Times New Roman" w:cs="Times New Roman"/>
          <w:sz w:val="28"/>
          <w:szCs w:val="28"/>
        </w:rPr>
        <w:t xml:space="preserve"> особлива увага приділяється забезпеченню оптимальних налаштувань та своєчасному виявленню та усуненню несправностей механізмів і систем автомобільного двигуна.</w:t>
      </w:r>
    </w:p>
    <w:p w:rsidR="00FD6FA1" w:rsidRPr="001B5DE3" w:rsidRDefault="00FD6FA1" w:rsidP="008A4BAE">
      <w:pPr>
        <w:pStyle w:val="af3"/>
        <w:tabs>
          <w:tab w:val="left" w:pos="-720"/>
        </w:tabs>
        <w:spacing w:before="0" w:beforeAutospacing="0" w:after="0" w:afterAutospacing="0"/>
        <w:jc w:val="center"/>
        <w:rPr>
          <w:b/>
          <w:color w:val="auto"/>
          <w:sz w:val="24"/>
          <w:szCs w:val="24"/>
          <w:lang w:val="uk-UA"/>
        </w:rPr>
      </w:pPr>
    </w:p>
    <w:p w:rsidR="008A4BAE" w:rsidRPr="001B5DE3" w:rsidRDefault="008A4BAE" w:rsidP="008A4BAE">
      <w:pPr>
        <w:pStyle w:val="af3"/>
        <w:tabs>
          <w:tab w:val="left" w:pos="-720"/>
        </w:tabs>
        <w:spacing w:before="0" w:beforeAutospacing="0" w:after="0" w:afterAutospacing="0"/>
        <w:jc w:val="center"/>
        <w:rPr>
          <w:b/>
          <w:color w:val="auto"/>
          <w:sz w:val="24"/>
          <w:szCs w:val="24"/>
          <w:lang w:val="uk-UA"/>
        </w:rPr>
      </w:pPr>
      <w:r w:rsidRPr="001B5DE3">
        <w:rPr>
          <w:b/>
          <w:color w:val="auto"/>
          <w:sz w:val="24"/>
          <w:szCs w:val="24"/>
          <w:lang w:val="uk-UA"/>
        </w:rPr>
        <w:t>Динаміка роботи транспорту,</w:t>
      </w:r>
    </w:p>
    <w:p w:rsidR="008A4BAE" w:rsidRPr="001B5DE3" w:rsidRDefault="008A4BAE" w:rsidP="008A4BAE">
      <w:pPr>
        <w:pStyle w:val="af3"/>
        <w:tabs>
          <w:tab w:val="left" w:pos="-720"/>
        </w:tabs>
        <w:spacing w:before="0" w:beforeAutospacing="0" w:after="0" w:afterAutospacing="0"/>
        <w:jc w:val="center"/>
        <w:rPr>
          <w:color w:val="auto"/>
          <w:sz w:val="24"/>
          <w:szCs w:val="24"/>
          <w:lang w:val="uk-UA"/>
        </w:rPr>
      </w:pPr>
      <w:r w:rsidRPr="001B5DE3">
        <w:rPr>
          <w:color w:val="auto"/>
          <w:sz w:val="24"/>
          <w:szCs w:val="24"/>
          <w:lang w:val="uk-UA"/>
        </w:rPr>
        <w:t>% до відповідного періоду попереднього року</w:t>
      </w:r>
    </w:p>
    <w:p w:rsidR="00FD6FA1" w:rsidRPr="001B5DE3" w:rsidRDefault="00FD6FA1" w:rsidP="008A4BAE">
      <w:pPr>
        <w:pStyle w:val="af3"/>
        <w:tabs>
          <w:tab w:val="left" w:pos="-720"/>
        </w:tabs>
        <w:spacing w:before="0" w:beforeAutospacing="0" w:after="0" w:afterAutospacing="0"/>
        <w:jc w:val="center"/>
        <w:rPr>
          <w:color w:val="auto"/>
          <w:sz w:val="24"/>
          <w:szCs w:val="24"/>
          <w:lang w:val="uk-UA"/>
        </w:rPr>
      </w:pPr>
    </w:p>
    <w:bookmarkStart w:id="2" w:name="_MON_1690369152"/>
    <w:bookmarkEnd w:id="2"/>
    <w:p w:rsidR="008A4BAE" w:rsidRPr="001B5DE3" w:rsidRDefault="00FD6FA1" w:rsidP="008A4BAE">
      <w:pPr>
        <w:pStyle w:val="af3"/>
        <w:tabs>
          <w:tab w:val="left" w:pos="-720"/>
        </w:tabs>
        <w:spacing w:before="0" w:beforeAutospacing="0" w:after="0" w:afterAutospacing="0"/>
        <w:jc w:val="both"/>
        <w:rPr>
          <w:color w:val="auto"/>
          <w:lang w:val="uk-UA"/>
        </w:rPr>
      </w:pPr>
      <w:r w:rsidRPr="001B5DE3">
        <w:rPr>
          <w:color w:val="auto"/>
          <w:lang w:val="uk-UA"/>
        </w:rPr>
        <w:object w:dxaOrig="9648" w:dyaOrig="4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8.25pt" o:ole="">
            <v:imagedata r:id="rId35" o:title=""/>
          </v:shape>
          <o:OLEObject Type="Embed" ProgID="Excel.Sheet.12" ShapeID="_x0000_i1025" DrawAspect="Content" ObjectID="_1693833401" r:id="rId36"/>
        </w:object>
      </w:r>
    </w:p>
    <w:p w:rsidR="008A4BAE" w:rsidRPr="001B5DE3" w:rsidRDefault="008A4BAE" w:rsidP="0022450D">
      <w:pPr>
        <w:spacing w:after="0" w:line="240" w:lineRule="auto"/>
        <w:ind w:firstLine="720"/>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lastRenderedPageBreak/>
        <w:t>Усі перевезення здійснюються з дотриманням тимчасових рекомендацій щодо організації протиепідемічних заходів під час організації перевезень у період карантину, які затверджені постановами головного державного санітарного лікаря України.</w:t>
      </w:r>
    </w:p>
    <w:p w:rsidR="00A378E1" w:rsidRPr="001B5DE3" w:rsidRDefault="00A378E1" w:rsidP="0022450D">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2021 році продовжено роботу з розвитку системи електронного документообігу (далі – СЕДО) в органах виконавчої влади та місцевого самоврядування Дніпропетровської області. </w:t>
      </w:r>
    </w:p>
    <w:p w:rsidR="00A378E1" w:rsidRPr="001B5DE3" w:rsidRDefault="00A378E1" w:rsidP="0022450D">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Організовано роботу з підключення СЕДО структурних підрозділів облдержадміністрації до системи електронної взаємодії органів виконавчої влади (далі – СЕВ ОВВ). </w:t>
      </w:r>
    </w:p>
    <w:p w:rsidR="00A378E1" w:rsidRPr="001B5DE3" w:rsidRDefault="00A378E1" w:rsidP="0022450D">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Cтаном на 01</w:t>
      </w:r>
      <w:r w:rsidR="00B0219D"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липня 2021 року до СЕВ ОВВ підключено всі структурні підрозділи облдержадміністрації.</w:t>
      </w:r>
    </w:p>
    <w:p w:rsidR="00A378E1" w:rsidRPr="001B5DE3" w:rsidRDefault="00A378E1" w:rsidP="0022450D">
      <w:pPr>
        <w:autoSpaceDE w:val="0"/>
        <w:autoSpaceDN w:val="0"/>
        <w:adjustRightInd w:val="0"/>
        <w:spacing w:after="0" w:line="240" w:lineRule="auto"/>
        <w:ind w:firstLine="720"/>
        <w:jc w:val="both"/>
        <w:rPr>
          <w:rFonts w:ascii="Times New Roman" w:eastAsia="Calibri" w:hAnsi="Times New Roman" w:cs="Times New Roman"/>
          <w:sz w:val="28"/>
          <w:szCs w:val="28"/>
          <w:lang w:val="uk-UA"/>
        </w:rPr>
      </w:pPr>
      <w:r w:rsidRPr="001B5DE3">
        <w:rPr>
          <w:rFonts w:ascii="Times New Roman" w:eastAsia="Calibri" w:hAnsi="Times New Roman" w:cs="Times New Roman"/>
          <w:sz w:val="28"/>
          <w:szCs w:val="28"/>
          <w:lang w:val="uk-UA"/>
        </w:rPr>
        <w:t xml:space="preserve">На 01 липня 2021 року комплексна технологічна інфраструктура СЕДО включає </w:t>
      </w:r>
      <w:r w:rsidR="00E87EC5" w:rsidRPr="001B5DE3">
        <w:rPr>
          <w:rFonts w:ascii="Times New Roman" w:eastAsia="Times New Roman" w:hAnsi="Times New Roman" w:cs="Times New Roman"/>
          <w:sz w:val="28"/>
          <w:szCs w:val="28"/>
        </w:rPr>
        <w:t>942 місцякористувачі</w:t>
      </w:r>
      <w:r w:rsidRPr="001B5DE3">
        <w:rPr>
          <w:rFonts w:ascii="Times New Roman" w:eastAsia="Times New Roman" w:hAnsi="Times New Roman" w:cs="Times New Roman"/>
          <w:sz w:val="28"/>
          <w:szCs w:val="28"/>
        </w:rPr>
        <w:t>, 81 базу даних, 1271 картотек</w:t>
      </w:r>
      <w:r w:rsidR="00673F54" w:rsidRPr="001B5DE3">
        <w:rPr>
          <w:rFonts w:ascii="Times New Roman" w:eastAsia="Times New Roman" w:hAnsi="Times New Roman" w:cs="Times New Roman"/>
          <w:sz w:val="28"/>
          <w:szCs w:val="28"/>
          <w:lang w:val="uk-UA"/>
        </w:rPr>
        <w:t>у</w:t>
      </w:r>
      <w:r w:rsidR="00673F54" w:rsidRPr="001B5DE3">
        <w:rPr>
          <w:rFonts w:ascii="Times New Roman" w:eastAsia="Times New Roman" w:hAnsi="Times New Roman" w:cs="Times New Roman"/>
          <w:sz w:val="28"/>
          <w:szCs w:val="28"/>
        </w:rPr>
        <w:t xml:space="preserve"> та довідник</w:t>
      </w:r>
      <w:r w:rsidR="00673F54" w:rsidRPr="001B5DE3">
        <w:rPr>
          <w:rFonts w:ascii="Times New Roman" w:eastAsia="Times New Roman" w:hAnsi="Times New Roman" w:cs="Times New Roman"/>
          <w:sz w:val="28"/>
          <w:szCs w:val="28"/>
          <w:lang w:val="uk-UA"/>
        </w:rPr>
        <w:t>-</w:t>
      </w:r>
      <w:r w:rsidRPr="001B5DE3">
        <w:rPr>
          <w:rFonts w:ascii="Times New Roman" w:eastAsia="Times New Roman" w:hAnsi="Times New Roman" w:cs="Times New Roman"/>
          <w:sz w:val="28"/>
          <w:szCs w:val="28"/>
        </w:rPr>
        <w:t>систем</w:t>
      </w:r>
      <w:r w:rsidR="00673F54" w:rsidRPr="001B5DE3">
        <w:rPr>
          <w:rFonts w:ascii="Times New Roman" w:eastAsia="Times New Roman" w:hAnsi="Times New Roman" w:cs="Times New Roman"/>
          <w:sz w:val="28"/>
          <w:szCs w:val="28"/>
          <w:lang w:val="uk-UA"/>
        </w:rPr>
        <w:t>у</w:t>
      </w:r>
      <w:r w:rsidRPr="001B5DE3">
        <w:rPr>
          <w:rFonts w:ascii="Times New Roman" w:eastAsia="Times New Roman" w:hAnsi="Times New Roman" w:cs="Times New Roman"/>
          <w:sz w:val="28"/>
          <w:szCs w:val="28"/>
        </w:rPr>
        <w:t>, понад 110 комплектів</w:t>
      </w:r>
      <w:r w:rsidR="00673F54"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rPr>
        <w:t>електронних</w:t>
      </w:r>
      <w:r w:rsidR="00673F54"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rPr>
        <w:t>канцелярій. База електронних</w:t>
      </w:r>
      <w:r w:rsidR="00673F54"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rPr>
        <w:t>документів</w:t>
      </w:r>
      <w:r w:rsidR="00673F54"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rPr>
        <w:t>облдержадміністрації</w:t>
      </w:r>
      <w:r w:rsidR="00974679" w:rsidRPr="001B5DE3">
        <w:rPr>
          <w:rFonts w:ascii="Times New Roman" w:eastAsia="Times New Roman" w:hAnsi="Times New Roman" w:cs="Times New Roman"/>
          <w:sz w:val="28"/>
          <w:szCs w:val="28"/>
          <w:lang w:val="uk-UA"/>
        </w:rPr>
        <w:t xml:space="preserve"> </w:t>
      </w:r>
      <w:r w:rsidRPr="001B5DE3">
        <w:rPr>
          <w:rFonts w:ascii="Times New Roman" w:eastAsia="Times New Roman" w:hAnsi="Times New Roman" w:cs="Times New Roman"/>
          <w:sz w:val="28"/>
          <w:szCs w:val="28"/>
        </w:rPr>
        <w:t xml:space="preserve">налічує 3 013 788 документів, </w:t>
      </w:r>
      <w:r w:rsidR="00974679" w:rsidRPr="001B5DE3">
        <w:rPr>
          <w:rFonts w:ascii="Times New Roman" w:eastAsia="Times New Roman" w:hAnsi="Times New Roman" w:cs="Times New Roman"/>
          <w:sz w:val="28"/>
          <w:szCs w:val="28"/>
          <w:lang w:val="uk-UA"/>
        </w:rPr>
        <w:br/>
      </w:r>
      <w:r w:rsidRPr="001B5DE3">
        <w:rPr>
          <w:rFonts w:ascii="Times New Roman" w:eastAsia="Times New Roman" w:hAnsi="Times New Roman" w:cs="Times New Roman"/>
          <w:sz w:val="28"/>
          <w:szCs w:val="28"/>
        </w:rPr>
        <w:t>3 267 172 образи; база обласної ради – 224 715 документів і 213 172 образи.</w:t>
      </w:r>
    </w:p>
    <w:p w:rsidR="00A378E1" w:rsidRPr="001B5DE3" w:rsidRDefault="00A378E1" w:rsidP="0022450D">
      <w:pPr>
        <w:autoSpaceDE w:val="0"/>
        <w:autoSpaceDN w:val="0"/>
        <w:adjustRightInd w:val="0"/>
        <w:spacing w:after="0" w:line="240" w:lineRule="auto"/>
        <w:ind w:firstLine="720"/>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Чисельність користувачів, що підключені до системи електронного документообігу “ДОК ПРОФ”</w:t>
      </w:r>
      <w:r w:rsidR="00974679" w:rsidRPr="001B5DE3">
        <w:rPr>
          <w:rFonts w:ascii="Times New Roman" w:hAnsi="Times New Roman" w:cs="Times New Roman"/>
          <w:sz w:val="28"/>
          <w:szCs w:val="28"/>
          <w:lang w:val="uk-UA" w:eastAsia="uk-UA"/>
        </w:rPr>
        <w:t>,</w:t>
      </w:r>
      <w:r w:rsidRPr="001B5DE3">
        <w:rPr>
          <w:rFonts w:ascii="Times New Roman" w:hAnsi="Times New Roman" w:cs="Times New Roman"/>
          <w:sz w:val="28"/>
          <w:szCs w:val="28"/>
          <w:lang w:val="uk-UA" w:eastAsia="uk-UA"/>
        </w:rPr>
        <w:t xml:space="preserve"> </w:t>
      </w:r>
      <w:r w:rsidR="00974679" w:rsidRPr="001B5DE3">
        <w:rPr>
          <w:rFonts w:ascii="Times New Roman" w:hAnsi="Times New Roman" w:cs="Times New Roman"/>
          <w:sz w:val="28"/>
          <w:szCs w:val="28"/>
          <w:lang w:val="uk-UA" w:eastAsia="uk-UA"/>
        </w:rPr>
        <w:t>у</w:t>
      </w:r>
      <w:r w:rsidRPr="001B5DE3">
        <w:rPr>
          <w:rFonts w:ascii="Times New Roman" w:hAnsi="Times New Roman" w:cs="Times New Roman"/>
          <w:sz w:val="28"/>
          <w:szCs w:val="28"/>
          <w:lang w:val="uk-UA" w:eastAsia="uk-UA"/>
        </w:rPr>
        <w:t xml:space="preserve"> </w:t>
      </w:r>
      <w:r w:rsidR="00AF0D29" w:rsidRPr="001B5DE3">
        <w:rPr>
          <w:rFonts w:ascii="Times New Roman" w:hAnsi="Times New Roman" w:cs="Times New Roman"/>
          <w:sz w:val="28"/>
          <w:szCs w:val="28"/>
          <w:lang w:val="uk-UA" w:eastAsia="uk-UA"/>
        </w:rPr>
        <w:t>територіальних громадах</w:t>
      </w:r>
      <w:r w:rsidRPr="001B5DE3">
        <w:rPr>
          <w:rFonts w:ascii="Times New Roman" w:hAnsi="Times New Roman" w:cs="Times New Roman"/>
          <w:sz w:val="28"/>
          <w:szCs w:val="28"/>
          <w:lang w:val="uk-UA" w:eastAsia="uk-UA"/>
        </w:rPr>
        <w:t xml:space="preserve"> складає 145 ос</w:t>
      </w:r>
      <w:r w:rsidR="00974679" w:rsidRPr="001B5DE3">
        <w:rPr>
          <w:rFonts w:ascii="Times New Roman" w:hAnsi="Times New Roman" w:cs="Times New Roman"/>
          <w:sz w:val="28"/>
          <w:szCs w:val="28"/>
          <w:lang w:val="uk-UA" w:eastAsia="uk-UA"/>
        </w:rPr>
        <w:t xml:space="preserve">іб. Чисельність користувачів у </w:t>
      </w:r>
      <w:r w:rsidRPr="001B5DE3">
        <w:rPr>
          <w:rFonts w:ascii="Times New Roman" w:hAnsi="Times New Roman" w:cs="Times New Roman"/>
          <w:sz w:val="28"/>
          <w:szCs w:val="28"/>
          <w:lang w:val="uk-UA" w:eastAsia="uk-UA"/>
        </w:rPr>
        <w:t>Систем</w:t>
      </w:r>
      <w:r w:rsidR="00974679"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 xml:space="preserve"> реєстрів управління тер</w:t>
      </w:r>
      <w:r w:rsidR="00974679" w:rsidRPr="001B5DE3">
        <w:rPr>
          <w:rFonts w:ascii="Times New Roman" w:hAnsi="Times New Roman" w:cs="Times New Roman"/>
          <w:sz w:val="28"/>
          <w:szCs w:val="28"/>
          <w:lang w:val="uk-UA" w:eastAsia="uk-UA"/>
        </w:rPr>
        <w:t>иторіальною громадою</w:t>
      </w:r>
      <w:r w:rsidRPr="001B5DE3">
        <w:rPr>
          <w:rFonts w:ascii="Times New Roman" w:hAnsi="Times New Roman" w:cs="Times New Roman"/>
          <w:sz w:val="28"/>
          <w:szCs w:val="28"/>
          <w:lang w:val="uk-UA" w:eastAsia="uk-UA"/>
        </w:rPr>
        <w:t xml:space="preserve"> – 156 осіб.</w:t>
      </w:r>
    </w:p>
    <w:p w:rsidR="00A378E1" w:rsidRPr="001B5DE3" w:rsidRDefault="00A378E1" w:rsidP="0022450D">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Продовжується реалізація проєкту впровадження типового програмного комплексу “Система реєстрів управління територіальною громадою” на базі програмного забезпечення “Автоматизована система управління документами “ДОК ПРОФ 3</w:t>
      </w:r>
      <w:r w:rsidR="00974679" w:rsidRPr="001B5DE3">
        <w:rPr>
          <w:rFonts w:ascii="Times New Roman" w:hAnsi="Times New Roman" w:cs="Times New Roman"/>
          <w:sz w:val="28"/>
          <w:szCs w:val="28"/>
          <w:lang w:val="uk-UA" w:eastAsia="uk-UA"/>
        </w:rPr>
        <w:t>” в територіальних</w:t>
      </w:r>
      <w:r w:rsidR="008303CF" w:rsidRPr="001B5DE3">
        <w:rPr>
          <w:rFonts w:ascii="Times New Roman" w:hAnsi="Times New Roman" w:cs="Times New Roman"/>
          <w:sz w:val="28"/>
          <w:szCs w:val="28"/>
          <w:lang w:val="uk-UA" w:eastAsia="uk-UA"/>
        </w:rPr>
        <w:t xml:space="preserve"> громадах</w:t>
      </w:r>
      <w:r w:rsidRPr="001B5DE3">
        <w:rPr>
          <w:rFonts w:ascii="Times New Roman" w:hAnsi="Times New Roman" w:cs="Times New Roman"/>
          <w:sz w:val="28"/>
          <w:szCs w:val="28"/>
          <w:lang w:val="uk-UA" w:eastAsia="uk-UA"/>
        </w:rPr>
        <w:t xml:space="preserve"> області. До регіональних електронних сервісів </w:t>
      </w:r>
      <w:r w:rsidR="00365CC7" w:rsidRPr="001B5DE3">
        <w:rPr>
          <w:rFonts w:ascii="Times New Roman" w:eastAsia="Times New Roman" w:hAnsi="Times New Roman" w:cs="Times New Roman"/>
          <w:sz w:val="28"/>
          <w:szCs w:val="28"/>
          <w:lang w:val="uk-UA"/>
        </w:rPr>
        <w:t>телекомунікаційного центру</w:t>
      </w:r>
      <w:r w:rsidRPr="001B5DE3">
        <w:rPr>
          <w:rFonts w:ascii="Times New Roman" w:hAnsi="Times New Roman" w:cs="Times New Roman"/>
          <w:sz w:val="28"/>
          <w:szCs w:val="28"/>
          <w:lang w:val="uk-UA" w:eastAsia="uk-UA"/>
        </w:rPr>
        <w:t xml:space="preserve"> області підключено 82 ТГ.</w:t>
      </w:r>
    </w:p>
    <w:p w:rsidR="00A378E1" w:rsidRPr="001B5DE3" w:rsidRDefault="00A378E1" w:rsidP="00A378E1">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Здійснено своєчасне підключення (до 01 квітня 2021 року) усіх органів реєстрації в 86 ТГ області до відомчої інформаційної системи Державної міграційної служби України (https://rtg.dmsu.gov.ua/). </w:t>
      </w:r>
    </w:p>
    <w:p w:rsidR="00A378E1" w:rsidRPr="001B5DE3" w:rsidRDefault="00A378E1" w:rsidP="00A378E1">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За підтримки швейцарсько-українського проєкту “Електронне урядування задля підзвітності влади та участі громади” (далі – програма EGAP)</w:t>
      </w:r>
      <w:r w:rsidR="008303CF" w:rsidRPr="001B5DE3">
        <w:rPr>
          <w:rFonts w:ascii="Times New Roman" w:hAnsi="Times New Roman" w:cs="Times New Roman"/>
          <w:sz w:val="28"/>
          <w:szCs w:val="28"/>
          <w:lang w:val="uk-UA" w:eastAsia="uk-UA"/>
        </w:rPr>
        <w:t>,</w:t>
      </w:r>
      <w:r w:rsidRPr="001B5DE3">
        <w:rPr>
          <w:rFonts w:ascii="Times New Roman" w:hAnsi="Times New Roman" w:cs="Times New Roman"/>
          <w:sz w:val="28"/>
          <w:szCs w:val="28"/>
          <w:lang w:val="uk-UA" w:eastAsia="uk-UA"/>
        </w:rPr>
        <w:t xml:space="preserve"> відповідно до дизайн-коду розроблено та запроваджено регіональну платформу порталів ТГ (далі – Платформа).</w:t>
      </w:r>
    </w:p>
    <w:p w:rsidR="00A378E1" w:rsidRPr="001B5DE3" w:rsidRDefault="00A378E1" w:rsidP="00A378E1">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 xml:space="preserve">Постійно проводиться робота з удосконалення функціонування порталів ТГ та здійснюється підтримка в актуальному стані інформації на ньому відповідними розпорядниками інформації. </w:t>
      </w:r>
    </w:p>
    <w:p w:rsidR="00A378E1" w:rsidRPr="001B5DE3" w:rsidRDefault="00A378E1" w:rsidP="00A378E1">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Цей проєкт реалізовано за фінансової підтримки програми EGAP.</w:t>
      </w:r>
    </w:p>
    <w:p w:rsidR="00A378E1" w:rsidRPr="001B5DE3" w:rsidRDefault="00A378E1" w:rsidP="00A378E1">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На базі Платформи створено 95 сайтів з урахуванням вимог до дизайн-коду: 93 – для органів місцевого самоврядування області і два сайти на замовлення структурних підрозділів Дніпропетровської</w:t>
      </w:r>
      <w:r w:rsidR="008303CF"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облдержадміністрації. Забезпечено дотримання вимог чинного законодавства з питань оприлюднення інформації</w:t>
      </w:r>
      <w:r w:rsidR="008303CF" w:rsidRPr="001B5DE3">
        <w:rPr>
          <w:rFonts w:ascii="Times New Roman" w:hAnsi="Times New Roman" w:cs="Times New Roman"/>
          <w:sz w:val="28"/>
          <w:szCs w:val="28"/>
          <w:lang w:val="uk-UA" w:eastAsia="uk-UA"/>
        </w:rPr>
        <w:t xml:space="preserve"> про діяльність органів влади. У</w:t>
      </w:r>
      <w:r w:rsidRPr="001B5DE3">
        <w:rPr>
          <w:rFonts w:ascii="Times New Roman" w:hAnsi="Times New Roman" w:cs="Times New Roman"/>
          <w:sz w:val="28"/>
          <w:szCs w:val="28"/>
          <w:lang w:val="uk-UA" w:eastAsia="uk-UA"/>
        </w:rPr>
        <w:t>сього запроваджено нові сучасні офіційні сайти для 62 ТГ.</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lastRenderedPageBreak/>
        <w:t xml:space="preserve">Усі ці сайти розміщені на захищеному технічному майданчику </w:t>
      </w:r>
      <w:r w:rsidR="008303CF" w:rsidRPr="001B5DE3">
        <w:rPr>
          <w:rFonts w:ascii="Times New Roman" w:hAnsi="Times New Roman" w:cs="Times New Roman"/>
          <w:sz w:val="28"/>
          <w:szCs w:val="28"/>
          <w:lang w:val="uk-UA" w:eastAsia="uk-UA"/>
        </w:rPr>
        <w:t>т</w:t>
      </w:r>
      <w:r w:rsidRPr="001B5DE3">
        <w:rPr>
          <w:rFonts w:ascii="Times New Roman" w:hAnsi="Times New Roman" w:cs="Times New Roman"/>
          <w:sz w:val="28"/>
          <w:szCs w:val="28"/>
          <w:lang w:val="uk-UA" w:eastAsia="uk-UA"/>
        </w:rPr>
        <w:t>елекомунікаційного центру області, який відповідає усім вимогам чинного законодавства у сфері захисту інформації.</w:t>
      </w:r>
    </w:p>
    <w:p w:rsidR="00A378E1" w:rsidRPr="0037572C" w:rsidRDefault="00A378E1" w:rsidP="0037572C">
      <w:pPr>
        <w:spacing w:after="0" w:line="216" w:lineRule="auto"/>
        <w:ind w:firstLine="709"/>
        <w:jc w:val="both"/>
        <w:rPr>
          <w:rFonts w:ascii="Times New Roman" w:hAnsi="Times New Roman" w:cs="Times New Roman"/>
          <w:sz w:val="28"/>
          <w:szCs w:val="28"/>
          <w:lang w:val="uk-UA" w:eastAsia="uk-UA"/>
        </w:rPr>
      </w:pPr>
      <w:r w:rsidRPr="0037572C">
        <w:rPr>
          <w:rFonts w:ascii="Times New Roman" w:hAnsi="Times New Roman" w:cs="Times New Roman"/>
          <w:sz w:val="28"/>
          <w:szCs w:val="28"/>
          <w:lang w:val="uk-UA" w:eastAsia="uk-UA"/>
        </w:rPr>
        <w:t>Продовжено розвиток та розширення можливостей Регіонального віртуального офісу електронних послуг Дніпропетровської області</w:t>
      </w:r>
      <w:r w:rsidR="0037572C">
        <w:rPr>
          <w:rFonts w:ascii="Times New Roman" w:hAnsi="Times New Roman" w:cs="Times New Roman"/>
          <w:sz w:val="28"/>
          <w:szCs w:val="28"/>
          <w:lang w:val="uk-UA" w:eastAsia="uk-UA"/>
        </w:rPr>
        <w:t xml:space="preserve">                            </w:t>
      </w:r>
      <w:r w:rsidRPr="0037572C">
        <w:rPr>
          <w:rFonts w:ascii="Times New Roman" w:hAnsi="Times New Roman" w:cs="Times New Roman"/>
          <w:sz w:val="28"/>
          <w:szCs w:val="28"/>
          <w:lang w:val="uk-UA" w:eastAsia="uk-UA"/>
        </w:rPr>
        <w:t xml:space="preserve">(e-services.dp.gov.ua). </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37572C">
        <w:rPr>
          <w:rFonts w:ascii="Times New Roman" w:hAnsi="Times New Roman" w:cs="Times New Roman"/>
          <w:sz w:val="28"/>
          <w:szCs w:val="28"/>
          <w:lang w:val="uk-UA" w:eastAsia="uk-UA"/>
        </w:rPr>
        <w:t>За І півріччя 2021 року</w:t>
      </w:r>
      <w:r w:rsidRPr="001B5DE3">
        <w:rPr>
          <w:rFonts w:ascii="Times New Roman" w:hAnsi="Times New Roman" w:cs="Times New Roman"/>
          <w:sz w:val="28"/>
          <w:szCs w:val="28"/>
          <w:lang w:val="uk-UA" w:eastAsia="uk-UA"/>
        </w:rPr>
        <w:t xml:space="preserve"> до Віртуального офісу приєдналося 10 ЦНАП органів місцевого самоврядування.</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Через Віртуальний офіс доступні сервіси отримання інформації про хід розгляду справи через “Особистий кабінет” або SMS-повідомлення</w:t>
      </w:r>
      <w:r w:rsidR="0037572C">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 xml:space="preserve">(понад </w:t>
      </w:r>
      <w:r w:rsidR="0037572C">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122 тис. за І півріччя 20</w:t>
      </w:r>
      <w:r w:rsidR="00F47847" w:rsidRPr="001B5DE3">
        <w:rPr>
          <w:rFonts w:ascii="Times New Roman" w:hAnsi="Times New Roman" w:cs="Times New Roman"/>
          <w:sz w:val="28"/>
          <w:szCs w:val="28"/>
          <w:lang w:val="uk-UA" w:eastAsia="uk-UA"/>
        </w:rPr>
        <w:t>21 року), електронні</w:t>
      </w:r>
      <w:r w:rsidRPr="001B5DE3">
        <w:rPr>
          <w:rFonts w:ascii="Times New Roman" w:hAnsi="Times New Roman" w:cs="Times New Roman"/>
          <w:sz w:val="28"/>
          <w:szCs w:val="28"/>
          <w:lang w:val="uk-UA" w:eastAsia="uk-UA"/>
        </w:rPr>
        <w:t xml:space="preserve"> консультації ЦНАП або суб’єкта надання адміністративних послуг, у тому числі з видачі документів дозвільного характеру (3265 консультацій за І півріччя 2021 року).</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 xml:space="preserve">У рамках розвитку Віртуального офісу та впровадження проєкту “Електронне урядування задля підзвітності влади та участі громади” здійснюється поетапне переведення адміністративних послуг в електронний </w:t>
      </w:r>
      <w:r w:rsidR="00F47847" w:rsidRPr="001B5DE3">
        <w:rPr>
          <w:rFonts w:ascii="Times New Roman" w:hAnsi="Times New Roman" w:cs="Times New Roman"/>
          <w:sz w:val="28"/>
          <w:szCs w:val="28"/>
          <w:lang w:val="uk-UA" w:eastAsia="uk-UA"/>
        </w:rPr>
        <w:t>формат</w:t>
      </w:r>
      <w:r w:rsidRPr="001B5DE3">
        <w:rPr>
          <w:rFonts w:ascii="Times New Roman" w:hAnsi="Times New Roman" w:cs="Times New Roman"/>
          <w:sz w:val="28"/>
          <w:szCs w:val="28"/>
          <w:lang w:val="uk-UA" w:eastAsia="uk-UA"/>
        </w:rPr>
        <w:t>. Через ЦНАП області запроваджено онлайн-сервіси замовлення адміністративних послуг і дозволів як місцевого, так і всеобласного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Запроваджується уніфікований довідник адміністративних послуг, що є інструментом вдосконалення та стандартизації переліку та регламентів адміністративних послуг, які надаються в усіх ЦНАП Дніпропетровської області. Наразі 356 уніфікованих послуг об’єднують більше 5000 послуг, затверджених в  ЦНАП Дніпропетровської області.</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Працює єдиний електронний реєстр справ про адміністративні правопорушення Дніпропетровської області, для створення яко</w:t>
      </w:r>
      <w:r w:rsidR="0096375E" w:rsidRPr="001B5DE3">
        <w:rPr>
          <w:rFonts w:ascii="Times New Roman" w:hAnsi="Times New Roman" w:cs="Times New Roman"/>
          <w:sz w:val="28"/>
          <w:szCs w:val="28"/>
          <w:lang w:val="uk-UA" w:eastAsia="uk-UA"/>
        </w:rPr>
        <w:t>го</w:t>
      </w:r>
      <w:r w:rsidRPr="001B5DE3">
        <w:rPr>
          <w:rFonts w:ascii="Times New Roman" w:hAnsi="Times New Roman" w:cs="Times New Roman"/>
          <w:sz w:val="28"/>
          <w:szCs w:val="28"/>
          <w:lang w:val="uk-UA" w:eastAsia="uk-UA"/>
        </w:rPr>
        <w:t xml:space="preserve"> були використані технічні можливості Віртуального офі</w:t>
      </w:r>
      <w:r w:rsidR="0096375E" w:rsidRPr="001B5DE3">
        <w:rPr>
          <w:rFonts w:ascii="Times New Roman" w:hAnsi="Times New Roman" w:cs="Times New Roman"/>
          <w:sz w:val="28"/>
          <w:szCs w:val="28"/>
          <w:lang w:val="uk-UA" w:eastAsia="uk-UA"/>
        </w:rPr>
        <w:t xml:space="preserve">су. За весь період впровадження </w:t>
      </w:r>
      <w:r w:rsidRPr="001B5DE3">
        <w:rPr>
          <w:rFonts w:ascii="Times New Roman" w:hAnsi="Times New Roman" w:cs="Times New Roman"/>
          <w:sz w:val="28"/>
          <w:szCs w:val="28"/>
          <w:lang w:val="uk-UA" w:eastAsia="uk-UA"/>
        </w:rPr>
        <w:t>обласного</w:t>
      </w:r>
      <w:r w:rsidR="0096375E" w:rsidRPr="001B5DE3">
        <w:rPr>
          <w:rFonts w:ascii="Times New Roman" w:hAnsi="Times New Roman" w:cs="Times New Roman"/>
          <w:sz w:val="28"/>
          <w:szCs w:val="28"/>
          <w:lang w:val="uk-UA" w:eastAsia="uk-UA"/>
        </w:rPr>
        <w:t xml:space="preserve"> Реєстру було зареєстровано 119</w:t>
      </w:r>
      <w:r w:rsidRPr="001B5DE3">
        <w:rPr>
          <w:rFonts w:ascii="Times New Roman" w:hAnsi="Times New Roman" w:cs="Times New Roman"/>
          <w:sz w:val="28"/>
          <w:szCs w:val="28"/>
          <w:lang w:val="uk-UA" w:eastAsia="uk-UA"/>
        </w:rPr>
        <w:t>612 адміністративних правоп</w:t>
      </w:r>
      <w:r w:rsidR="0096375E" w:rsidRPr="001B5DE3">
        <w:rPr>
          <w:rFonts w:ascii="Times New Roman" w:hAnsi="Times New Roman" w:cs="Times New Roman"/>
          <w:sz w:val="28"/>
          <w:szCs w:val="28"/>
          <w:lang w:val="uk-UA" w:eastAsia="uk-UA"/>
        </w:rPr>
        <w:t xml:space="preserve">орушень, з них 2884 </w:t>
      </w:r>
      <w:r w:rsidRPr="001B5DE3">
        <w:rPr>
          <w:rFonts w:ascii="Times New Roman" w:hAnsi="Times New Roman" w:cs="Times New Roman"/>
          <w:sz w:val="28"/>
          <w:szCs w:val="28"/>
          <w:lang w:val="uk-UA" w:eastAsia="uk-UA"/>
        </w:rPr>
        <w:t>за І півріччя 2021 року.</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 xml:space="preserve">Відповідно до завдань Міністерства цифрової трансформації України проведена робота з </w:t>
      </w:r>
      <w:r w:rsidR="00171418" w:rsidRPr="001B5DE3">
        <w:rPr>
          <w:rFonts w:ascii="Times New Roman" w:hAnsi="Times New Roman" w:cs="Times New Roman"/>
          <w:sz w:val="28"/>
          <w:szCs w:val="28"/>
          <w:lang w:val="uk-UA" w:eastAsia="uk-UA"/>
        </w:rPr>
        <w:t>територіальними громадами</w:t>
      </w:r>
      <w:r w:rsidRPr="001B5DE3">
        <w:rPr>
          <w:rFonts w:ascii="Times New Roman" w:hAnsi="Times New Roman" w:cs="Times New Roman"/>
          <w:sz w:val="28"/>
          <w:szCs w:val="28"/>
          <w:lang w:val="uk-UA" w:eastAsia="uk-UA"/>
        </w:rPr>
        <w:t xml:space="preserve"> щодо участі всіх керівників соціальних закладів Дніпропетровської області в опитуванні щодо наявності </w:t>
      </w:r>
      <w:r w:rsidR="0037572C">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в них волоконно-оптичних систем для забезпечення фіксованого широкосмугово</w:t>
      </w:r>
      <w:r w:rsidR="00070C72" w:rsidRPr="001B5DE3">
        <w:rPr>
          <w:rFonts w:ascii="Times New Roman" w:hAnsi="Times New Roman" w:cs="Times New Roman"/>
          <w:sz w:val="28"/>
          <w:szCs w:val="28"/>
          <w:lang w:val="uk-UA" w:eastAsia="uk-UA"/>
        </w:rPr>
        <w:t>го доступу до мережі Інтернет</w:t>
      </w:r>
      <w:r w:rsidR="00E14FE9" w:rsidRPr="001B5DE3">
        <w:rPr>
          <w:rFonts w:ascii="Times New Roman" w:hAnsi="Times New Roman" w:cs="Times New Roman"/>
          <w:sz w:val="28"/>
          <w:szCs w:val="28"/>
          <w:lang w:val="uk-UA" w:eastAsia="uk-UA"/>
        </w:rPr>
        <w:t>у</w:t>
      </w:r>
      <w:r w:rsidR="00070C72"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сільській місцевості.</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 xml:space="preserve">Відповідно до розпорядження голови облдержадміністрації від 31.03.2021 № P-328/0/3-21 “Про організацію виконання рішення Дніпропетровської обласної ради від 23 грудня 2020 року № 10-3/VIІІ “Про програму соціально-економічного та культурного розвитку Дніпропетровської області на 2021 рік” здійснюється щоквартальний моніторинг підключення соціальних об’єктів, що повинні бути забезпечені фіксованим широкосмуговим доступом до </w:t>
      </w:r>
      <w:r w:rsidR="00070C72"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нтернет</w:t>
      </w:r>
      <w:r w:rsidR="00070C72" w:rsidRPr="001B5DE3">
        <w:rPr>
          <w:rFonts w:ascii="Times New Roman" w:hAnsi="Times New Roman" w:cs="Times New Roman"/>
          <w:sz w:val="28"/>
          <w:szCs w:val="28"/>
          <w:lang w:val="uk-UA" w:eastAsia="uk-UA"/>
        </w:rPr>
        <w:t>у</w:t>
      </w:r>
      <w:r w:rsidRPr="001B5DE3">
        <w:rPr>
          <w:rFonts w:ascii="Times New Roman" w:hAnsi="Times New Roman" w:cs="Times New Roman"/>
          <w:sz w:val="28"/>
          <w:szCs w:val="28"/>
          <w:lang w:val="uk-UA" w:eastAsia="uk-UA"/>
        </w:rPr>
        <w:t xml:space="preserve"> із швидкістю не менше 100 Мбіт/с.</w:t>
      </w:r>
    </w:p>
    <w:p w:rsidR="00A378E1" w:rsidRPr="001B5DE3" w:rsidRDefault="00A378E1" w:rsidP="0037572C">
      <w:pPr>
        <w:spacing w:after="0" w:line="216"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Загальна кількість об’єктів, що повинні бути забезпечені фіксова</w:t>
      </w:r>
      <w:r w:rsidR="00070C72" w:rsidRPr="001B5DE3">
        <w:rPr>
          <w:rFonts w:ascii="Times New Roman" w:hAnsi="Times New Roman" w:cs="Times New Roman"/>
          <w:sz w:val="28"/>
          <w:szCs w:val="28"/>
          <w:lang w:val="uk-UA" w:eastAsia="uk-UA"/>
        </w:rPr>
        <w:t>ним широкосмуговим доступом до і</w:t>
      </w:r>
      <w:r w:rsidRPr="001B5DE3">
        <w:rPr>
          <w:rFonts w:ascii="Times New Roman" w:hAnsi="Times New Roman" w:cs="Times New Roman"/>
          <w:sz w:val="28"/>
          <w:szCs w:val="28"/>
          <w:lang w:val="uk-UA" w:eastAsia="uk-UA"/>
        </w:rPr>
        <w:t>нтернет</w:t>
      </w:r>
      <w:r w:rsidR="00070C72" w:rsidRPr="001B5DE3">
        <w:rPr>
          <w:rFonts w:ascii="Times New Roman" w:hAnsi="Times New Roman" w:cs="Times New Roman"/>
          <w:sz w:val="28"/>
          <w:szCs w:val="28"/>
          <w:lang w:val="uk-UA" w:eastAsia="uk-UA"/>
        </w:rPr>
        <w:t>у</w:t>
      </w:r>
      <w:r w:rsidRPr="001B5DE3">
        <w:rPr>
          <w:rFonts w:ascii="Times New Roman" w:hAnsi="Times New Roman" w:cs="Times New Roman"/>
          <w:sz w:val="28"/>
          <w:szCs w:val="28"/>
          <w:lang w:val="uk-UA" w:eastAsia="uk-UA"/>
        </w:rPr>
        <w:t xml:space="preserve"> із швидкістю не менше 100 Мбіт/с</w:t>
      </w:r>
      <w:r w:rsidR="00070C72" w:rsidRPr="001B5DE3">
        <w:rPr>
          <w:rFonts w:ascii="Times New Roman" w:hAnsi="Times New Roman" w:cs="Times New Roman"/>
          <w:sz w:val="28"/>
          <w:szCs w:val="28"/>
          <w:lang w:val="uk-UA" w:eastAsia="uk-UA"/>
        </w:rPr>
        <w:t>,</w:t>
      </w:r>
      <w:r w:rsidRPr="001B5DE3">
        <w:rPr>
          <w:rFonts w:ascii="Times New Roman" w:hAnsi="Times New Roman" w:cs="Times New Roman"/>
          <w:sz w:val="28"/>
          <w:szCs w:val="28"/>
          <w:lang w:val="uk-UA" w:eastAsia="uk-UA"/>
        </w:rPr>
        <w:t xml:space="preserve"> – 5912 од. Кількість об’єктів, які забезпечені фіксованим широкосмуговим доступом до </w:t>
      </w:r>
      <w:r w:rsidR="00070C72"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нтернет</w:t>
      </w:r>
      <w:r w:rsidR="00070C72" w:rsidRPr="001B5DE3">
        <w:rPr>
          <w:rFonts w:ascii="Times New Roman" w:hAnsi="Times New Roman" w:cs="Times New Roman"/>
          <w:sz w:val="28"/>
          <w:szCs w:val="28"/>
          <w:lang w:val="uk-UA" w:eastAsia="uk-UA"/>
        </w:rPr>
        <w:t>у</w:t>
      </w:r>
      <w:r w:rsidRPr="001B5DE3">
        <w:rPr>
          <w:rFonts w:ascii="Times New Roman" w:hAnsi="Times New Roman" w:cs="Times New Roman"/>
          <w:sz w:val="28"/>
          <w:szCs w:val="28"/>
          <w:lang w:val="uk-UA" w:eastAsia="uk-UA"/>
        </w:rPr>
        <w:t xml:space="preserve"> із швидкістю не менше 100 Мбіт/с</w:t>
      </w:r>
      <w:r w:rsidR="000C7B47" w:rsidRPr="001B5DE3">
        <w:rPr>
          <w:rFonts w:ascii="Times New Roman" w:hAnsi="Times New Roman" w:cs="Times New Roman"/>
          <w:sz w:val="28"/>
          <w:szCs w:val="28"/>
          <w:lang w:val="uk-UA" w:eastAsia="uk-UA"/>
        </w:rPr>
        <w:t>,</w:t>
      </w:r>
      <w:r w:rsidRPr="001B5DE3">
        <w:rPr>
          <w:rFonts w:ascii="Times New Roman" w:hAnsi="Times New Roman" w:cs="Times New Roman"/>
          <w:sz w:val="28"/>
          <w:szCs w:val="28"/>
          <w:lang w:val="uk-UA" w:eastAsia="uk-UA"/>
        </w:rPr>
        <w:t xml:space="preserve"> – 1559 од. (значення показника з урахуванням реформування районів області). Кількість об’єктів, в яких створено WiFi-мережу для забезпечення відкритого безкоштовного доступу відвідувачів до </w:t>
      </w:r>
      <w:r w:rsidR="000C7B47"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нтернет</w:t>
      </w:r>
      <w:r w:rsidR="000C7B47" w:rsidRPr="001B5DE3">
        <w:rPr>
          <w:rFonts w:ascii="Times New Roman" w:hAnsi="Times New Roman" w:cs="Times New Roman"/>
          <w:sz w:val="28"/>
          <w:szCs w:val="28"/>
          <w:lang w:val="uk-UA" w:eastAsia="uk-UA"/>
        </w:rPr>
        <w:t>у,</w:t>
      </w:r>
      <w:r w:rsidRPr="001B5DE3">
        <w:rPr>
          <w:rFonts w:ascii="Times New Roman" w:hAnsi="Times New Roman" w:cs="Times New Roman"/>
          <w:sz w:val="28"/>
          <w:szCs w:val="28"/>
          <w:lang w:val="uk-UA" w:eastAsia="uk-UA"/>
        </w:rPr>
        <w:t xml:space="preserve"> – 1603 од.</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lastRenderedPageBreak/>
        <w:t>Разом з тим, за оперативними даними</w:t>
      </w:r>
      <w:r w:rsidR="000C7B47" w:rsidRPr="001B5DE3">
        <w:rPr>
          <w:rFonts w:ascii="Times New Roman" w:hAnsi="Times New Roman" w:cs="Times New Roman"/>
          <w:sz w:val="28"/>
          <w:szCs w:val="28"/>
          <w:lang w:val="uk-UA" w:eastAsia="uk-UA"/>
        </w:rPr>
        <w:t>,</w:t>
      </w:r>
      <w:r w:rsidRPr="001B5DE3">
        <w:rPr>
          <w:rFonts w:ascii="Times New Roman" w:hAnsi="Times New Roman" w:cs="Times New Roman"/>
          <w:sz w:val="28"/>
          <w:szCs w:val="28"/>
          <w:lang w:val="uk-UA" w:eastAsia="uk-UA"/>
        </w:rPr>
        <w:t xml:space="preserve"> 2167 соціальних об’єктів забезпечено фіксованим широкосмуговим доступом до </w:t>
      </w:r>
      <w:r w:rsidR="000C7B47"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 xml:space="preserve">нтернету із швидкістю від 5 до 100 Мбіт/с. Тобто всього з 5906 соціальних об’єктів доступом до </w:t>
      </w:r>
      <w:r w:rsidR="000C7B47" w:rsidRPr="001B5DE3">
        <w:rPr>
          <w:rFonts w:ascii="Times New Roman" w:hAnsi="Times New Roman" w:cs="Times New Roman"/>
          <w:sz w:val="28"/>
          <w:szCs w:val="28"/>
          <w:lang w:val="uk-UA" w:eastAsia="uk-UA"/>
        </w:rPr>
        <w:t>інтернету забезпечено 3726</w:t>
      </w:r>
      <w:r w:rsidRPr="001B5DE3">
        <w:rPr>
          <w:rFonts w:ascii="Times New Roman" w:hAnsi="Times New Roman" w:cs="Times New Roman"/>
          <w:sz w:val="28"/>
          <w:szCs w:val="28"/>
          <w:lang w:val="uk-UA" w:eastAsia="uk-UA"/>
        </w:rPr>
        <w:t xml:space="preserve"> або 63,02%.</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Продовжується робота щодо використання</w:t>
      </w:r>
      <w:r w:rsidR="000C7B47"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територіальними громадами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У рамках проєкту пі</w:t>
      </w:r>
      <w:r w:rsidR="00233AC4" w:rsidRPr="001B5DE3">
        <w:rPr>
          <w:rFonts w:ascii="Times New Roman" w:hAnsi="Times New Roman" w:cs="Times New Roman"/>
          <w:sz w:val="28"/>
          <w:szCs w:val="28"/>
          <w:lang w:val="uk-UA" w:eastAsia="uk-UA"/>
        </w:rPr>
        <w:t>дключення до швидкісної мережі І</w:t>
      </w:r>
      <w:r w:rsidRPr="001B5DE3">
        <w:rPr>
          <w:rFonts w:ascii="Times New Roman" w:hAnsi="Times New Roman" w:cs="Times New Roman"/>
          <w:sz w:val="28"/>
          <w:szCs w:val="28"/>
          <w:lang w:val="uk-UA" w:eastAsia="uk-UA"/>
        </w:rPr>
        <w:t xml:space="preserve">нтернет сільських територій триває робота з відповідними провайдерами щодо підключення соціальних об’єктів області до швидкісної мережі Інтернет. </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Опрацьовується план щодо розвитку телекомунікаційних послуг у сільських територіях. Оператори визначають можливі обсяги інвестування у зазначений проєкт.</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 xml:space="preserve">За результатами засідання комісії Мінцифри 33 громади Дніпропетровської область отримали </w:t>
      </w:r>
      <w:r w:rsidR="00233AC4" w:rsidRPr="001B5DE3">
        <w:rPr>
          <w:rFonts w:ascii="Times New Roman" w:hAnsi="Times New Roman" w:cs="Times New Roman"/>
          <w:sz w:val="28"/>
          <w:szCs w:val="28"/>
          <w:lang w:val="uk-UA" w:eastAsia="uk-UA"/>
        </w:rPr>
        <w:t>і</w:t>
      </w:r>
      <w:r w:rsidRPr="001B5DE3">
        <w:rPr>
          <w:rFonts w:ascii="Times New Roman" w:hAnsi="Times New Roman" w:cs="Times New Roman"/>
          <w:sz w:val="28"/>
          <w:szCs w:val="28"/>
          <w:lang w:val="uk-UA" w:eastAsia="uk-UA"/>
        </w:rPr>
        <w:t>нтернет-субвенцію на 114 населених пунктів (погоджена сума фінансування 15 114 097 грн). Загальна кількість соціальних об’єктів, які планується підключити до фіксованого широкосмугов</w:t>
      </w:r>
      <w:r w:rsidR="00233AC4" w:rsidRPr="001B5DE3">
        <w:rPr>
          <w:rFonts w:ascii="Times New Roman" w:hAnsi="Times New Roman" w:cs="Times New Roman"/>
          <w:sz w:val="28"/>
          <w:szCs w:val="28"/>
          <w:lang w:val="uk-UA" w:eastAsia="uk-UA"/>
        </w:rPr>
        <w:t>ого доступу до мережі Інтернет,</w:t>
      </w:r>
      <w:r w:rsidR="00B00073"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 xml:space="preserve"> 308.</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Проведено заходи щодо сприяння навчанню населення області на державному порталі “ДІЯ. Цифрова освіта”. Проводиться робота щодо публікацій (передач) у засобах масової (телебачення, офіційні сайти, газети та ін.) інформації щодо популяризації навчання на державному порталі “ДІЯ. Цифрова освіта”. Станом на 01</w:t>
      </w:r>
      <w:r w:rsidR="00B00073" w:rsidRPr="001B5DE3">
        <w:rPr>
          <w:rFonts w:ascii="Times New Roman" w:hAnsi="Times New Roman" w:cs="Times New Roman"/>
          <w:sz w:val="28"/>
          <w:szCs w:val="28"/>
          <w:lang w:val="uk-UA" w:eastAsia="uk-UA"/>
        </w:rPr>
        <w:t xml:space="preserve"> </w:t>
      </w:r>
      <w:r w:rsidRPr="001B5DE3">
        <w:rPr>
          <w:rFonts w:ascii="Times New Roman" w:hAnsi="Times New Roman" w:cs="Times New Roman"/>
          <w:sz w:val="28"/>
          <w:szCs w:val="28"/>
          <w:lang w:val="uk-UA" w:eastAsia="uk-UA"/>
        </w:rPr>
        <w:t>липня 2021 року кількість публікацій (передач) у засобах масової інформації щодо популяризації навчання на державному порталі “ДІЯ. Цифрова освіта” складає понад 300 одиниць.</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У Дніпропетровській області активно беруть участь у розвитку своїх міст та містечок, використовуючи інструмент е-демократії</w:t>
      </w:r>
      <w:r w:rsidR="00B00073" w:rsidRPr="001B5DE3">
        <w:rPr>
          <w:rFonts w:ascii="Times New Roman" w:hAnsi="Times New Roman" w:cs="Times New Roman"/>
          <w:sz w:val="28"/>
          <w:szCs w:val="28"/>
          <w:lang w:val="uk-UA" w:eastAsia="uk-UA"/>
        </w:rPr>
        <w:t xml:space="preserve"> – </w:t>
      </w:r>
      <w:r w:rsidRPr="001B5DE3">
        <w:rPr>
          <w:rFonts w:ascii="Times New Roman" w:hAnsi="Times New Roman" w:cs="Times New Roman"/>
          <w:sz w:val="28"/>
          <w:szCs w:val="28"/>
          <w:lang w:val="uk-UA" w:eastAsia="uk-UA"/>
        </w:rPr>
        <w:t>першу українську платформу e-DEM, вже 48 територіальних громад.</w:t>
      </w:r>
    </w:p>
    <w:p w:rsidR="00A378E1" w:rsidRPr="001B5DE3" w:rsidRDefault="00A378E1" w:rsidP="003E3BBE">
      <w:pPr>
        <w:spacing w:after="0" w:line="240" w:lineRule="auto"/>
        <w:ind w:firstLine="709"/>
        <w:jc w:val="both"/>
        <w:rPr>
          <w:rFonts w:ascii="Times New Roman" w:hAnsi="Times New Roman" w:cs="Times New Roman"/>
          <w:sz w:val="28"/>
          <w:szCs w:val="28"/>
          <w:lang w:val="uk-UA" w:eastAsia="uk-UA"/>
        </w:rPr>
      </w:pPr>
      <w:r w:rsidRPr="001B5DE3">
        <w:rPr>
          <w:rFonts w:ascii="Times New Roman" w:hAnsi="Times New Roman" w:cs="Times New Roman"/>
          <w:sz w:val="28"/>
          <w:szCs w:val="28"/>
          <w:lang w:val="uk-UA" w:eastAsia="uk-UA"/>
        </w:rPr>
        <w:t>До сервіс</w:t>
      </w:r>
      <w:r w:rsidR="00B00073" w:rsidRPr="001B5DE3">
        <w:rPr>
          <w:rFonts w:ascii="Times New Roman" w:hAnsi="Times New Roman" w:cs="Times New Roman"/>
          <w:sz w:val="28"/>
          <w:szCs w:val="28"/>
          <w:lang w:val="uk-UA" w:eastAsia="uk-UA"/>
        </w:rPr>
        <w:t>ів</w:t>
      </w:r>
      <w:r w:rsidRPr="001B5DE3">
        <w:rPr>
          <w:rFonts w:ascii="Times New Roman" w:hAnsi="Times New Roman" w:cs="Times New Roman"/>
          <w:sz w:val="28"/>
          <w:szCs w:val="28"/>
          <w:lang w:val="uk-UA" w:eastAsia="uk-UA"/>
        </w:rPr>
        <w:t xml:space="preserve"> “Е-петиції” підключились 24 громади, “Громадський </w:t>
      </w:r>
      <w:r w:rsidRPr="001B5DE3">
        <w:rPr>
          <w:rFonts w:ascii="Times New Roman" w:hAnsi="Times New Roman" w:cs="Times New Roman"/>
          <w:sz w:val="28"/>
          <w:szCs w:val="28"/>
          <w:lang w:val="uk-UA" w:eastAsia="uk-UA"/>
        </w:rPr>
        <w:br/>
        <w:t xml:space="preserve">бюджет” – 9 громад, “Відкрите місто” – 12 та “Консультації з </w:t>
      </w:r>
      <w:r w:rsidR="00E14FE9" w:rsidRPr="001B5DE3">
        <w:rPr>
          <w:rFonts w:ascii="Times New Roman" w:hAnsi="Times New Roman" w:cs="Times New Roman"/>
          <w:sz w:val="28"/>
          <w:szCs w:val="28"/>
          <w:lang w:val="uk-UA" w:eastAsia="uk-UA"/>
        </w:rPr>
        <w:br/>
      </w:r>
      <w:r w:rsidRPr="001B5DE3">
        <w:rPr>
          <w:rFonts w:ascii="Times New Roman" w:hAnsi="Times New Roman" w:cs="Times New Roman"/>
          <w:sz w:val="28"/>
          <w:szCs w:val="28"/>
          <w:lang w:val="uk-UA" w:eastAsia="uk-UA"/>
        </w:rPr>
        <w:t>громадськістю” – 6.</w:t>
      </w:r>
    </w:p>
    <w:p w:rsidR="00CC3037" w:rsidRPr="001B5DE3" w:rsidRDefault="00CC3037" w:rsidP="003E3BBE">
      <w:pPr>
        <w:pStyle w:val="af3"/>
        <w:tabs>
          <w:tab w:val="left" w:pos="-720"/>
        </w:tabs>
        <w:spacing w:before="0" w:beforeAutospacing="0" w:after="0" w:afterAutospacing="0"/>
        <w:ind w:firstLine="709"/>
        <w:jc w:val="both"/>
        <w:rPr>
          <w:color w:val="auto"/>
          <w:lang w:val="uk-UA"/>
        </w:rPr>
      </w:pPr>
    </w:p>
    <w:p w:rsidR="00CC3037" w:rsidRPr="001B5DE3" w:rsidRDefault="00CC3037" w:rsidP="003E3BBE">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Розвиток інформаційного простору</w:t>
      </w:r>
    </w:p>
    <w:p w:rsidR="00545702" w:rsidRPr="001B5DE3" w:rsidRDefault="00545702" w:rsidP="003E3BBE">
      <w:pPr>
        <w:spacing w:after="0" w:line="240" w:lineRule="auto"/>
        <w:rPr>
          <w:rFonts w:ascii="Times New Roman" w:hAnsi="Times New Roman" w:cs="Times New Roman"/>
          <w:b/>
          <w:sz w:val="16"/>
          <w:szCs w:val="16"/>
          <w:lang w:val="uk-UA"/>
        </w:rPr>
      </w:pPr>
    </w:p>
    <w:p w:rsidR="00D86574" w:rsidRPr="001B5DE3" w:rsidRDefault="00D86574" w:rsidP="003E3BBE">
      <w:pPr>
        <w:spacing w:after="0" w:line="240" w:lineRule="auto"/>
        <w:ind w:firstLine="709"/>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Протягом І півріччя 2021 року  з дотриманням вимог 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коронавірусом SARS-CoV-2” (із змінами) проводилися наради, робо</w:t>
      </w:r>
      <w:r w:rsidR="00053805" w:rsidRPr="001B5DE3">
        <w:rPr>
          <w:rFonts w:ascii="Times New Roman" w:hAnsi="Times New Roman" w:cs="Times New Roman"/>
          <w:sz w:val="28"/>
          <w:lang w:val="uk-UA" w:eastAsia="uk-UA"/>
        </w:rPr>
        <w:t>чі зустрічі, круглі столи, прес</w:t>
      </w:r>
      <w:r w:rsidRPr="001B5DE3">
        <w:rPr>
          <w:rFonts w:ascii="Times New Roman" w:hAnsi="Times New Roman" w:cs="Times New Roman"/>
          <w:sz w:val="28"/>
          <w:lang w:val="uk-UA" w:eastAsia="uk-UA"/>
        </w:rPr>
        <w:t xml:space="preserve">конференції, брифінги, щотижневі публічні звіти про роботу </w:t>
      </w:r>
      <w:r w:rsidR="00053805" w:rsidRPr="001B5DE3">
        <w:rPr>
          <w:rFonts w:ascii="Times New Roman" w:hAnsi="Times New Roman" w:cs="Times New Roman"/>
          <w:sz w:val="28"/>
          <w:lang w:val="uk-UA" w:eastAsia="uk-UA"/>
        </w:rPr>
        <w:t>облдержадміністрації</w:t>
      </w:r>
      <w:r w:rsidRPr="001B5DE3">
        <w:rPr>
          <w:rFonts w:ascii="Times New Roman" w:hAnsi="Times New Roman" w:cs="Times New Roman"/>
          <w:sz w:val="28"/>
          <w:lang w:val="uk-UA" w:eastAsia="uk-UA"/>
        </w:rPr>
        <w:t>, урочисті заходи за участю керівників місцевих органів виконавчої влади, органів місцевого самоврядування, їх структурних підрозділів з журналістами. Усі заходи супроводжувалися розміщенням релізів на сайті облдержадміністрації, широким висвітленням у друкованих та електронних ЗМІ.</w:t>
      </w:r>
    </w:p>
    <w:p w:rsidR="00D86574" w:rsidRPr="001B5DE3" w:rsidRDefault="00D86574" w:rsidP="00053805">
      <w:pPr>
        <w:spacing w:after="0" w:line="240" w:lineRule="auto"/>
        <w:ind w:firstLine="709"/>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lastRenderedPageBreak/>
        <w:t>Щоденно готувалас</w:t>
      </w:r>
      <w:r w:rsidR="00053805" w:rsidRPr="001B5DE3">
        <w:rPr>
          <w:rFonts w:ascii="Times New Roman" w:hAnsi="Times New Roman" w:cs="Times New Roman"/>
          <w:sz w:val="28"/>
          <w:lang w:val="uk-UA" w:eastAsia="uk-UA"/>
        </w:rPr>
        <w:t>я</w:t>
      </w:r>
      <w:r w:rsidRPr="001B5DE3">
        <w:rPr>
          <w:rFonts w:ascii="Times New Roman" w:hAnsi="Times New Roman" w:cs="Times New Roman"/>
          <w:sz w:val="28"/>
          <w:lang w:val="uk-UA" w:eastAsia="uk-UA"/>
        </w:rPr>
        <w:t xml:space="preserve"> та доводилася до редакцій ЗМІ та усіх інтернет-ресурсів регіону оперативна та достовірна інформація з питань діяльності обласної державної адміністрації, а також актуальних питань державної інформаційної політики.</w:t>
      </w:r>
    </w:p>
    <w:p w:rsidR="00D86574" w:rsidRPr="001B5DE3" w:rsidRDefault="00D86574" w:rsidP="00053805">
      <w:pPr>
        <w:spacing w:after="0" w:line="240" w:lineRule="auto"/>
        <w:ind w:firstLine="709"/>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З</w:t>
      </w:r>
      <w:r w:rsidR="00395A6B" w:rsidRPr="001B5DE3">
        <w:rPr>
          <w:rFonts w:ascii="Times New Roman" w:hAnsi="Times New Roman" w:cs="Times New Roman"/>
          <w:sz w:val="28"/>
          <w:lang w:val="uk-UA" w:eastAsia="uk-UA"/>
        </w:rPr>
        <w:t>абезпечено</w:t>
      </w:r>
      <w:r w:rsidRPr="001B5DE3">
        <w:rPr>
          <w:rFonts w:ascii="Times New Roman" w:hAnsi="Times New Roman" w:cs="Times New Roman"/>
          <w:sz w:val="28"/>
          <w:lang w:val="uk-UA" w:eastAsia="uk-UA"/>
        </w:rPr>
        <w:t xml:space="preserve"> всебічний моніторинг засобів масової інформації та комунікацій на предмет інформаційної безпеки з метою оперативного реагування на прояви сепаратизму та тероризму; щодо пріоритетних питань державної політики, діяльності центральних та місцевих органів виконавчої влади та місцевого самоврядування; здійснюється моніторинг медіаактивності керівництва облдержадміністрації у засобах масової інформації </w:t>
      </w:r>
      <w:r w:rsidR="00395A6B" w:rsidRPr="001B5DE3">
        <w:rPr>
          <w:rFonts w:ascii="Times New Roman" w:hAnsi="Times New Roman" w:cs="Times New Roman"/>
          <w:sz w:val="28"/>
          <w:lang w:val="uk-UA" w:eastAsia="uk-UA"/>
        </w:rPr>
        <w:t>та у мережі Інтернет; забезпечуються</w:t>
      </w:r>
      <w:r w:rsidRPr="001B5DE3">
        <w:rPr>
          <w:rFonts w:ascii="Times New Roman" w:hAnsi="Times New Roman" w:cs="Times New Roman"/>
          <w:sz w:val="28"/>
          <w:lang w:val="uk-UA" w:eastAsia="uk-UA"/>
        </w:rPr>
        <w:t xml:space="preserve"> інформаційні та організаційні послуги щодо висвітлення діяльності органів виконавчої влади й органів місцевого самоврядування області через інформаційні агентств</w:t>
      </w:r>
      <w:r w:rsidR="00053805" w:rsidRPr="001B5DE3">
        <w:rPr>
          <w:rFonts w:ascii="Times New Roman" w:hAnsi="Times New Roman" w:cs="Times New Roman"/>
          <w:sz w:val="28"/>
          <w:lang w:val="uk-UA" w:eastAsia="uk-UA"/>
        </w:rPr>
        <w:t>а мережі Інтернет (офіційні веб</w:t>
      </w:r>
      <w:r w:rsidRPr="001B5DE3">
        <w:rPr>
          <w:rFonts w:ascii="Times New Roman" w:hAnsi="Times New Roman" w:cs="Times New Roman"/>
          <w:sz w:val="28"/>
          <w:lang w:val="uk-UA" w:eastAsia="uk-UA"/>
        </w:rPr>
        <w:t>сайти).</w:t>
      </w:r>
    </w:p>
    <w:p w:rsidR="00D86574" w:rsidRPr="001B5DE3" w:rsidRDefault="00D86574" w:rsidP="00D86574">
      <w:pPr>
        <w:autoSpaceDE w:val="0"/>
        <w:autoSpaceDN w:val="0"/>
        <w:adjustRightInd w:val="0"/>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Представники облдержадміністрації систематично брали участь у програма</w:t>
      </w:r>
      <w:r w:rsidR="00395A6B" w:rsidRPr="001B5DE3">
        <w:rPr>
          <w:rFonts w:ascii="Times New Roman" w:hAnsi="Times New Roman" w:cs="Times New Roman"/>
          <w:sz w:val="28"/>
          <w:lang w:val="uk-UA" w:eastAsia="uk-UA"/>
        </w:rPr>
        <w:t>х</w:t>
      </w:r>
      <w:r w:rsidRPr="001B5DE3">
        <w:rPr>
          <w:rFonts w:ascii="Times New Roman" w:hAnsi="Times New Roman" w:cs="Times New Roman"/>
          <w:sz w:val="28"/>
          <w:lang w:val="uk-UA" w:eastAsia="uk-UA"/>
        </w:rPr>
        <w:t>: “Грані” на 34 телеканалі, “Актуальне інтерв’ю” та “Васильевский остров” на 11 телеканалі, “Шах і мат” на телеканалі “Відкритий”, “Тема” на телеканалі “ТОВ”, “Твій ранок” та “Твій вечір” на телеканалі “ДніпроTV”, “Сьогодні. Головне” на телеканалі “UA:Дніпро”.</w:t>
      </w:r>
    </w:p>
    <w:p w:rsidR="00D86574" w:rsidRPr="001B5DE3" w:rsidRDefault="00D86574" w:rsidP="00D86574">
      <w:pPr>
        <w:autoSpaceDE w:val="0"/>
        <w:autoSpaceDN w:val="0"/>
        <w:adjustRightInd w:val="0"/>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 xml:space="preserve">Протягом звітного періоду за участю керівництва облдержадміністрації та структурних підрозділів відбулося 10 круглих столів, 38 </w:t>
      </w:r>
      <w:r w:rsidR="004E25D8" w:rsidRPr="001B5DE3">
        <w:rPr>
          <w:rFonts w:ascii="Times New Roman" w:hAnsi="Times New Roman" w:cs="Times New Roman"/>
          <w:sz w:val="28"/>
          <w:lang w:val="uk-UA" w:eastAsia="uk-UA"/>
        </w:rPr>
        <w:t xml:space="preserve">пресконференцій, </w:t>
      </w:r>
      <w:r w:rsidR="00DB7B45" w:rsidRPr="001B5DE3">
        <w:rPr>
          <w:rFonts w:ascii="Times New Roman" w:hAnsi="Times New Roman" w:cs="Times New Roman"/>
          <w:sz w:val="28"/>
          <w:lang w:val="uk-UA" w:eastAsia="uk-UA"/>
        </w:rPr>
        <w:br/>
      </w:r>
      <w:r w:rsidRPr="001B5DE3">
        <w:rPr>
          <w:rFonts w:ascii="Times New Roman" w:hAnsi="Times New Roman" w:cs="Times New Roman"/>
          <w:sz w:val="28"/>
          <w:lang w:val="uk-UA" w:eastAsia="uk-UA"/>
        </w:rPr>
        <w:t>24 публічних звіт</w:t>
      </w:r>
      <w:r w:rsidR="00944D13" w:rsidRPr="001B5DE3">
        <w:rPr>
          <w:rFonts w:ascii="Times New Roman" w:hAnsi="Times New Roman" w:cs="Times New Roman"/>
          <w:sz w:val="28"/>
          <w:lang w:val="uk-UA" w:eastAsia="uk-UA"/>
        </w:rPr>
        <w:t>и</w:t>
      </w:r>
      <w:r w:rsidRPr="001B5DE3">
        <w:rPr>
          <w:rFonts w:ascii="Times New Roman" w:hAnsi="Times New Roman" w:cs="Times New Roman"/>
          <w:sz w:val="28"/>
          <w:lang w:val="uk-UA" w:eastAsia="uk-UA"/>
        </w:rPr>
        <w:t xml:space="preserve"> щодо роботи облдержадміністрації, 24 брифінги стосовно ситуації із захворюванням  на COVID-19.</w:t>
      </w:r>
    </w:p>
    <w:p w:rsidR="00D86574" w:rsidRPr="001B5DE3" w:rsidRDefault="00D86574" w:rsidP="00D86574">
      <w:pPr>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Протягом І півріччя 2021 року в засобах масової інформації опубліковано 25697 інформаційних повідомлень про діяльність облд</w:t>
      </w:r>
      <w:r w:rsidR="00B0449F" w:rsidRPr="001B5DE3">
        <w:rPr>
          <w:rFonts w:ascii="Times New Roman" w:hAnsi="Times New Roman" w:cs="Times New Roman"/>
          <w:sz w:val="28"/>
          <w:lang w:val="uk-UA" w:eastAsia="uk-UA"/>
        </w:rPr>
        <w:t>ержадміністрації, з них: 23752 – у регіональних та 1255 –</w:t>
      </w:r>
      <w:r w:rsidRPr="001B5DE3">
        <w:rPr>
          <w:rFonts w:ascii="Times New Roman" w:hAnsi="Times New Roman" w:cs="Times New Roman"/>
          <w:sz w:val="28"/>
          <w:lang w:val="uk-UA" w:eastAsia="uk-UA"/>
        </w:rPr>
        <w:t xml:space="preserve"> у національних засобах масової інформації, у тому числі: 3406 відеоматеріалів,</w:t>
      </w:r>
      <w:r w:rsidR="00DB7B45" w:rsidRPr="001B5DE3">
        <w:rPr>
          <w:rFonts w:ascii="Times New Roman" w:hAnsi="Times New Roman" w:cs="Times New Roman"/>
          <w:sz w:val="28"/>
          <w:lang w:val="uk-UA" w:eastAsia="uk-UA"/>
        </w:rPr>
        <w:t xml:space="preserve"> </w:t>
      </w:r>
      <w:r w:rsidRPr="001B5DE3">
        <w:rPr>
          <w:rFonts w:ascii="Times New Roman" w:hAnsi="Times New Roman" w:cs="Times New Roman"/>
          <w:sz w:val="28"/>
          <w:lang w:val="uk-UA" w:eastAsia="uk-UA"/>
        </w:rPr>
        <w:t>698 публікацій у друкованих ЗМІ,</w:t>
      </w:r>
      <w:r w:rsidR="00944D13" w:rsidRPr="001B5DE3">
        <w:rPr>
          <w:rFonts w:ascii="Times New Roman" w:hAnsi="Times New Roman" w:cs="Times New Roman"/>
          <w:sz w:val="28"/>
          <w:lang w:val="uk-UA" w:eastAsia="uk-UA"/>
        </w:rPr>
        <w:t xml:space="preserve"> </w:t>
      </w:r>
      <w:r w:rsidR="00DB7B45" w:rsidRPr="001B5DE3">
        <w:rPr>
          <w:rFonts w:ascii="Times New Roman" w:hAnsi="Times New Roman" w:cs="Times New Roman"/>
          <w:sz w:val="28"/>
          <w:lang w:val="uk-UA" w:eastAsia="uk-UA"/>
        </w:rPr>
        <w:br/>
      </w:r>
      <w:r w:rsidR="000E589E" w:rsidRPr="001B5DE3">
        <w:rPr>
          <w:rFonts w:ascii="Times New Roman" w:hAnsi="Times New Roman" w:cs="Times New Roman"/>
          <w:sz w:val="28"/>
          <w:lang w:val="uk-UA" w:eastAsia="uk-UA"/>
        </w:rPr>
        <w:t>21603 інтернет-</w:t>
      </w:r>
      <w:r w:rsidRPr="001B5DE3">
        <w:rPr>
          <w:rFonts w:ascii="Times New Roman" w:hAnsi="Times New Roman" w:cs="Times New Roman"/>
          <w:sz w:val="28"/>
          <w:lang w:val="uk-UA" w:eastAsia="uk-UA"/>
        </w:rPr>
        <w:t>публікації.</w:t>
      </w:r>
    </w:p>
    <w:p w:rsidR="00D86574" w:rsidRPr="001B5DE3" w:rsidRDefault="00D86574" w:rsidP="00D86574">
      <w:pPr>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Забезпечено проведення інформаційно-роз’яснювальної роботи щодо військово-політичної ситуації в країні та заходів безпеки щодо попередження терористичної загрози, реформування місцевого самоврядування та завершення  децентралізації, про роботу органів влади стосовно надання соціальної та психологічної допомоги учасникам АТО та вимушеним переселенцям із зони антитерори</w:t>
      </w:r>
      <w:r w:rsidR="00E46097" w:rsidRPr="001B5DE3">
        <w:rPr>
          <w:rFonts w:ascii="Times New Roman" w:hAnsi="Times New Roman" w:cs="Times New Roman"/>
          <w:sz w:val="28"/>
          <w:lang w:val="uk-UA" w:eastAsia="uk-UA"/>
        </w:rPr>
        <w:t xml:space="preserve">стичної операції, впровадження </w:t>
      </w:r>
      <w:r w:rsidRPr="001B5DE3">
        <w:rPr>
          <w:rFonts w:ascii="Times New Roman" w:hAnsi="Times New Roman" w:cs="Times New Roman"/>
          <w:sz w:val="28"/>
          <w:lang w:val="uk-UA" w:eastAsia="uk-UA"/>
        </w:rPr>
        <w:t>енергоефект</w:t>
      </w:r>
      <w:r w:rsidR="00E46097" w:rsidRPr="001B5DE3">
        <w:rPr>
          <w:rFonts w:ascii="Times New Roman" w:hAnsi="Times New Roman" w:cs="Times New Roman"/>
          <w:sz w:val="28"/>
          <w:lang w:val="uk-UA" w:eastAsia="uk-UA"/>
        </w:rPr>
        <w:t>ивних технологій, нових правил н</w:t>
      </w:r>
      <w:r w:rsidRPr="001B5DE3">
        <w:rPr>
          <w:rFonts w:ascii="Times New Roman" w:hAnsi="Times New Roman" w:cs="Times New Roman"/>
          <w:sz w:val="28"/>
          <w:lang w:val="uk-UA" w:eastAsia="uk-UA"/>
        </w:rPr>
        <w:t>адання субсидій на житлово-комунальні витрат</w:t>
      </w:r>
      <w:r w:rsidR="00E46097" w:rsidRPr="001B5DE3">
        <w:rPr>
          <w:rFonts w:ascii="Times New Roman" w:hAnsi="Times New Roman" w:cs="Times New Roman"/>
          <w:sz w:val="28"/>
          <w:lang w:val="uk-UA" w:eastAsia="uk-UA"/>
        </w:rPr>
        <w:t>и</w:t>
      </w:r>
      <w:r w:rsidR="000E589E" w:rsidRPr="001B5DE3">
        <w:rPr>
          <w:rFonts w:ascii="Times New Roman" w:hAnsi="Times New Roman" w:cs="Times New Roman"/>
          <w:sz w:val="28"/>
          <w:lang w:val="uk-UA" w:eastAsia="uk-UA"/>
        </w:rPr>
        <w:t>, роботу ЦНАП</w:t>
      </w:r>
      <w:r w:rsidRPr="001B5DE3">
        <w:rPr>
          <w:rFonts w:ascii="Times New Roman" w:hAnsi="Times New Roman" w:cs="Times New Roman"/>
          <w:sz w:val="28"/>
          <w:lang w:val="uk-UA" w:eastAsia="uk-UA"/>
        </w:rPr>
        <w:t xml:space="preserve"> </w:t>
      </w:r>
      <w:r w:rsidR="000E589E" w:rsidRPr="001B5DE3">
        <w:rPr>
          <w:rFonts w:ascii="Times New Roman" w:hAnsi="Times New Roman" w:cs="Times New Roman"/>
          <w:sz w:val="28"/>
          <w:lang w:val="uk-UA" w:eastAsia="uk-UA"/>
        </w:rPr>
        <w:t>та надання адмінпослуг в онлайн-</w:t>
      </w:r>
      <w:r w:rsidRPr="001B5DE3">
        <w:rPr>
          <w:rFonts w:ascii="Times New Roman" w:hAnsi="Times New Roman" w:cs="Times New Roman"/>
          <w:sz w:val="28"/>
          <w:lang w:val="uk-UA" w:eastAsia="uk-UA"/>
        </w:rPr>
        <w:t>режимі. Активно висвітлювались призовні кампанії та матеріали, спрямовані на заохочення до служби в армії за контрактом, тема патріотичного  виховання молоді, питання європейської та євроатлантичної інтеграції тощо.</w:t>
      </w:r>
    </w:p>
    <w:p w:rsidR="00D86574" w:rsidRPr="001B5DE3" w:rsidRDefault="00D86574" w:rsidP="00D86574">
      <w:pPr>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 xml:space="preserve">На всіх телеканалах області  систематично транслювалися тематичні соціальні ролики, зокрема за такими темами: децентралізація та розвиток територіальних громад, енергозбереження та стимулювання запровадження енергоефективних заходів у житлових будівлях, безпека життєдіяльності, надання субсидій, патріотичного спрямування, протидія торгівлі людьми тощо. </w:t>
      </w:r>
    </w:p>
    <w:p w:rsidR="00D86574" w:rsidRPr="001B5DE3" w:rsidRDefault="00D86574" w:rsidP="00D86574">
      <w:pPr>
        <w:spacing w:after="0" w:line="240" w:lineRule="auto"/>
        <w:ind w:firstLine="708"/>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lastRenderedPageBreak/>
        <w:t>Завдяки реалізації заходів вдалося забезпечити: контроль над епідемічною ситуацією щодо профілактики захворювань на гостру респіраторну хворобу COVID-19, стабілізацію суспільно-політичної ситуації в регіоні, посилити заходи безпеки на стратегічно важливих об’єктах, готовність оперативно реагувати на можливі терористичні загрози; успішне проведення призовних кампаній; допомогу учасникам АТО та переселенцям; збільшення кількості наданих адмінпослуг та субсидій на житлово-комунальні витрати через мережу Інтернет; успішне завершення процесу децентралізації; зменшення корупційних ризиків у сфері держзакупівель завдяки впровадженню системи “ProZorro”; формування розуміння і підтримки громадянам державної політики у сфері європейської та євроатлантичної інтеграції.</w:t>
      </w:r>
    </w:p>
    <w:p w:rsidR="00D86574" w:rsidRPr="001B5DE3" w:rsidRDefault="00073B04" w:rsidP="00D86574">
      <w:pPr>
        <w:tabs>
          <w:tab w:val="left" w:pos="1620"/>
        </w:tabs>
        <w:spacing w:after="0" w:line="240" w:lineRule="auto"/>
        <w:ind w:firstLine="720"/>
        <w:jc w:val="both"/>
        <w:rPr>
          <w:rFonts w:ascii="Times New Roman" w:hAnsi="Times New Roman" w:cs="Times New Roman"/>
          <w:sz w:val="28"/>
          <w:lang w:val="uk-UA" w:eastAsia="uk-UA"/>
        </w:rPr>
      </w:pPr>
      <w:r w:rsidRPr="001B5DE3">
        <w:rPr>
          <w:rFonts w:ascii="Times New Roman" w:hAnsi="Times New Roman" w:cs="Times New Roman"/>
          <w:sz w:val="28"/>
          <w:lang w:val="uk-UA" w:eastAsia="uk-UA"/>
        </w:rPr>
        <w:t>Ш</w:t>
      </w:r>
      <w:r w:rsidR="00D86574" w:rsidRPr="001B5DE3">
        <w:rPr>
          <w:rFonts w:ascii="Times New Roman" w:hAnsi="Times New Roman" w:cs="Times New Roman"/>
          <w:sz w:val="28"/>
          <w:lang w:val="uk-UA" w:eastAsia="uk-UA"/>
        </w:rPr>
        <w:t>ляхом наповнення офіційного веб-сайту облдержадміністрації в розділі “Громадянське суспільство”, забезпечується оперативне та всебічне інформування користувачів мережі Інтернет про актуальні питання, події та явища, пов’язані з розвитком громадянського суспільства в області.</w:t>
      </w:r>
    </w:p>
    <w:p w:rsidR="009B2BC6" w:rsidRPr="001B5DE3" w:rsidRDefault="009B2BC6" w:rsidP="004F4048">
      <w:pPr>
        <w:spacing w:after="0" w:line="240" w:lineRule="auto"/>
        <w:rPr>
          <w:rFonts w:ascii="Times New Roman" w:hAnsi="Times New Roman" w:cs="Times New Roman"/>
          <w:b/>
          <w:sz w:val="28"/>
          <w:szCs w:val="28"/>
          <w:lang w:val="uk-UA"/>
        </w:rPr>
      </w:pPr>
    </w:p>
    <w:p w:rsidR="00CC3037" w:rsidRPr="001B5DE3" w:rsidRDefault="00CC3037" w:rsidP="004F4048">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Демографічно-ресурсний розвиток</w:t>
      </w:r>
    </w:p>
    <w:p w:rsidR="00CC3037" w:rsidRPr="001B5DE3" w:rsidRDefault="00CC3037" w:rsidP="004F4048">
      <w:pPr>
        <w:spacing w:after="0" w:line="240" w:lineRule="auto"/>
        <w:rPr>
          <w:rFonts w:ascii="Times New Roman" w:hAnsi="Times New Roman" w:cs="Times New Roman"/>
          <w:b/>
          <w:sz w:val="16"/>
          <w:szCs w:val="16"/>
          <w:lang w:val="uk-UA"/>
        </w:rPr>
      </w:pPr>
    </w:p>
    <w:p w:rsidR="00873424" w:rsidRPr="001B5DE3" w:rsidRDefault="00873424" w:rsidP="0022450D">
      <w:pPr>
        <w:pStyle w:val="ae"/>
        <w:ind w:firstLine="709"/>
        <w:jc w:val="both"/>
        <w:rPr>
          <w:rFonts w:ascii="Times New Roman" w:hAnsi="Times New Roman"/>
          <w:sz w:val="28"/>
          <w:szCs w:val="28"/>
          <w:lang w:val="uk-UA"/>
        </w:rPr>
      </w:pPr>
      <w:r w:rsidRPr="001B5DE3">
        <w:rPr>
          <w:rFonts w:ascii="Times New Roman" w:hAnsi="Times New Roman" w:cs="Times New Roman"/>
          <w:sz w:val="28"/>
          <w:szCs w:val="24"/>
          <w:lang w:val="uk-UA"/>
        </w:rPr>
        <w:t xml:space="preserve">З метою поліпшення демографічної ситуації, зниження захворюваності і смертності, стимулювання народжуваності та зміцнення сім’ї, поєднання </w:t>
      </w:r>
      <w:r w:rsidRPr="001B5DE3">
        <w:rPr>
          <w:rFonts w:ascii="Times New Roman" w:hAnsi="Times New Roman"/>
          <w:sz w:val="28"/>
          <w:szCs w:val="28"/>
          <w:lang w:val="uk-UA"/>
        </w:rPr>
        <w:t xml:space="preserve">жінками професійної зайнятості з материнством протягом І півріччя </w:t>
      </w:r>
      <w:r w:rsidR="00975B7A" w:rsidRPr="001B5DE3">
        <w:rPr>
          <w:rFonts w:ascii="Times New Roman" w:hAnsi="Times New Roman"/>
          <w:sz w:val="28"/>
          <w:szCs w:val="28"/>
          <w:lang w:val="uk-UA"/>
        </w:rPr>
        <w:br/>
      </w:r>
      <w:r w:rsidRPr="001B5DE3">
        <w:rPr>
          <w:rFonts w:ascii="Times New Roman" w:hAnsi="Times New Roman"/>
          <w:sz w:val="28"/>
          <w:szCs w:val="28"/>
          <w:lang w:val="uk-UA"/>
        </w:rPr>
        <w:t>2021 року:</w:t>
      </w:r>
    </w:p>
    <w:p w:rsidR="00873424" w:rsidRPr="001B5DE3" w:rsidRDefault="00873424" w:rsidP="0022450D">
      <w:pPr>
        <w:pStyle w:val="ae"/>
        <w:ind w:firstLine="709"/>
        <w:jc w:val="both"/>
        <w:rPr>
          <w:rFonts w:ascii="Times New Roman" w:hAnsi="Times New Roman"/>
          <w:sz w:val="28"/>
          <w:szCs w:val="28"/>
          <w:lang w:val="uk-UA"/>
        </w:rPr>
      </w:pPr>
      <w:r w:rsidRPr="001B5DE3">
        <w:rPr>
          <w:rFonts w:ascii="Times New Roman" w:hAnsi="Times New Roman"/>
          <w:sz w:val="28"/>
          <w:szCs w:val="28"/>
          <w:lang w:val="uk-UA"/>
        </w:rPr>
        <w:t>забезпечено грошовою підтримкою 14,5 тис</w:t>
      </w:r>
      <w:r w:rsidR="00975B7A" w:rsidRPr="001B5DE3">
        <w:rPr>
          <w:rFonts w:ascii="Times New Roman" w:hAnsi="Times New Roman"/>
          <w:sz w:val="28"/>
          <w:szCs w:val="28"/>
          <w:lang w:val="uk-UA"/>
        </w:rPr>
        <w:t>.</w:t>
      </w:r>
      <w:r w:rsidRPr="001B5DE3">
        <w:rPr>
          <w:rFonts w:ascii="Times New Roman" w:hAnsi="Times New Roman"/>
          <w:sz w:val="28"/>
          <w:szCs w:val="28"/>
          <w:lang w:val="uk-UA"/>
        </w:rPr>
        <w:t xml:space="preserve"> осіб</w:t>
      </w:r>
      <w:r w:rsidR="00975B7A" w:rsidRPr="001B5DE3">
        <w:rPr>
          <w:rFonts w:ascii="Times New Roman" w:hAnsi="Times New Roman"/>
          <w:sz w:val="28"/>
          <w:szCs w:val="28"/>
          <w:lang w:val="uk-UA"/>
        </w:rPr>
        <w:t>,</w:t>
      </w:r>
      <w:r w:rsidRPr="001B5DE3">
        <w:rPr>
          <w:rFonts w:ascii="Times New Roman" w:hAnsi="Times New Roman"/>
          <w:sz w:val="28"/>
          <w:szCs w:val="28"/>
          <w:lang w:val="uk-UA"/>
        </w:rPr>
        <w:t xml:space="preserve"> які постраждали внаслідок Чорнобильської катастрофи;</w:t>
      </w:r>
    </w:p>
    <w:p w:rsidR="00873424" w:rsidRPr="001B5DE3" w:rsidRDefault="00873424" w:rsidP="0022450D">
      <w:pPr>
        <w:pStyle w:val="ae"/>
        <w:ind w:firstLine="709"/>
        <w:jc w:val="both"/>
        <w:rPr>
          <w:rFonts w:ascii="Times New Roman" w:hAnsi="Times New Roman"/>
          <w:sz w:val="28"/>
          <w:szCs w:val="28"/>
          <w:lang w:val="uk-UA"/>
        </w:rPr>
      </w:pPr>
      <w:r w:rsidRPr="001B5DE3">
        <w:rPr>
          <w:rFonts w:ascii="Times New Roman" w:hAnsi="Times New Roman"/>
          <w:sz w:val="28"/>
          <w:szCs w:val="28"/>
          <w:lang w:val="uk-UA"/>
        </w:rPr>
        <w:t>надано допомогу при народженні дитини 76,5 тис. сім’ям;</w:t>
      </w:r>
    </w:p>
    <w:p w:rsidR="00873424" w:rsidRPr="001B5DE3" w:rsidRDefault="00873424" w:rsidP="0022450D">
      <w:pPr>
        <w:pStyle w:val="ae"/>
        <w:ind w:firstLine="709"/>
        <w:jc w:val="both"/>
        <w:rPr>
          <w:rFonts w:ascii="Times New Roman" w:hAnsi="Times New Roman"/>
          <w:sz w:val="28"/>
          <w:szCs w:val="28"/>
          <w:lang w:val="uk-UA"/>
        </w:rPr>
      </w:pPr>
      <w:r w:rsidRPr="001B5DE3">
        <w:rPr>
          <w:rFonts w:ascii="Times New Roman" w:hAnsi="Times New Roman"/>
          <w:sz w:val="28"/>
          <w:szCs w:val="28"/>
          <w:lang w:val="uk-UA"/>
        </w:rPr>
        <w:t xml:space="preserve">надано допомогу при усиновленні дитини 324 сім’ям; </w:t>
      </w:r>
    </w:p>
    <w:p w:rsidR="00873424" w:rsidRPr="001B5DE3" w:rsidRDefault="00873424" w:rsidP="0022450D">
      <w:pPr>
        <w:pStyle w:val="ae"/>
        <w:ind w:firstLine="709"/>
        <w:jc w:val="both"/>
        <w:rPr>
          <w:rFonts w:ascii="Times New Roman" w:hAnsi="Times New Roman"/>
          <w:sz w:val="28"/>
          <w:szCs w:val="24"/>
          <w:lang w:val="uk-UA"/>
        </w:rPr>
      </w:pPr>
      <w:r w:rsidRPr="001B5DE3">
        <w:rPr>
          <w:rFonts w:ascii="Times New Roman" w:hAnsi="Times New Roman"/>
          <w:sz w:val="28"/>
          <w:szCs w:val="24"/>
          <w:lang w:val="uk-UA"/>
        </w:rPr>
        <w:t>забезпечено санаторно-курортним лікуванням 538 громадян пільгових категорій;</w:t>
      </w:r>
    </w:p>
    <w:p w:rsidR="00873424" w:rsidRPr="001B5DE3" w:rsidRDefault="00873424" w:rsidP="0022450D">
      <w:pPr>
        <w:pStyle w:val="ae"/>
        <w:ind w:firstLine="709"/>
        <w:jc w:val="both"/>
        <w:rPr>
          <w:rFonts w:ascii="Times New Roman" w:hAnsi="Times New Roman"/>
          <w:sz w:val="28"/>
          <w:szCs w:val="28"/>
          <w:lang w:val="uk-UA"/>
        </w:rPr>
      </w:pPr>
      <w:r w:rsidRPr="001B5DE3">
        <w:rPr>
          <w:rFonts w:ascii="Times New Roman" w:hAnsi="Times New Roman"/>
          <w:sz w:val="28"/>
          <w:szCs w:val="28"/>
          <w:lang w:val="uk-UA"/>
        </w:rPr>
        <w:t xml:space="preserve">надано допомогу дітям, які перебувають під опікою чи піклуванням, </w:t>
      </w:r>
      <w:r w:rsidR="00710FCC">
        <w:rPr>
          <w:rFonts w:ascii="Times New Roman" w:hAnsi="Times New Roman"/>
          <w:sz w:val="28"/>
          <w:szCs w:val="28"/>
          <w:lang w:val="uk-UA"/>
        </w:rPr>
        <w:t xml:space="preserve">                    </w:t>
      </w:r>
      <w:r w:rsidRPr="001B5DE3">
        <w:rPr>
          <w:rFonts w:ascii="Times New Roman" w:hAnsi="Times New Roman"/>
          <w:sz w:val="28"/>
          <w:szCs w:val="28"/>
          <w:lang w:val="uk-UA"/>
        </w:rPr>
        <w:t>у розмірі відповідно до чинного законодавства 4,3 тис. сімей.</w:t>
      </w:r>
    </w:p>
    <w:p w:rsidR="00873424" w:rsidRPr="001B5DE3" w:rsidRDefault="00873424" w:rsidP="0022450D">
      <w:pPr>
        <w:autoSpaceDE w:val="0"/>
        <w:autoSpaceDN w:val="0"/>
        <w:spacing w:after="0" w:line="240" w:lineRule="auto"/>
        <w:ind w:firstLine="708"/>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693"/>
      </w:tblGrid>
      <w:tr w:rsidR="001B5DE3" w:rsidRPr="001B5DE3" w:rsidTr="00D86574">
        <w:tc>
          <w:tcPr>
            <w:tcW w:w="4395" w:type="dxa"/>
          </w:tcPr>
          <w:p w:rsidR="00873424" w:rsidRPr="001B5DE3" w:rsidRDefault="00873424" w:rsidP="0022450D">
            <w:pPr>
              <w:pStyle w:val="21"/>
              <w:spacing w:after="0" w:line="240" w:lineRule="auto"/>
              <w:jc w:val="center"/>
              <w:rPr>
                <w:lang w:val="uk-UA"/>
              </w:rPr>
            </w:pPr>
            <w:r w:rsidRPr="001B5DE3">
              <w:rPr>
                <w:lang w:val="uk-UA"/>
              </w:rPr>
              <w:t>Показники</w:t>
            </w:r>
          </w:p>
        </w:tc>
        <w:tc>
          <w:tcPr>
            <w:tcW w:w="2551" w:type="dxa"/>
          </w:tcPr>
          <w:p w:rsidR="00873424" w:rsidRPr="001B5DE3" w:rsidRDefault="00873424" w:rsidP="0022450D">
            <w:pPr>
              <w:pStyle w:val="21"/>
              <w:spacing w:after="0" w:line="240" w:lineRule="auto"/>
              <w:jc w:val="center"/>
              <w:rPr>
                <w:lang w:val="uk-UA"/>
              </w:rPr>
            </w:pPr>
            <w:r w:rsidRPr="001B5DE3">
              <w:rPr>
                <w:lang w:val="uk-UA"/>
              </w:rPr>
              <w:t>січень – червень</w:t>
            </w:r>
          </w:p>
          <w:p w:rsidR="00873424" w:rsidRPr="001B5DE3" w:rsidRDefault="00873424" w:rsidP="0022450D">
            <w:pPr>
              <w:pStyle w:val="21"/>
              <w:spacing w:after="0" w:line="240" w:lineRule="auto"/>
              <w:jc w:val="center"/>
              <w:rPr>
                <w:lang w:val="uk-UA"/>
              </w:rPr>
            </w:pPr>
            <w:r w:rsidRPr="001B5DE3">
              <w:rPr>
                <w:lang w:val="uk-UA"/>
              </w:rPr>
              <w:t>2020 року</w:t>
            </w:r>
          </w:p>
        </w:tc>
        <w:tc>
          <w:tcPr>
            <w:tcW w:w="2693" w:type="dxa"/>
          </w:tcPr>
          <w:p w:rsidR="00873424" w:rsidRPr="001B5DE3" w:rsidRDefault="00873424" w:rsidP="0022450D">
            <w:pPr>
              <w:pStyle w:val="21"/>
              <w:spacing w:after="0" w:line="240" w:lineRule="auto"/>
              <w:jc w:val="center"/>
              <w:rPr>
                <w:lang w:val="uk-UA"/>
              </w:rPr>
            </w:pPr>
            <w:r w:rsidRPr="001B5DE3">
              <w:rPr>
                <w:lang w:val="uk-UA"/>
              </w:rPr>
              <w:t xml:space="preserve">січень – червень </w:t>
            </w:r>
          </w:p>
          <w:p w:rsidR="00873424" w:rsidRPr="001B5DE3" w:rsidRDefault="00873424" w:rsidP="0022450D">
            <w:pPr>
              <w:pStyle w:val="21"/>
              <w:spacing w:after="0" w:line="240" w:lineRule="auto"/>
              <w:jc w:val="center"/>
              <w:rPr>
                <w:lang w:val="uk-UA"/>
              </w:rPr>
            </w:pPr>
            <w:r w:rsidRPr="001B5DE3">
              <w:rPr>
                <w:lang w:val="uk-UA"/>
              </w:rPr>
              <w:t>2021 року</w:t>
            </w:r>
          </w:p>
        </w:tc>
      </w:tr>
      <w:tr w:rsidR="001B5DE3"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 xml:space="preserve">Допомога при народженні дитини, </w:t>
            </w:r>
            <w:r w:rsidRPr="001B5DE3">
              <w:rPr>
                <w:lang w:val="uk-UA"/>
              </w:rPr>
              <w:br/>
              <w:t>тис.</w:t>
            </w:r>
            <w:r w:rsidR="00975B7A" w:rsidRPr="001B5DE3">
              <w:rPr>
                <w:lang w:val="uk-UA"/>
              </w:rPr>
              <w:t xml:space="preserve"> </w:t>
            </w:r>
            <w:r w:rsidRPr="001B5DE3">
              <w:rPr>
                <w:lang w:val="uk-UA"/>
              </w:rPr>
              <w:t>осіб</w:t>
            </w:r>
          </w:p>
        </w:tc>
        <w:tc>
          <w:tcPr>
            <w:tcW w:w="2551" w:type="dxa"/>
            <w:vAlign w:val="center"/>
          </w:tcPr>
          <w:p w:rsidR="00873424" w:rsidRPr="001B5DE3" w:rsidRDefault="00873424" w:rsidP="0022450D">
            <w:pPr>
              <w:pStyle w:val="21"/>
              <w:spacing w:after="0" w:line="240" w:lineRule="auto"/>
              <w:jc w:val="center"/>
              <w:rPr>
                <w:lang w:val="uk-UA"/>
              </w:rPr>
            </w:pPr>
            <w:r w:rsidRPr="001B5DE3">
              <w:rPr>
                <w:lang w:val="uk-UA"/>
              </w:rPr>
              <w:t>85,3</w:t>
            </w:r>
          </w:p>
        </w:tc>
        <w:tc>
          <w:tcPr>
            <w:tcW w:w="2693" w:type="dxa"/>
            <w:vAlign w:val="center"/>
          </w:tcPr>
          <w:p w:rsidR="00873424" w:rsidRPr="001B5DE3" w:rsidRDefault="00873424" w:rsidP="0022450D">
            <w:pPr>
              <w:pStyle w:val="21"/>
              <w:spacing w:after="0" w:line="240" w:lineRule="auto"/>
              <w:jc w:val="center"/>
              <w:rPr>
                <w:lang w:val="uk-UA"/>
              </w:rPr>
            </w:pPr>
            <w:r w:rsidRPr="001B5DE3">
              <w:rPr>
                <w:lang w:val="uk-UA"/>
              </w:rPr>
              <w:t>76,5</w:t>
            </w:r>
          </w:p>
        </w:tc>
      </w:tr>
      <w:tr w:rsidR="001B5DE3"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 xml:space="preserve">Допомога при усиновленні дитини, </w:t>
            </w:r>
          </w:p>
          <w:p w:rsidR="00873424" w:rsidRPr="001B5DE3" w:rsidRDefault="00873424" w:rsidP="0022450D">
            <w:pPr>
              <w:pStyle w:val="21"/>
              <w:spacing w:after="0" w:line="240" w:lineRule="auto"/>
              <w:rPr>
                <w:lang w:val="uk-UA"/>
              </w:rPr>
            </w:pPr>
            <w:r w:rsidRPr="001B5DE3">
              <w:rPr>
                <w:lang w:val="uk-UA"/>
              </w:rPr>
              <w:t>осіб</w:t>
            </w:r>
          </w:p>
        </w:tc>
        <w:tc>
          <w:tcPr>
            <w:tcW w:w="2551" w:type="dxa"/>
            <w:vAlign w:val="center"/>
          </w:tcPr>
          <w:p w:rsidR="00873424" w:rsidRPr="001B5DE3" w:rsidRDefault="00873424" w:rsidP="0022450D">
            <w:pPr>
              <w:pStyle w:val="21"/>
              <w:spacing w:after="0" w:line="240" w:lineRule="auto"/>
              <w:jc w:val="center"/>
              <w:rPr>
                <w:lang w:val="uk-UA"/>
              </w:rPr>
            </w:pPr>
            <w:r w:rsidRPr="001B5DE3">
              <w:rPr>
                <w:lang w:val="uk-UA"/>
              </w:rPr>
              <w:t>323</w:t>
            </w:r>
          </w:p>
        </w:tc>
        <w:tc>
          <w:tcPr>
            <w:tcW w:w="2693" w:type="dxa"/>
            <w:vAlign w:val="center"/>
          </w:tcPr>
          <w:p w:rsidR="00873424" w:rsidRPr="001B5DE3" w:rsidRDefault="00873424" w:rsidP="0022450D">
            <w:pPr>
              <w:pStyle w:val="21"/>
              <w:spacing w:after="0" w:line="240" w:lineRule="auto"/>
              <w:jc w:val="center"/>
              <w:rPr>
                <w:lang w:val="uk-UA"/>
              </w:rPr>
            </w:pPr>
            <w:r w:rsidRPr="001B5DE3">
              <w:rPr>
                <w:lang w:val="uk-UA"/>
              </w:rPr>
              <w:t>324</w:t>
            </w:r>
          </w:p>
        </w:tc>
      </w:tr>
      <w:tr w:rsidR="001B5DE3"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Допомога дітям, які перебувають під опікою чи піклуванням, тис. осіб</w:t>
            </w:r>
          </w:p>
        </w:tc>
        <w:tc>
          <w:tcPr>
            <w:tcW w:w="2551" w:type="dxa"/>
            <w:vAlign w:val="center"/>
          </w:tcPr>
          <w:p w:rsidR="00873424" w:rsidRPr="001B5DE3" w:rsidRDefault="00873424" w:rsidP="0022450D">
            <w:pPr>
              <w:pStyle w:val="21"/>
              <w:spacing w:after="0" w:line="240" w:lineRule="auto"/>
              <w:jc w:val="center"/>
              <w:rPr>
                <w:lang w:val="uk-UA"/>
              </w:rPr>
            </w:pPr>
            <w:r w:rsidRPr="001B5DE3">
              <w:rPr>
                <w:lang w:val="uk-UA"/>
              </w:rPr>
              <w:t>4,5</w:t>
            </w:r>
          </w:p>
        </w:tc>
        <w:tc>
          <w:tcPr>
            <w:tcW w:w="2693" w:type="dxa"/>
            <w:vAlign w:val="center"/>
          </w:tcPr>
          <w:p w:rsidR="00873424" w:rsidRPr="001B5DE3" w:rsidRDefault="00873424" w:rsidP="0022450D">
            <w:pPr>
              <w:pStyle w:val="21"/>
              <w:spacing w:after="0" w:line="240" w:lineRule="auto"/>
              <w:jc w:val="center"/>
              <w:rPr>
                <w:lang w:val="uk-UA"/>
              </w:rPr>
            </w:pPr>
            <w:r w:rsidRPr="001B5DE3">
              <w:rPr>
                <w:lang w:val="uk-UA"/>
              </w:rPr>
              <w:t>4,3</w:t>
            </w:r>
          </w:p>
        </w:tc>
      </w:tr>
      <w:tr w:rsidR="00873424"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Санаторно-курортним лікування громадяни пільгових категорій, осіб</w:t>
            </w:r>
          </w:p>
        </w:tc>
        <w:tc>
          <w:tcPr>
            <w:tcW w:w="2551" w:type="dxa"/>
            <w:vAlign w:val="center"/>
          </w:tcPr>
          <w:p w:rsidR="00873424" w:rsidRPr="001B5DE3" w:rsidRDefault="00873424" w:rsidP="0022450D">
            <w:pPr>
              <w:pStyle w:val="21"/>
              <w:spacing w:after="0" w:line="240" w:lineRule="auto"/>
              <w:jc w:val="center"/>
              <w:rPr>
                <w:lang w:val="uk-UA"/>
              </w:rPr>
            </w:pPr>
            <w:r w:rsidRPr="001B5DE3">
              <w:rPr>
                <w:lang w:val="uk-UA"/>
              </w:rPr>
              <w:t>296</w:t>
            </w:r>
          </w:p>
        </w:tc>
        <w:tc>
          <w:tcPr>
            <w:tcW w:w="2693" w:type="dxa"/>
            <w:vAlign w:val="center"/>
          </w:tcPr>
          <w:p w:rsidR="00873424" w:rsidRPr="001B5DE3" w:rsidRDefault="00873424" w:rsidP="0022450D">
            <w:pPr>
              <w:pStyle w:val="21"/>
              <w:spacing w:after="0" w:line="240" w:lineRule="auto"/>
              <w:jc w:val="center"/>
              <w:rPr>
                <w:lang w:val="uk-UA"/>
              </w:rPr>
            </w:pPr>
            <w:r w:rsidRPr="001B5DE3">
              <w:rPr>
                <w:lang w:val="uk-UA"/>
              </w:rPr>
              <w:t>538</w:t>
            </w:r>
          </w:p>
        </w:tc>
      </w:tr>
    </w:tbl>
    <w:p w:rsidR="00873424" w:rsidRPr="001B5DE3" w:rsidRDefault="00873424" w:rsidP="0022450D">
      <w:pPr>
        <w:spacing w:after="0" w:line="240" w:lineRule="auto"/>
        <w:ind w:firstLine="709"/>
        <w:jc w:val="both"/>
        <w:rPr>
          <w:rFonts w:ascii="Times New Roman" w:eastAsia="Times New Roman" w:hAnsi="Times New Roman" w:cs="Times New Roman"/>
          <w:sz w:val="28"/>
          <w:szCs w:val="28"/>
          <w:lang w:val="uk-UA"/>
        </w:rPr>
      </w:pPr>
    </w:p>
    <w:p w:rsidR="00873424" w:rsidRPr="001B5DE3" w:rsidRDefault="00873424" w:rsidP="0022450D">
      <w:pPr>
        <w:spacing w:after="0" w:line="240" w:lineRule="auto"/>
        <w:ind w:firstLine="709"/>
        <w:jc w:val="both"/>
        <w:rPr>
          <w:rFonts w:ascii="Times New Roman" w:hAnsi="Times New Roman" w:cs="Times New Roman"/>
          <w:sz w:val="28"/>
          <w:szCs w:val="28"/>
          <w:lang w:val="uk-UA"/>
        </w:rPr>
      </w:pPr>
      <w:r w:rsidRPr="001B5DE3">
        <w:rPr>
          <w:rFonts w:ascii="Times New Roman" w:eastAsia="Times New Roman" w:hAnsi="Times New Roman" w:cs="Times New Roman"/>
          <w:sz w:val="28"/>
          <w:szCs w:val="28"/>
          <w:lang w:val="uk-UA"/>
        </w:rPr>
        <w:t>Указом Президента України від 07 травня 2021</w:t>
      </w:r>
      <w:r w:rsidR="00975B7A" w:rsidRPr="001B5DE3">
        <w:rPr>
          <w:rFonts w:ascii="Times New Roman" w:eastAsia="Times New Roman" w:hAnsi="Times New Roman" w:cs="Times New Roman"/>
          <w:sz w:val="28"/>
          <w:szCs w:val="28"/>
          <w:lang w:val="uk-UA"/>
        </w:rPr>
        <w:t xml:space="preserve"> року № 188/2021 тридцяти трьом</w:t>
      </w:r>
      <w:r w:rsidRPr="001B5DE3">
        <w:rPr>
          <w:rFonts w:ascii="Times New Roman" w:eastAsia="Times New Roman" w:hAnsi="Times New Roman" w:cs="Times New Roman"/>
          <w:sz w:val="28"/>
          <w:szCs w:val="28"/>
          <w:lang w:val="uk-UA"/>
        </w:rPr>
        <w:t xml:space="preserve"> мешканкам Дніпропетровської області було присвоєно </w:t>
      </w:r>
      <w:r w:rsidR="00975B7A" w:rsidRPr="001B5DE3">
        <w:rPr>
          <w:rFonts w:ascii="Times New Roman" w:hAnsi="Times New Roman" w:cs="Times New Roman"/>
          <w:sz w:val="28"/>
          <w:szCs w:val="28"/>
          <w:lang w:val="uk-UA"/>
        </w:rPr>
        <w:t xml:space="preserve">почесне звання України </w:t>
      </w:r>
      <w:r w:rsidRPr="001B5DE3">
        <w:rPr>
          <w:rFonts w:ascii="Times New Roman" w:hAnsi="Times New Roman" w:cs="Times New Roman"/>
          <w:sz w:val="28"/>
          <w:szCs w:val="28"/>
          <w:lang w:val="uk-UA"/>
        </w:rPr>
        <w:t xml:space="preserve">“Мати-героїня”, їм призначено одноразову винагороду в загальній </w:t>
      </w:r>
      <w:r w:rsidR="00B42D18">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сумі 749,1 тис. грн.</w:t>
      </w:r>
    </w:p>
    <w:p w:rsidR="00873424" w:rsidRPr="001B5DE3" w:rsidRDefault="00873424"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Проведено постійну інформаційно-роз’яснювальну роботу щодо призначення та виплат державної допомоги сім’ям з дітьми (у прямому ефірі обласного телебачення, на обласному радіо, пресконференціях, пресрелізах, гарячі лінії в редакціях газет).</w:t>
      </w:r>
    </w:p>
    <w:p w:rsidR="00873424" w:rsidRPr="001B5DE3" w:rsidRDefault="00873424"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Внесено до Єдиного державного автоматизованого реєстру</w:t>
      </w:r>
      <w:r w:rsidR="00662C37" w:rsidRPr="001B5DE3">
        <w:rPr>
          <w:rFonts w:ascii="Times New Roman" w:hAnsi="Times New Roman" w:cs="Times New Roman"/>
          <w:sz w:val="28"/>
          <w:szCs w:val="28"/>
          <w:lang w:val="uk-UA"/>
        </w:rPr>
        <w:t xml:space="preserve"> осіб, які мають право на пільги</w:t>
      </w:r>
      <w:r w:rsidR="00975B7A"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13,7 тис. багатодітних родин, що мають право на пільги на житлово-комунальні послуги.</w:t>
      </w:r>
    </w:p>
    <w:p w:rsidR="00873424" w:rsidRPr="001B5DE3" w:rsidRDefault="00873424" w:rsidP="0022450D">
      <w:pPr>
        <w:autoSpaceDE w:val="0"/>
        <w:autoSpaceDN w:val="0"/>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січня – травня 2021 року народилося 7888 немовлят, середня чисельність населення склала 3132,7 тис. осіб. </w:t>
      </w:r>
    </w:p>
    <w:p w:rsidR="00873424" w:rsidRPr="001B5DE3" w:rsidRDefault="00873424" w:rsidP="0022450D">
      <w:pPr>
        <w:autoSpaceDE w:val="0"/>
        <w:autoSpaceDN w:val="0"/>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693"/>
      </w:tblGrid>
      <w:tr w:rsidR="001B5DE3" w:rsidRPr="001B5DE3" w:rsidTr="00D86574">
        <w:tc>
          <w:tcPr>
            <w:tcW w:w="4395" w:type="dxa"/>
          </w:tcPr>
          <w:p w:rsidR="00873424" w:rsidRPr="001B5DE3" w:rsidRDefault="00873424" w:rsidP="0022450D">
            <w:pPr>
              <w:pStyle w:val="21"/>
              <w:spacing w:after="0" w:line="240" w:lineRule="auto"/>
              <w:jc w:val="center"/>
              <w:rPr>
                <w:lang w:val="uk-UA"/>
              </w:rPr>
            </w:pPr>
            <w:r w:rsidRPr="001B5DE3">
              <w:rPr>
                <w:lang w:val="uk-UA"/>
              </w:rPr>
              <w:t>Показники</w:t>
            </w:r>
          </w:p>
        </w:tc>
        <w:tc>
          <w:tcPr>
            <w:tcW w:w="2551" w:type="dxa"/>
          </w:tcPr>
          <w:p w:rsidR="00873424" w:rsidRPr="001B5DE3" w:rsidRDefault="00873424" w:rsidP="0022450D">
            <w:pPr>
              <w:pStyle w:val="21"/>
              <w:spacing w:after="0" w:line="240" w:lineRule="auto"/>
              <w:jc w:val="center"/>
              <w:rPr>
                <w:lang w:val="uk-UA"/>
              </w:rPr>
            </w:pPr>
            <w:r w:rsidRPr="001B5DE3">
              <w:rPr>
                <w:lang w:val="uk-UA"/>
              </w:rPr>
              <w:t xml:space="preserve">січень – травень </w:t>
            </w:r>
          </w:p>
          <w:p w:rsidR="00873424" w:rsidRPr="001B5DE3" w:rsidRDefault="00873424" w:rsidP="0022450D">
            <w:pPr>
              <w:pStyle w:val="21"/>
              <w:spacing w:after="0" w:line="240" w:lineRule="auto"/>
              <w:jc w:val="center"/>
              <w:rPr>
                <w:lang w:val="uk-UA"/>
              </w:rPr>
            </w:pPr>
            <w:r w:rsidRPr="001B5DE3">
              <w:rPr>
                <w:lang w:val="uk-UA"/>
              </w:rPr>
              <w:t>2020 року</w:t>
            </w:r>
          </w:p>
        </w:tc>
        <w:tc>
          <w:tcPr>
            <w:tcW w:w="2693" w:type="dxa"/>
          </w:tcPr>
          <w:p w:rsidR="00873424" w:rsidRPr="001B5DE3" w:rsidRDefault="00873424" w:rsidP="0022450D">
            <w:pPr>
              <w:pStyle w:val="21"/>
              <w:spacing w:after="0" w:line="240" w:lineRule="auto"/>
              <w:jc w:val="center"/>
              <w:rPr>
                <w:lang w:val="uk-UA"/>
              </w:rPr>
            </w:pPr>
            <w:r w:rsidRPr="001B5DE3">
              <w:rPr>
                <w:lang w:val="uk-UA"/>
              </w:rPr>
              <w:t>січень – травень</w:t>
            </w:r>
          </w:p>
          <w:p w:rsidR="00873424" w:rsidRPr="001B5DE3" w:rsidRDefault="00873424" w:rsidP="0022450D">
            <w:pPr>
              <w:pStyle w:val="21"/>
              <w:spacing w:after="0" w:line="240" w:lineRule="auto"/>
              <w:jc w:val="center"/>
              <w:rPr>
                <w:lang w:val="uk-UA"/>
              </w:rPr>
            </w:pPr>
            <w:r w:rsidRPr="001B5DE3">
              <w:rPr>
                <w:lang w:val="uk-UA"/>
              </w:rPr>
              <w:t>2021 року</w:t>
            </w:r>
          </w:p>
        </w:tc>
      </w:tr>
      <w:tr w:rsidR="001B5DE3"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Кількість народжених, осіб</w:t>
            </w:r>
          </w:p>
        </w:tc>
        <w:tc>
          <w:tcPr>
            <w:tcW w:w="2551" w:type="dxa"/>
          </w:tcPr>
          <w:p w:rsidR="00873424" w:rsidRPr="001B5DE3" w:rsidRDefault="00873424" w:rsidP="0022450D">
            <w:pPr>
              <w:pStyle w:val="21"/>
              <w:spacing w:after="0" w:line="240" w:lineRule="auto"/>
              <w:jc w:val="center"/>
              <w:rPr>
                <w:lang w:val="uk-UA"/>
              </w:rPr>
            </w:pPr>
            <w:r w:rsidRPr="001B5DE3">
              <w:rPr>
                <w:lang w:val="uk-UA"/>
              </w:rPr>
              <w:t>8556</w:t>
            </w:r>
          </w:p>
        </w:tc>
        <w:tc>
          <w:tcPr>
            <w:tcW w:w="2693" w:type="dxa"/>
          </w:tcPr>
          <w:p w:rsidR="00873424" w:rsidRPr="001B5DE3" w:rsidRDefault="00873424" w:rsidP="0022450D">
            <w:pPr>
              <w:pStyle w:val="21"/>
              <w:spacing w:after="0" w:line="240" w:lineRule="auto"/>
              <w:jc w:val="center"/>
              <w:rPr>
                <w:lang w:val="uk-UA"/>
              </w:rPr>
            </w:pPr>
            <w:r w:rsidRPr="001B5DE3">
              <w:rPr>
                <w:lang w:val="uk-UA"/>
              </w:rPr>
              <w:t>7888</w:t>
            </w:r>
          </w:p>
        </w:tc>
      </w:tr>
      <w:tr w:rsidR="00873424" w:rsidRPr="001B5DE3" w:rsidTr="00D86574">
        <w:tc>
          <w:tcPr>
            <w:tcW w:w="4395" w:type="dxa"/>
          </w:tcPr>
          <w:p w:rsidR="00873424" w:rsidRPr="001B5DE3" w:rsidRDefault="00873424" w:rsidP="0022450D">
            <w:pPr>
              <w:pStyle w:val="21"/>
              <w:spacing w:after="0" w:line="240" w:lineRule="auto"/>
              <w:rPr>
                <w:lang w:val="uk-UA"/>
              </w:rPr>
            </w:pPr>
            <w:r w:rsidRPr="001B5DE3">
              <w:rPr>
                <w:lang w:val="uk-UA"/>
              </w:rPr>
              <w:t xml:space="preserve">Середня чисельність населення, </w:t>
            </w:r>
          </w:p>
          <w:p w:rsidR="00873424" w:rsidRPr="001B5DE3" w:rsidRDefault="00873424" w:rsidP="0022450D">
            <w:pPr>
              <w:pStyle w:val="21"/>
              <w:spacing w:after="0" w:line="240" w:lineRule="auto"/>
              <w:rPr>
                <w:lang w:val="uk-UA"/>
              </w:rPr>
            </w:pPr>
            <w:r w:rsidRPr="001B5DE3">
              <w:rPr>
                <w:lang w:val="uk-UA"/>
              </w:rPr>
              <w:t>тис. осіб</w:t>
            </w:r>
          </w:p>
        </w:tc>
        <w:tc>
          <w:tcPr>
            <w:tcW w:w="2551" w:type="dxa"/>
            <w:vAlign w:val="center"/>
          </w:tcPr>
          <w:p w:rsidR="00873424" w:rsidRPr="001B5DE3" w:rsidRDefault="00873424" w:rsidP="0022450D">
            <w:pPr>
              <w:pStyle w:val="21"/>
              <w:spacing w:after="0" w:line="240" w:lineRule="auto"/>
              <w:jc w:val="center"/>
              <w:rPr>
                <w:lang w:val="uk-UA"/>
              </w:rPr>
            </w:pPr>
            <w:r w:rsidRPr="001B5DE3">
              <w:rPr>
                <w:lang w:val="uk-UA"/>
              </w:rPr>
              <w:t>3170,3</w:t>
            </w:r>
          </w:p>
        </w:tc>
        <w:tc>
          <w:tcPr>
            <w:tcW w:w="2693" w:type="dxa"/>
            <w:vAlign w:val="center"/>
          </w:tcPr>
          <w:p w:rsidR="00873424" w:rsidRPr="001B5DE3" w:rsidRDefault="00873424" w:rsidP="0022450D">
            <w:pPr>
              <w:pStyle w:val="21"/>
              <w:spacing w:after="0" w:line="240" w:lineRule="auto"/>
              <w:jc w:val="center"/>
              <w:rPr>
                <w:lang w:val="uk-UA"/>
              </w:rPr>
            </w:pPr>
            <w:r w:rsidRPr="001B5DE3">
              <w:rPr>
                <w:lang w:val="uk-UA"/>
              </w:rPr>
              <w:t>3132,7</w:t>
            </w:r>
          </w:p>
        </w:tc>
      </w:tr>
    </w:tbl>
    <w:p w:rsidR="00DB7B45" w:rsidRPr="001B5DE3" w:rsidRDefault="00DB7B45" w:rsidP="004F4048">
      <w:pPr>
        <w:spacing w:after="0" w:line="240" w:lineRule="auto"/>
        <w:rPr>
          <w:rFonts w:ascii="Times New Roman" w:hAnsi="Times New Roman" w:cs="Times New Roman"/>
          <w:b/>
          <w:sz w:val="28"/>
          <w:szCs w:val="28"/>
          <w:lang w:val="uk-UA"/>
        </w:rPr>
      </w:pPr>
    </w:p>
    <w:p w:rsidR="00CC3037" w:rsidRPr="001B5DE3" w:rsidRDefault="00CC3037" w:rsidP="004F4048">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Освіта</w:t>
      </w:r>
    </w:p>
    <w:p w:rsidR="00CC3037" w:rsidRPr="001B5DE3" w:rsidRDefault="00CC3037" w:rsidP="004F4048">
      <w:pPr>
        <w:spacing w:after="0" w:line="240" w:lineRule="auto"/>
        <w:rPr>
          <w:rFonts w:ascii="Times New Roman" w:hAnsi="Times New Roman" w:cs="Times New Roman"/>
          <w:b/>
          <w:sz w:val="28"/>
          <w:szCs w:val="28"/>
          <w:lang w:val="uk-UA"/>
        </w:rPr>
      </w:pPr>
    </w:p>
    <w:p w:rsidR="00F37613" w:rsidRPr="001B5DE3" w:rsidRDefault="00F37613" w:rsidP="0022450D">
      <w:pPr>
        <w:pStyle w:val="afc"/>
        <w:ind w:firstLine="709"/>
        <w:jc w:val="both"/>
        <w:rPr>
          <w:rFonts w:ascii="Times New Roman" w:hAnsi="Times New Roman"/>
          <w:lang w:val="uk-UA"/>
        </w:rPr>
      </w:pPr>
      <w:r w:rsidRPr="001B5DE3">
        <w:rPr>
          <w:rFonts w:ascii="Times New Roman" w:hAnsi="Times New Roman"/>
          <w:sz w:val="28"/>
          <w:szCs w:val="28"/>
          <w:lang w:val="uk-UA"/>
        </w:rPr>
        <w:t>В області функціонує 977 закладів дошкільної освіти (разом з навч</w:t>
      </w:r>
      <w:r w:rsidR="001B60AE" w:rsidRPr="001B5DE3">
        <w:rPr>
          <w:rFonts w:ascii="Times New Roman" w:hAnsi="Times New Roman"/>
          <w:sz w:val="28"/>
          <w:szCs w:val="28"/>
          <w:lang w:val="uk-UA"/>
        </w:rPr>
        <w:t xml:space="preserve">ально-виховними комплексами), </w:t>
      </w:r>
      <w:r w:rsidR="00DB7B45" w:rsidRPr="001B5DE3">
        <w:rPr>
          <w:rFonts w:ascii="Times New Roman" w:hAnsi="Times New Roman"/>
          <w:sz w:val="28"/>
          <w:szCs w:val="28"/>
          <w:lang w:val="uk-UA"/>
        </w:rPr>
        <w:t xml:space="preserve">в </w:t>
      </w:r>
      <w:r w:rsidRPr="001B5DE3">
        <w:rPr>
          <w:rFonts w:ascii="Times New Roman" w:hAnsi="Times New Roman"/>
          <w:sz w:val="28"/>
          <w:szCs w:val="28"/>
          <w:lang w:val="uk-UA"/>
        </w:rPr>
        <w:t xml:space="preserve">яких здобувають дошкільну освіту </w:t>
      </w:r>
      <w:r w:rsidRPr="001B5DE3">
        <w:rPr>
          <w:rFonts w:ascii="Times New Roman" w:hAnsi="Times New Roman"/>
          <w:sz w:val="28"/>
          <w:szCs w:val="28"/>
          <w:lang w:val="uk-UA"/>
        </w:rPr>
        <w:br/>
        <w:t>100 тисяч малюків.</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За І півріччя 2021 року в області створено 20 додаткових місць, а саме: відкрито 1 додаткову групу у функціонуючому закладі дошкільної освіти на </w:t>
      </w:r>
      <w:r w:rsidRPr="001B5DE3">
        <w:rPr>
          <w:rFonts w:ascii="Times New Roman" w:hAnsi="Times New Roman"/>
          <w:sz w:val="28"/>
          <w:szCs w:val="28"/>
          <w:lang w:val="uk-UA"/>
        </w:rPr>
        <w:br/>
        <w:t xml:space="preserve">20 місць у Карпівській територіальній громаді Криворізького району. </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Показник охоплення всіма формами дошкільної освіти по області становить 93,5%. </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Охоплення п’ятирічних дітей дошкільною освітою становить 100%.</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Відповідно до рішення виконавчого комітету Вербківської сільської ра</w:t>
      </w:r>
      <w:r w:rsidR="001B60AE" w:rsidRPr="001B5DE3">
        <w:rPr>
          <w:rFonts w:ascii="Times New Roman" w:hAnsi="Times New Roman"/>
          <w:sz w:val="28"/>
          <w:szCs w:val="28"/>
          <w:lang w:val="uk-UA"/>
        </w:rPr>
        <w:t xml:space="preserve">ди від 30 березня </w:t>
      </w:r>
      <w:r w:rsidRPr="001B5DE3">
        <w:rPr>
          <w:rFonts w:ascii="Times New Roman" w:hAnsi="Times New Roman"/>
          <w:sz w:val="28"/>
          <w:szCs w:val="28"/>
          <w:lang w:val="uk-UA"/>
        </w:rPr>
        <w:t>2021</w:t>
      </w:r>
      <w:r w:rsidR="001B60AE" w:rsidRPr="001B5DE3">
        <w:rPr>
          <w:rFonts w:ascii="Times New Roman" w:hAnsi="Times New Roman"/>
          <w:sz w:val="28"/>
          <w:szCs w:val="28"/>
          <w:lang w:val="uk-UA"/>
        </w:rPr>
        <w:t xml:space="preserve"> року</w:t>
      </w:r>
      <w:r w:rsidRPr="001B5DE3">
        <w:rPr>
          <w:rFonts w:ascii="Times New Roman" w:hAnsi="Times New Roman"/>
          <w:sz w:val="28"/>
          <w:szCs w:val="28"/>
          <w:lang w:val="uk-UA"/>
        </w:rPr>
        <w:t xml:space="preserve"> №117-6/</w:t>
      </w:r>
      <w:r w:rsidRPr="001B5DE3">
        <w:rPr>
          <w:rFonts w:ascii="Times New Roman" w:hAnsi="Times New Roman"/>
          <w:sz w:val="28"/>
          <w:szCs w:val="28"/>
          <w:lang w:val="en-US"/>
        </w:rPr>
        <w:t>VII</w:t>
      </w:r>
      <w:r w:rsidRPr="001B5DE3">
        <w:rPr>
          <w:rFonts w:ascii="Times New Roman" w:hAnsi="Times New Roman"/>
          <w:sz w:val="28"/>
          <w:szCs w:val="28"/>
          <w:lang w:val="uk-UA"/>
        </w:rPr>
        <w:t xml:space="preserve"> припинено функціонування </w:t>
      </w:r>
      <w:r w:rsidR="001B60AE" w:rsidRPr="001B5DE3">
        <w:rPr>
          <w:rFonts w:ascii="Times New Roman" w:hAnsi="Times New Roman"/>
          <w:sz w:val="28"/>
          <w:szCs w:val="28"/>
          <w:lang w:val="uk-UA"/>
        </w:rPr>
        <w:t>К</w:t>
      </w:r>
      <w:r w:rsidRPr="001B5DE3">
        <w:rPr>
          <w:rFonts w:ascii="Times New Roman" w:hAnsi="Times New Roman"/>
          <w:sz w:val="28"/>
          <w:szCs w:val="28"/>
          <w:lang w:val="uk-UA"/>
        </w:rPr>
        <w:t>омунального дошкільного навчального закладу “Поперечнянський дитячий садок “Колосок” загального розв</w:t>
      </w:r>
      <w:r w:rsidR="00BD67FE" w:rsidRPr="001B5DE3">
        <w:rPr>
          <w:rFonts w:ascii="Times New Roman" w:hAnsi="Times New Roman"/>
          <w:sz w:val="28"/>
          <w:szCs w:val="28"/>
          <w:lang w:val="uk-UA"/>
        </w:rPr>
        <w:t>итку” шляхом ліквідації з 02 червня</w:t>
      </w:r>
      <w:r w:rsidR="00DB7B45" w:rsidRPr="001B5DE3">
        <w:rPr>
          <w:rFonts w:ascii="Times New Roman" w:hAnsi="Times New Roman"/>
          <w:sz w:val="28"/>
          <w:szCs w:val="28"/>
          <w:lang w:val="uk-UA"/>
        </w:rPr>
        <w:t xml:space="preserve"> </w:t>
      </w:r>
      <w:r w:rsidRPr="001B5DE3">
        <w:rPr>
          <w:rFonts w:ascii="Times New Roman" w:hAnsi="Times New Roman"/>
          <w:sz w:val="28"/>
          <w:szCs w:val="28"/>
          <w:lang w:val="uk-UA"/>
        </w:rPr>
        <w:t>2021</w:t>
      </w:r>
      <w:r w:rsidR="00BD67FE" w:rsidRPr="001B5DE3">
        <w:rPr>
          <w:rFonts w:ascii="Times New Roman" w:hAnsi="Times New Roman"/>
          <w:sz w:val="28"/>
          <w:szCs w:val="28"/>
          <w:lang w:val="uk-UA"/>
        </w:rPr>
        <w:t xml:space="preserve"> року</w:t>
      </w:r>
      <w:r w:rsidRPr="001B5DE3">
        <w:rPr>
          <w:rFonts w:ascii="Times New Roman" w:hAnsi="Times New Roman"/>
          <w:sz w:val="28"/>
          <w:szCs w:val="28"/>
          <w:lang w:val="uk-UA"/>
        </w:rPr>
        <w:t>.</w:t>
      </w:r>
    </w:p>
    <w:p w:rsidR="00F37613" w:rsidRPr="001B5DE3" w:rsidRDefault="00F37613" w:rsidP="0022450D">
      <w:pPr>
        <w:pStyle w:val="afc"/>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1B5DE3" w:rsidRPr="001B5DE3" w:rsidTr="00FD596D">
        <w:trPr>
          <w:tblHeader/>
        </w:trPr>
        <w:tc>
          <w:tcPr>
            <w:tcW w:w="6237" w:type="dxa"/>
          </w:tcPr>
          <w:p w:rsidR="00F37613" w:rsidRPr="001B5DE3" w:rsidRDefault="00F37613" w:rsidP="0022450D">
            <w:pPr>
              <w:tabs>
                <w:tab w:val="left" w:pos="709"/>
              </w:tabs>
              <w:spacing w:after="0" w:line="240" w:lineRule="auto"/>
              <w:ind w:firstLine="900"/>
              <w:jc w:val="center"/>
              <w:rPr>
                <w:rFonts w:ascii="Times New Roman" w:hAnsi="Times New Roman" w:cs="Times New Roman"/>
                <w:sz w:val="24"/>
                <w:szCs w:val="24"/>
                <w:lang w:val="uk-UA"/>
              </w:rPr>
            </w:pP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r w:rsidRPr="001B5DE3">
              <w:rPr>
                <w:rFonts w:ascii="Times New Roman" w:hAnsi="Times New Roman" w:cs="Times New Roman"/>
                <w:sz w:val="24"/>
                <w:szCs w:val="24"/>
                <w:lang w:val="uk-UA"/>
              </w:rPr>
              <w:br/>
              <w:t>2020 року</w:t>
            </w: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p>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2021року</w:t>
            </w:r>
          </w:p>
        </w:tc>
      </w:tr>
      <w:tr w:rsidR="001B5DE3" w:rsidRPr="001B5DE3" w:rsidTr="00FD596D">
        <w:tc>
          <w:tcPr>
            <w:tcW w:w="6237" w:type="dxa"/>
          </w:tcPr>
          <w:p w:rsidR="00F37613" w:rsidRPr="001B5DE3" w:rsidRDefault="00F37613" w:rsidP="0022450D">
            <w:pPr>
              <w:tabs>
                <w:tab w:val="left" w:pos="709"/>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дошкільних навчальних закладів</w:t>
            </w: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830</w:t>
            </w: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820</w:t>
            </w:r>
          </w:p>
        </w:tc>
      </w:tr>
      <w:tr w:rsidR="001B5DE3" w:rsidRPr="001B5DE3" w:rsidTr="00FD596D">
        <w:tc>
          <w:tcPr>
            <w:tcW w:w="6237" w:type="dxa"/>
          </w:tcPr>
          <w:p w:rsidR="00F37613" w:rsidRPr="001B5DE3" w:rsidRDefault="00F37613" w:rsidP="0022450D">
            <w:pPr>
              <w:tabs>
                <w:tab w:val="left" w:pos="709"/>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Відкрито додаткових груп у діючих дошкільних навчальних закладах за період</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w:t>
            </w:r>
          </w:p>
        </w:tc>
      </w:tr>
      <w:tr w:rsidR="00F37613" w:rsidRPr="001B5DE3" w:rsidTr="00FD596D">
        <w:tc>
          <w:tcPr>
            <w:tcW w:w="6237" w:type="dxa"/>
          </w:tcPr>
          <w:p w:rsidR="00F37613" w:rsidRPr="001B5DE3" w:rsidRDefault="00F37613" w:rsidP="0022450D">
            <w:pPr>
              <w:tabs>
                <w:tab w:val="left" w:pos="709"/>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Місць у створених додаткових групах у діючих дошкільних навчальних закладах</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15</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w:t>
            </w:r>
          </w:p>
        </w:tc>
      </w:tr>
    </w:tbl>
    <w:p w:rsidR="00F37613" w:rsidRPr="001B5DE3" w:rsidRDefault="00F37613" w:rsidP="0022450D">
      <w:pPr>
        <w:pStyle w:val="afc"/>
        <w:ind w:firstLine="708"/>
        <w:jc w:val="both"/>
        <w:rPr>
          <w:rFonts w:ascii="Times New Roman" w:hAnsi="Times New Roman"/>
          <w:sz w:val="16"/>
          <w:szCs w:val="16"/>
          <w:lang w:val="uk-UA"/>
        </w:rPr>
      </w:pP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Станом на 01 червня 2021 року на території Дніпропетровської області функціонувало 148 комунальних закладів позашкільної освіти, з них: 114 ‒ різнопрофільні та 34 дитячо-юнацькі спортивні школи системи освіти, якими було охоплено майже 102 тис. дітей та учнівської молоді.</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Найбільша чисельність закладів позашкільної освіти у 5 містах обласного значення: Кривий Ріг – 30, Кам’янське – 7, Павлоград – 5, Нікополь – 4, Марганець – 3.</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У м.</w:t>
      </w:r>
      <w:r w:rsidR="00BD67FE"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Дніпро триває процес реорганізації закладів позашкільної освіти шляхом об’єднання. З 20 закладів планується залишити 8.</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Загальна кількість вихованців, які відвідували гуртки, секції, в закладах позашкільної освіти, які знаходяться в територіальних громадах області</w:t>
      </w:r>
      <w:r w:rsidR="00BD67FE"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становить 21877 осіб.</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 базі закладів загальної середньої освіти функціонувало 3897 гуртків та секцій, якими було охоплено 63258 осіб.</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цьому році був відкритий </w:t>
      </w:r>
      <w:r w:rsidR="00BD67FE"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омунальний заклад позашкільної освіти “Центр дитячої та юнацької творчості” Мирівської сільської ради (рішення Мирі</w:t>
      </w:r>
      <w:r w:rsidR="00302F24" w:rsidRPr="001B5DE3">
        <w:rPr>
          <w:rFonts w:ascii="Times New Roman" w:hAnsi="Times New Roman" w:cs="Times New Roman"/>
          <w:sz w:val="28"/>
          <w:szCs w:val="28"/>
          <w:lang w:val="uk-UA"/>
        </w:rPr>
        <w:t xml:space="preserve">вської сільської ради від 27 лютого </w:t>
      </w:r>
      <w:r w:rsidRPr="001B5DE3">
        <w:rPr>
          <w:rFonts w:ascii="Times New Roman" w:hAnsi="Times New Roman" w:cs="Times New Roman"/>
          <w:sz w:val="28"/>
          <w:szCs w:val="28"/>
          <w:lang w:val="uk-UA"/>
        </w:rPr>
        <w:t xml:space="preserve">2021 </w:t>
      </w:r>
      <w:r w:rsidR="00302F24" w:rsidRPr="001B5DE3">
        <w:rPr>
          <w:rFonts w:ascii="Times New Roman" w:hAnsi="Times New Roman" w:cs="Times New Roman"/>
          <w:sz w:val="28"/>
          <w:szCs w:val="28"/>
          <w:lang w:val="uk-UA"/>
        </w:rPr>
        <w:t xml:space="preserve">року </w:t>
      </w:r>
      <w:r w:rsidRPr="001B5DE3">
        <w:rPr>
          <w:rFonts w:ascii="Times New Roman" w:hAnsi="Times New Roman" w:cs="Times New Roman"/>
          <w:sz w:val="28"/>
          <w:szCs w:val="28"/>
          <w:lang w:val="uk-UA"/>
        </w:rPr>
        <w:t>№ 705-31/1/ “Про створення комунального закладу позашкільної освіти “Центр дитячої та юнацької творчості” Мирівської сільської ради).</w:t>
      </w:r>
    </w:p>
    <w:p w:rsidR="00F37613" w:rsidRPr="001B5DE3" w:rsidRDefault="00F37613" w:rsidP="0022450D">
      <w:pPr>
        <w:tabs>
          <w:tab w:val="left" w:pos="709"/>
        </w:tabs>
        <w:spacing w:after="0" w:line="240" w:lineRule="auto"/>
        <w:ind w:firstLine="709"/>
        <w:jc w:val="both"/>
        <w:rPr>
          <w:rFonts w:ascii="Times New Roman" w:hAnsi="Times New Roman" w:cs="Times New Roman"/>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1B5DE3" w:rsidRPr="001B5DE3" w:rsidTr="00FD596D">
        <w:tc>
          <w:tcPr>
            <w:tcW w:w="6237" w:type="dxa"/>
          </w:tcPr>
          <w:p w:rsidR="00F37613" w:rsidRPr="001B5DE3" w:rsidRDefault="00F37613" w:rsidP="0022450D">
            <w:pPr>
              <w:tabs>
                <w:tab w:val="left" w:pos="709"/>
              </w:tabs>
              <w:spacing w:after="0" w:line="240" w:lineRule="auto"/>
              <w:ind w:firstLine="900"/>
              <w:jc w:val="center"/>
              <w:rPr>
                <w:rFonts w:ascii="Times New Roman" w:hAnsi="Times New Roman" w:cs="Times New Roman"/>
                <w:sz w:val="24"/>
                <w:szCs w:val="24"/>
                <w:lang w:val="uk-UA"/>
              </w:rPr>
            </w:pP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r w:rsidRPr="001B5DE3">
              <w:rPr>
                <w:rFonts w:ascii="Times New Roman" w:hAnsi="Times New Roman" w:cs="Times New Roman"/>
                <w:sz w:val="24"/>
                <w:szCs w:val="24"/>
                <w:lang w:val="uk-UA"/>
              </w:rPr>
              <w:br/>
              <w:t>2020 року</w:t>
            </w:r>
          </w:p>
        </w:tc>
        <w:tc>
          <w:tcPr>
            <w:tcW w:w="1701" w:type="dxa"/>
            <w:vAlign w:val="center"/>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p>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w:t>
            </w:r>
            <w:r w:rsidR="00773946" w:rsidRPr="001B5DE3">
              <w:rPr>
                <w:rFonts w:ascii="Times New Roman" w:hAnsi="Times New Roman" w:cs="Times New Roman"/>
                <w:sz w:val="24"/>
                <w:szCs w:val="24"/>
                <w:lang w:val="uk-UA"/>
              </w:rPr>
              <w:t xml:space="preserve">21 </w:t>
            </w:r>
            <w:r w:rsidRPr="001B5DE3">
              <w:rPr>
                <w:rFonts w:ascii="Times New Roman" w:hAnsi="Times New Roman" w:cs="Times New Roman"/>
                <w:sz w:val="24"/>
                <w:szCs w:val="24"/>
                <w:lang w:val="uk-UA"/>
              </w:rPr>
              <w:t>року</w:t>
            </w:r>
          </w:p>
        </w:tc>
      </w:tr>
      <w:tr w:rsidR="001B5DE3" w:rsidRPr="001B5DE3" w:rsidTr="00FD596D">
        <w:tc>
          <w:tcPr>
            <w:tcW w:w="6237" w:type="dxa"/>
          </w:tcPr>
          <w:p w:rsidR="00F37613" w:rsidRPr="001B5DE3" w:rsidRDefault="00F37613" w:rsidP="0022450D">
            <w:pPr>
              <w:spacing w:after="0" w:line="240" w:lineRule="auto"/>
              <w:rPr>
                <w:rFonts w:ascii="Times New Roman" w:hAnsi="Times New Roman" w:cs="Times New Roman"/>
                <w:iCs/>
                <w:sz w:val="24"/>
                <w:szCs w:val="24"/>
                <w:lang w:val="uk-UA"/>
              </w:rPr>
            </w:pPr>
            <w:r w:rsidRPr="001B5DE3">
              <w:rPr>
                <w:rFonts w:ascii="Times New Roman" w:hAnsi="Times New Roman" w:cs="Times New Roman"/>
                <w:iCs/>
                <w:sz w:val="24"/>
                <w:szCs w:val="24"/>
                <w:lang w:val="uk-UA"/>
              </w:rPr>
              <w:t>Кількість різнопрофільних  позашкільних закладів</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118</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114</w:t>
            </w:r>
          </w:p>
        </w:tc>
      </w:tr>
      <w:tr w:rsidR="00F37613" w:rsidRPr="001B5DE3" w:rsidTr="00FD596D">
        <w:tc>
          <w:tcPr>
            <w:tcW w:w="6237" w:type="dxa"/>
          </w:tcPr>
          <w:p w:rsidR="00F37613" w:rsidRPr="001B5DE3" w:rsidRDefault="00F37613" w:rsidP="0022450D">
            <w:pPr>
              <w:tabs>
                <w:tab w:val="left" w:pos="709"/>
              </w:tabs>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дітей, які охоплені позашкільною освітою та гуртковою роботою</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87958</w:t>
            </w:r>
          </w:p>
        </w:tc>
        <w:tc>
          <w:tcPr>
            <w:tcW w:w="1701" w:type="dxa"/>
          </w:tcPr>
          <w:p w:rsidR="00F37613" w:rsidRPr="001B5DE3" w:rsidRDefault="00F37613" w:rsidP="0022450D">
            <w:pPr>
              <w:tabs>
                <w:tab w:val="left" w:pos="709"/>
              </w:tabs>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86000</w:t>
            </w:r>
          </w:p>
        </w:tc>
      </w:tr>
    </w:tbl>
    <w:p w:rsidR="00F37613" w:rsidRPr="001B5DE3" w:rsidRDefault="00F37613" w:rsidP="0022450D">
      <w:pPr>
        <w:tabs>
          <w:tab w:val="left" w:pos="709"/>
        </w:tabs>
        <w:spacing w:after="0" w:line="240" w:lineRule="auto"/>
        <w:ind w:firstLine="709"/>
        <w:jc w:val="both"/>
        <w:rPr>
          <w:rFonts w:ascii="Times New Roman" w:hAnsi="Times New Roman" w:cs="Times New Roman"/>
          <w:sz w:val="16"/>
          <w:szCs w:val="16"/>
          <w:lang w:val="uk-UA"/>
        </w:rPr>
      </w:pPr>
    </w:p>
    <w:p w:rsidR="00F37613" w:rsidRPr="001B5DE3" w:rsidRDefault="00F37613" w:rsidP="00B42D18">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Відповідно до чинного законодавства України в частині запобігання поширенню на території України гострої респіраторної хвороби COVID-19, спричиненої коронавірусом SARS-CoV-2, освітній процес здійснювався </w:t>
      </w:r>
      <w:r w:rsidRPr="001B5DE3">
        <w:rPr>
          <w:rFonts w:ascii="Times New Roman" w:hAnsi="Times New Roman" w:cs="Times New Roman"/>
          <w:sz w:val="28"/>
          <w:szCs w:val="28"/>
          <w:lang w:val="uk-UA"/>
        </w:rPr>
        <w:br/>
        <w:t>в режимі онлайн та офлайн.</w:t>
      </w:r>
    </w:p>
    <w:p w:rsidR="00F37613" w:rsidRPr="001B5DE3" w:rsidRDefault="00F37613" w:rsidP="00B42D18">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В області забезпечується конституційне право і державні гарантії </w:t>
      </w:r>
      <w:r w:rsidRPr="001B5DE3">
        <w:rPr>
          <w:rFonts w:ascii="Times New Roman" w:hAnsi="Times New Roman" w:cs="Times New Roman"/>
          <w:sz w:val="28"/>
          <w:szCs w:val="28"/>
          <w:lang w:val="uk-UA"/>
        </w:rPr>
        <w:br/>
      </w:r>
      <w:r w:rsidRPr="001B5DE3">
        <w:rPr>
          <w:rFonts w:ascii="Times New Roman" w:hAnsi="Times New Roman" w:cs="Times New Roman"/>
          <w:bCs/>
          <w:sz w:val="28"/>
          <w:szCs w:val="28"/>
          <w:lang w:val="uk-UA"/>
        </w:rPr>
        <w:t xml:space="preserve">338877 </w:t>
      </w:r>
      <w:r w:rsidRPr="001B5DE3">
        <w:rPr>
          <w:rFonts w:ascii="Times New Roman" w:hAnsi="Times New Roman" w:cs="Times New Roman"/>
          <w:sz w:val="28"/>
          <w:szCs w:val="28"/>
          <w:lang w:val="uk-UA"/>
        </w:rPr>
        <w:t>тисячам учнів закладів загальної середньої освіти на здобуття загальної середньої освіти у 841 закладі загальної середньої освіти.</w:t>
      </w:r>
    </w:p>
    <w:p w:rsidR="00F37613" w:rsidRPr="001B5DE3" w:rsidRDefault="00F37613" w:rsidP="00B42D18">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зв’язку з добровільним об’єднанням територіальних громад відбувається передача закладів освіти до комунальної власності територіальних громад, які в межах своїх повноважень засновують, реорганізовують і ліквідовують заклади освіти, створюють заклади загальної середньої освіти з профільним навчанням. </w:t>
      </w:r>
    </w:p>
    <w:p w:rsidR="00F37613" w:rsidRPr="001B5DE3" w:rsidRDefault="00F37613" w:rsidP="00B42D18">
      <w:pPr>
        <w:spacing w:after="0" w:line="247"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В області забезпечується стовідсоткове безкоштовне підвезення понад </w:t>
      </w:r>
      <w:r w:rsidRPr="001B5DE3">
        <w:rPr>
          <w:rFonts w:ascii="Times New Roman" w:hAnsi="Times New Roman" w:cs="Times New Roman"/>
          <w:sz w:val="28"/>
          <w:szCs w:val="28"/>
          <w:lang w:val="uk-UA"/>
        </w:rPr>
        <w:br/>
        <w:t>20 тис. учасників навчально-виховного процесу у сільській місцевості до місця навчання і роботи та у зворотному напрямку 500 шкільними автобусами.</w:t>
      </w:r>
    </w:p>
    <w:p w:rsidR="00F37613" w:rsidRPr="001B5DE3" w:rsidRDefault="00302F24" w:rsidP="00B42D18">
      <w:pPr>
        <w:spacing w:after="0" w:line="247"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Станом на 01 липня </w:t>
      </w:r>
      <w:r w:rsidR="00F37613" w:rsidRPr="001B5DE3">
        <w:rPr>
          <w:rFonts w:ascii="Times New Roman" w:hAnsi="Times New Roman" w:cs="Times New Roman"/>
          <w:sz w:val="28"/>
          <w:szCs w:val="28"/>
          <w:lang w:val="uk-UA"/>
        </w:rPr>
        <w:t>2021</w:t>
      </w:r>
      <w:r w:rsidRPr="001B5DE3">
        <w:rPr>
          <w:rFonts w:ascii="Times New Roman" w:hAnsi="Times New Roman" w:cs="Times New Roman"/>
          <w:sz w:val="28"/>
          <w:szCs w:val="28"/>
          <w:lang w:val="uk-UA"/>
        </w:rPr>
        <w:t xml:space="preserve"> року </w:t>
      </w:r>
      <w:r w:rsidR="00F37613" w:rsidRPr="001B5DE3">
        <w:rPr>
          <w:rFonts w:ascii="Times New Roman" w:hAnsi="Times New Roman" w:cs="Times New Roman"/>
          <w:sz w:val="28"/>
          <w:szCs w:val="28"/>
          <w:lang w:val="uk-UA"/>
        </w:rPr>
        <w:t>департаментом освіти і науки облдержадміністрації проведена закупівля 26 шкільних автобусів</w:t>
      </w:r>
      <w:r w:rsidRPr="001B5DE3">
        <w:rPr>
          <w:rFonts w:ascii="Times New Roman" w:hAnsi="Times New Roman" w:cs="Times New Roman"/>
          <w:sz w:val="28"/>
          <w:szCs w:val="28"/>
          <w:lang w:val="uk-UA"/>
        </w:rPr>
        <w:t xml:space="preserve"> та </w:t>
      </w:r>
      <w:r w:rsidR="00F37613" w:rsidRPr="001B5DE3">
        <w:rPr>
          <w:rFonts w:ascii="Times New Roman" w:hAnsi="Times New Roman" w:cs="Times New Roman"/>
          <w:sz w:val="28"/>
          <w:szCs w:val="28"/>
          <w:lang w:val="uk-UA"/>
        </w:rPr>
        <w:t>здійснено державні закупівлі оснащення для 68 кабінетів хімії, фізики, біології.</w:t>
      </w:r>
    </w:p>
    <w:p w:rsidR="00F37613" w:rsidRPr="001B5DE3" w:rsidRDefault="00F37613" w:rsidP="00B42D18">
      <w:pPr>
        <w:tabs>
          <w:tab w:val="left" w:pos="709"/>
        </w:tabs>
        <w:spacing w:after="0" w:line="247"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Відповідно до постанови Кабінету Міністрів України від 21 квітня </w:t>
      </w:r>
      <w:r w:rsidRPr="001B5DE3">
        <w:rPr>
          <w:rFonts w:ascii="Times New Roman" w:hAnsi="Times New Roman" w:cs="Times New Roman"/>
          <w:sz w:val="28"/>
          <w:szCs w:val="28"/>
          <w:lang w:val="uk-UA"/>
        </w:rPr>
        <w:br/>
        <w:t xml:space="preserve">2021 року № 403 “Деякі питання надання субвенції з державного бюджету місцевим бюджетам на заходи, спрямовані на боротьбу з гострою респіраторною хворобою </w:t>
      </w:r>
      <w:r w:rsidRPr="001B5DE3">
        <w:rPr>
          <w:rFonts w:ascii="Times New Roman" w:hAnsi="Times New Roman" w:cs="Times New Roman"/>
          <w:sz w:val="28"/>
          <w:szCs w:val="28"/>
          <w:lang w:val="en-US"/>
        </w:rPr>
        <w:t>COVID</w:t>
      </w:r>
      <w:r w:rsidRPr="001B5DE3">
        <w:rPr>
          <w:rFonts w:ascii="Times New Roman" w:hAnsi="Times New Roman" w:cs="Times New Roman"/>
          <w:sz w:val="28"/>
          <w:szCs w:val="28"/>
          <w:lang w:val="uk-UA"/>
        </w:rPr>
        <w:t>-19, спричиненою корон</w:t>
      </w:r>
      <w:r w:rsidR="0026228E"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вірусом </w:t>
      </w:r>
      <w:r w:rsidRPr="001B5DE3">
        <w:rPr>
          <w:rFonts w:ascii="Times New Roman" w:hAnsi="Times New Roman" w:cs="Times New Roman"/>
          <w:sz w:val="28"/>
          <w:szCs w:val="28"/>
          <w:lang w:val="uk-UA"/>
        </w:rPr>
        <w:br/>
      </w:r>
      <w:r w:rsidRPr="001B5DE3">
        <w:rPr>
          <w:rFonts w:ascii="Times New Roman" w:hAnsi="Times New Roman" w:cs="Times New Roman"/>
          <w:sz w:val="28"/>
          <w:szCs w:val="28"/>
          <w:lang w:val="en-US"/>
        </w:rPr>
        <w:t>SARS</w:t>
      </w:r>
      <w:r w:rsidRPr="001B5DE3">
        <w:rPr>
          <w:rFonts w:ascii="Times New Roman" w:hAnsi="Times New Roman" w:cs="Times New Roman"/>
          <w:sz w:val="28"/>
          <w:szCs w:val="28"/>
          <w:lang w:val="uk-UA"/>
        </w:rPr>
        <w:t>-</w:t>
      </w:r>
      <w:r w:rsidRPr="001B5DE3">
        <w:rPr>
          <w:rFonts w:ascii="Times New Roman" w:hAnsi="Times New Roman" w:cs="Times New Roman"/>
          <w:sz w:val="28"/>
          <w:szCs w:val="28"/>
          <w:lang w:val="en-US"/>
        </w:rPr>
        <w:t>CoV</w:t>
      </w:r>
      <w:r w:rsidRPr="001B5DE3">
        <w:rPr>
          <w:rFonts w:ascii="Times New Roman" w:hAnsi="Times New Roman" w:cs="Times New Roman"/>
          <w:sz w:val="28"/>
          <w:szCs w:val="28"/>
          <w:lang w:val="uk-UA"/>
        </w:rPr>
        <w:t xml:space="preserve">-2, та її наслідками під час навчального процесу у закладах загальної середньої освіти” </w:t>
      </w:r>
      <w:r w:rsidR="00BC5B22" w:rsidRPr="001B5DE3">
        <w:rPr>
          <w:rFonts w:ascii="Times New Roman" w:hAnsi="Times New Roman" w:cs="Times New Roman"/>
          <w:sz w:val="28"/>
          <w:szCs w:val="28"/>
          <w:lang w:val="uk-UA"/>
        </w:rPr>
        <w:t xml:space="preserve"> (</w:t>
      </w:r>
      <w:r w:rsidR="0026228E" w:rsidRPr="001B5DE3">
        <w:rPr>
          <w:rFonts w:ascii="Times New Roman" w:hAnsi="Times New Roman" w:cs="Times New Roman"/>
          <w:sz w:val="28"/>
          <w:szCs w:val="28"/>
          <w:lang w:val="uk-UA"/>
        </w:rPr>
        <w:t>із</w:t>
      </w:r>
      <w:r w:rsidR="00BC5B22" w:rsidRPr="001B5DE3">
        <w:rPr>
          <w:rFonts w:ascii="Times New Roman" w:hAnsi="Times New Roman" w:cs="Times New Roman"/>
          <w:sz w:val="28"/>
          <w:szCs w:val="28"/>
          <w:lang w:val="uk-UA"/>
        </w:rPr>
        <w:t xml:space="preserve"> змінами) </w:t>
      </w:r>
      <w:r w:rsidRPr="001B5DE3">
        <w:rPr>
          <w:rFonts w:ascii="Times New Roman" w:hAnsi="Times New Roman" w:cs="Times New Roman"/>
          <w:sz w:val="28"/>
          <w:szCs w:val="28"/>
          <w:lang w:val="uk-UA"/>
        </w:rPr>
        <w:t>Дніпропетровськ</w:t>
      </w:r>
      <w:r w:rsidR="0026228E" w:rsidRPr="001B5DE3">
        <w:rPr>
          <w:rFonts w:ascii="Times New Roman" w:hAnsi="Times New Roman" w:cs="Times New Roman"/>
          <w:sz w:val="28"/>
          <w:szCs w:val="28"/>
          <w:lang w:val="uk-UA"/>
        </w:rPr>
        <w:t>ій</w:t>
      </w:r>
      <w:r w:rsidRPr="001B5DE3">
        <w:rPr>
          <w:rFonts w:ascii="Times New Roman" w:hAnsi="Times New Roman" w:cs="Times New Roman"/>
          <w:sz w:val="28"/>
          <w:szCs w:val="28"/>
          <w:lang w:val="uk-UA"/>
        </w:rPr>
        <w:t xml:space="preserve"> області розподілено обсяг субвенції:</w:t>
      </w:r>
    </w:p>
    <w:p w:rsidR="00F37613" w:rsidRPr="001B5DE3" w:rsidRDefault="00F37613" w:rsidP="0022450D">
      <w:pPr>
        <w:tabs>
          <w:tab w:val="left" w:pos="709"/>
        </w:tabs>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на придбання засобів захисту, необхідних для організації протиепідемічних заходів під час проведення основної та додаткової сесій незалежного оцінювання у 2021 році (видатки споживання). Придбані дезінфікуючі засоби для рук та поверхонь, халати, захисні щитки, що дало можливість забезпечити в повному обсязі заходи</w:t>
      </w:r>
      <w:r w:rsidR="0026228E"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спрямовані на боротьбу з гострою респіраторною хворобою </w:t>
      </w:r>
      <w:r w:rsidRPr="001B5DE3">
        <w:rPr>
          <w:rFonts w:ascii="Times New Roman" w:hAnsi="Times New Roman" w:cs="Times New Roman"/>
          <w:sz w:val="28"/>
          <w:szCs w:val="28"/>
          <w:lang w:val="en-US"/>
        </w:rPr>
        <w:t>COVID</w:t>
      </w:r>
      <w:r w:rsidRPr="001B5DE3">
        <w:rPr>
          <w:rFonts w:ascii="Times New Roman" w:hAnsi="Times New Roman" w:cs="Times New Roman"/>
          <w:sz w:val="28"/>
          <w:szCs w:val="28"/>
        </w:rPr>
        <w:t>-19 п</w:t>
      </w:r>
      <w:r w:rsidRPr="001B5DE3">
        <w:rPr>
          <w:rFonts w:ascii="Times New Roman" w:hAnsi="Times New Roman" w:cs="Times New Roman"/>
          <w:sz w:val="28"/>
          <w:szCs w:val="28"/>
          <w:lang w:val="uk-UA"/>
        </w:rPr>
        <w:t>і</w:t>
      </w:r>
      <w:r w:rsidRPr="001B5DE3">
        <w:rPr>
          <w:rFonts w:ascii="Times New Roman" w:hAnsi="Times New Roman" w:cs="Times New Roman"/>
          <w:sz w:val="28"/>
          <w:szCs w:val="28"/>
        </w:rPr>
        <w:t>д час проведення основно</w:t>
      </w:r>
      <w:r w:rsidRPr="001B5DE3">
        <w:rPr>
          <w:rFonts w:ascii="Times New Roman" w:hAnsi="Times New Roman" w:cs="Times New Roman"/>
          <w:sz w:val="28"/>
          <w:szCs w:val="28"/>
          <w:lang w:val="uk-UA"/>
        </w:rPr>
        <w:t>ї</w:t>
      </w:r>
      <w:r w:rsidRPr="001B5DE3">
        <w:rPr>
          <w:rFonts w:ascii="Times New Roman" w:hAnsi="Times New Roman" w:cs="Times New Roman"/>
          <w:sz w:val="28"/>
          <w:szCs w:val="28"/>
        </w:rPr>
        <w:t xml:space="preserve"> та додатково</w:t>
      </w:r>
      <w:r w:rsidRPr="001B5DE3">
        <w:rPr>
          <w:rFonts w:ascii="Times New Roman" w:hAnsi="Times New Roman" w:cs="Times New Roman"/>
          <w:sz w:val="28"/>
          <w:szCs w:val="28"/>
          <w:lang w:val="uk-UA"/>
        </w:rPr>
        <w:t>ї</w:t>
      </w:r>
      <w:r w:rsidRPr="001B5DE3">
        <w:rPr>
          <w:rFonts w:ascii="Times New Roman" w:hAnsi="Times New Roman" w:cs="Times New Roman"/>
          <w:sz w:val="28"/>
          <w:szCs w:val="28"/>
        </w:rPr>
        <w:t xml:space="preserve"> сес</w:t>
      </w:r>
      <w:r w:rsidRPr="001B5DE3">
        <w:rPr>
          <w:rFonts w:ascii="Times New Roman" w:hAnsi="Times New Roman" w:cs="Times New Roman"/>
          <w:sz w:val="28"/>
          <w:szCs w:val="28"/>
          <w:lang w:val="uk-UA"/>
        </w:rPr>
        <w:t>і</w:t>
      </w:r>
      <w:r w:rsidRPr="001B5DE3">
        <w:rPr>
          <w:rFonts w:ascii="Times New Roman" w:hAnsi="Times New Roman" w:cs="Times New Roman"/>
          <w:sz w:val="28"/>
          <w:szCs w:val="28"/>
        </w:rPr>
        <w:t>й зовн</w:t>
      </w:r>
      <w:r w:rsidRPr="001B5DE3">
        <w:rPr>
          <w:rFonts w:ascii="Times New Roman" w:hAnsi="Times New Roman" w:cs="Times New Roman"/>
          <w:sz w:val="28"/>
          <w:szCs w:val="28"/>
          <w:lang w:val="uk-UA"/>
        </w:rPr>
        <w:t>і</w:t>
      </w:r>
      <w:r w:rsidRPr="001B5DE3">
        <w:rPr>
          <w:rFonts w:ascii="Times New Roman" w:hAnsi="Times New Roman" w:cs="Times New Roman"/>
          <w:sz w:val="28"/>
          <w:szCs w:val="28"/>
        </w:rPr>
        <w:t>шнього незалежного оц</w:t>
      </w:r>
      <w:r w:rsidRPr="001B5DE3">
        <w:rPr>
          <w:rFonts w:ascii="Times New Roman" w:hAnsi="Times New Roman" w:cs="Times New Roman"/>
          <w:sz w:val="28"/>
          <w:szCs w:val="28"/>
          <w:lang w:val="uk-UA"/>
        </w:rPr>
        <w:t>і</w:t>
      </w:r>
      <w:r w:rsidRPr="001B5DE3">
        <w:rPr>
          <w:rFonts w:ascii="Times New Roman" w:hAnsi="Times New Roman" w:cs="Times New Roman"/>
          <w:sz w:val="28"/>
          <w:szCs w:val="28"/>
        </w:rPr>
        <w:t>нювання в 2021 роц</w:t>
      </w:r>
      <w:r w:rsidRPr="001B5DE3">
        <w:rPr>
          <w:rFonts w:ascii="Times New Roman" w:hAnsi="Times New Roman" w:cs="Times New Roman"/>
          <w:sz w:val="28"/>
          <w:szCs w:val="28"/>
          <w:lang w:val="uk-UA"/>
        </w:rPr>
        <w:t>і;</w:t>
      </w:r>
    </w:p>
    <w:p w:rsidR="00F37613" w:rsidRPr="001B5DE3" w:rsidRDefault="00F37613" w:rsidP="0022450D">
      <w:pPr>
        <w:tabs>
          <w:tab w:val="left" w:pos="709"/>
        </w:tabs>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 придбання ноутбуків для педагогічних працівників комунальних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w:t>
      </w:r>
    </w:p>
    <w:p w:rsidR="00F37613" w:rsidRPr="001B5DE3" w:rsidRDefault="00F37613" w:rsidP="0022450D">
      <w:pPr>
        <w:spacing w:after="0" w:line="240" w:lineRule="auto"/>
        <w:ind w:firstLine="720"/>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Усі заклади освіти денної форми навчання стовідсотково за</w:t>
      </w:r>
      <w:r w:rsidR="0026228E" w:rsidRPr="001B5DE3">
        <w:rPr>
          <w:rFonts w:ascii="Times New Roman" w:hAnsi="Times New Roman" w:cs="Times New Roman"/>
          <w:sz w:val="28"/>
          <w:szCs w:val="28"/>
          <w:lang w:val="uk-UA"/>
        </w:rPr>
        <w:t xml:space="preserve">безпечені комп’ютерною технікою для </w:t>
      </w:r>
      <w:r w:rsidRPr="001B5DE3">
        <w:rPr>
          <w:rFonts w:ascii="Times New Roman" w:hAnsi="Times New Roman" w:cs="Times New Roman"/>
          <w:sz w:val="28"/>
          <w:szCs w:val="28"/>
          <w:lang w:val="uk-UA"/>
        </w:rPr>
        <w:t>використ</w:t>
      </w:r>
      <w:r w:rsidR="00875390" w:rsidRPr="001B5DE3">
        <w:rPr>
          <w:rFonts w:ascii="Times New Roman" w:hAnsi="Times New Roman" w:cs="Times New Roman"/>
          <w:sz w:val="28"/>
          <w:szCs w:val="28"/>
          <w:lang w:val="uk-UA"/>
        </w:rPr>
        <w:t>ання її в освітньому процесі</w:t>
      </w:r>
      <w:r w:rsidRPr="001B5DE3">
        <w:rPr>
          <w:rFonts w:ascii="Times New Roman" w:hAnsi="Times New Roman" w:cs="Times New Roman"/>
          <w:sz w:val="28"/>
          <w:szCs w:val="28"/>
          <w:lang w:val="uk-UA"/>
        </w:rPr>
        <w:t xml:space="preserve"> та підключені до мережі Інтернет.</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У закладах вищої освіти області навчається майже 73254 студент</w:t>
      </w:r>
      <w:r w:rsidR="00875390" w:rsidRPr="001B5DE3">
        <w:rPr>
          <w:rFonts w:ascii="Times New Roman" w:hAnsi="Times New Roman"/>
          <w:sz w:val="28"/>
          <w:szCs w:val="28"/>
          <w:lang w:val="uk-UA"/>
        </w:rPr>
        <w:t>и</w:t>
      </w:r>
      <w:r w:rsidRPr="001B5DE3">
        <w:rPr>
          <w:rFonts w:ascii="Times New Roman" w:hAnsi="Times New Roman"/>
          <w:sz w:val="28"/>
          <w:szCs w:val="28"/>
          <w:lang w:val="uk-UA"/>
        </w:rPr>
        <w:t>. Навчальний процес у заклад</w:t>
      </w:r>
      <w:r w:rsidR="00631ED8" w:rsidRPr="001B5DE3">
        <w:rPr>
          <w:rFonts w:ascii="Times New Roman" w:hAnsi="Times New Roman"/>
          <w:sz w:val="28"/>
          <w:szCs w:val="28"/>
          <w:lang w:val="uk-UA"/>
        </w:rPr>
        <w:t xml:space="preserve">ах вищої освіти здійснюють 6015 </w:t>
      </w:r>
      <w:r w:rsidRPr="001B5DE3">
        <w:rPr>
          <w:rFonts w:ascii="Times New Roman" w:hAnsi="Times New Roman"/>
          <w:sz w:val="28"/>
          <w:szCs w:val="28"/>
          <w:lang w:val="uk-UA"/>
        </w:rPr>
        <w:t>науково-педагогічних працівників та 1214 педагогічних прац</w:t>
      </w:r>
      <w:r w:rsidR="00875390" w:rsidRPr="001B5DE3">
        <w:rPr>
          <w:rFonts w:ascii="Times New Roman" w:hAnsi="Times New Roman"/>
          <w:sz w:val="28"/>
          <w:szCs w:val="28"/>
          <w:lang w:val="uk-UA"/>
        </w:rPr>
        <w:t>івників, з них: 961 доктор наук, 731 професор, 3510 кандидатів наук,</w:t>
      </w:r>
      <w:r w:rsidRPr="001B5DE3">
        <w:rPr>
          <w:rFonts w:ascii="Times New Roman" w:hAnsi="Times New Roman"/>
          <w:sz w:val="28"/>
          <w:szCs w:val="28"/>
          <w:lang w:val="uk-UA"/>
        </w:rPr>
        <w:t xml:space="preserve"> 2615 доцентів.</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У ІІ семестрі 2020/2021 навчального року за особливі успіхи у навчанні, громадській, спортивній та науковій діяльності були призначені та отримали обласні іменні стипендії 174 кращих учн</w:t>
      </w:r>
      <w:r w:rsidR="00875390" w:rsidRPr="001B5DE3">
        <w:rPr>
          <w:rFonts w:ascii="Times New Roman" w:hAnsi="Times New Roman"/>
          <w:sz w:val="28"/>
          <w:szCs w:val="28"/>
          <w:lang w:val="uk-UA"/>
        </w:rPr>
        <w:t>і</w:t>
      </w:r>
      <w:r w:rsidRPr="001B5DE3">
        <w:rPr>
          <w:rFonts w:ascii="Times New Roman" w:hAnsi="Times New Roman"/>
          <w:sz w:val="28"/>
          <w:szCs w:val="28"/>
          <w:lang w:val="uk-UA"/>
        </w:rPr>
        <w:t xml:space="preserve"> закладів професійної (професійно-технічної) освіти та студент</w:t>
      </w:r>
      <w:r w:rsidR="00875390" w:rsidRPr="001B5DE3">
        <w:rPr>
          <w:rFonts w:ascii="Times New Roman" w:hAnsi="Times New Roman"/>
          <w:sz w:val="28"/>
          <w:szCs w:val="28"/>
          <w:lang w:val="uk-UA"/>
        </w:rPr>
        <w:t>и</w:t>
      </w:r>
      <w:r w:rsidRPr="001B5DE3">
        <w:rPr>
          <w:rFonts w:ascii="Times New Roman" w:hAnsi="Times New Roman"/>
          <w:sz w:val="28"/>
          <w:szCs w:val="28"/>
          <w:lang w:val="uk-UA"/>
        </w:rPr>
        <w:t xml:space="preserve"> закладів фахової передвищої освіти і вищої освіти Дніпропетровської області. </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 xml:space="preserve">У 2021 році 5 науковців, які проводять фундаментальні прикладні </w:t>
      </w:r>
      <w:r w:rsidR="004C2BE5">
        <w:rPr>
          <w:rFonts w:ascii="Times New Roman" w:hAnsi="Times New Roman"/>
          <w:sz w:val="28"/>
          <w:szCs w:val="28"/>
          <w:lang w:val="uk-UA"/>
        </w:rPr>
        <w:t xml:space="preserve">  </w:t>
      </w:r>
      <w:r w:rsidRPr="001B5DE3">
        <w:rPr>
          <w:rFonts w:ascii="Times New Roman" w:hAnsi="Times New Roman"/>
          <w:sz w:val="28"/>
          <w:szCs w:val="28"/>
          <w:lang w:val="uk-UA"/>
        </w:rPr>
        <w:t xml:space="preserve">наукові дослідження і отримують наукові та науково-технічні результати </w:t>
      </w:r>
      <w:r w:rsidR="004C2BE5">
        <w:rPr>
          <w:rFonts w:ascii="Times New Roman" w:hAnsi="Times New Roman"/>
          <w:sz w:val="28"/>
          <w:szCs w:val="28"/>
          <w:lang w:val="uk-UA"/>
        </w:rPr>
        <w:t xml:space="preserve">                        </w:t>
      </w:r>
      <w:r w:rsidRPr="001B5DE3">
        <w:rPr>
          <w:rFonts w:ascii="Times New Roman" w:hAnsi="Times New Roman"/>
          <w:sz w:val="28"/>
          <w:szCs w:val="28"/>
          <w:lang w:val="uk-UA"/>
        </w:rPr>
        <w:t>у ракетно-космічній галузі, отримали облас</w:t>
      </w:r>
      <w:r w:rsidR="004D2399" w:rsidRPr="001B5DE3">
        <w:rPr>
          <w:rFonts w:ascii="Times New Roman" w:hAnsi="Times New Roman"/>
          <w:sz w:val="28"/>
          <w:szCs w:val="28"/>
          <w:lang w:val="uk-UA"/>
        </w:rPr>
        <w:t xml:space="preserve">ну іменну стипендію </w:t>
      </w:r>
      <w:r w:rsidR="004D2399" w:rsidRPr="001B5DE3">
        <w:rPr>
          <w:rFonts w:ascii="Times New Roman" w:hAnsi="Times New Roman"/>
          <w:sz w:val="28"/>
          <w:szCs w:val="28"/>
          <w:lang w:val="uk-UA"/>
        </w:rPr>
        <w:br/>
        <w:t>імені О.М.</w:t>
      </w:r>
      <w:r w:rsidRPr="001B5DE3">
        <w:rPr>
          <w:rFonts w:ascii="Times New Roman" w:hAnsi="Times New Roman"/>
          <w:sz w:val="28"/>
          <w:szCs w:val="28"/>
          <w:lang w:val="uk-UA"/>
        </w:rPr>
        <w:t>Макар</w:t>
      </w:r>
      <w:r w:rsidR="004D2399" w:rsidRPr="001B5DE3">
        <w:rPr>
          <w:rFonts w:ascii="Times New Roman" w:hAnsi="Times New Roman"/>
          <w:sz w:val="28"/>
          <w:szCs w:val="28"/>
          <w:lang w:val="uk-UA"/>
        </w:rPr>
        <w:t xml:space="preserve">ова, </w:t>
      </w:r>
      <w:r w:rsidRPr="001B5DE3">
        <w:rPr>
          <w:rFonts w:ascii="Times New Roman" w:hAnsi="Times New Roman"/>
          <w:sz w:val="28"/>
          <w:szCs w:val="28"/>
          <w:lang w:val="uk-UA"/>
        </w:rPr>
        <w:t>сума стипендії становить 3000,00 грн/міс</w:t>
      </w:r>
      <w:r w:rsidR="004D2399" w:rsidRPr="001B5DE3">
        <w:rPr>
          <w:rFonts w:ascii="Times New Roman" w:hAnsi="Times New Roman"/>
          <w:sz w:val="28"/>
          <w:szCs w:val="28"/>
          <w:lang w:val="uk-UA"/>
        </w:rPr>
        <w:t>.</w:t>
      </w:r>
      <w:r w:rsidRPr="001B5DE3">
        <w:rPr>
          <w:rFonts w:ascii="Times New Roman" w:hAnsi="Times New Roman"/>
          <w:sz w:val="28"/>
          <w:szCs w:val="28"/>
          <w:lang w:val="uk-UA"/>
        </w:rPr>
        <w:t xml:space="preserve"> (березень – грудень).</w:t>
      </w:r>
    </w:p>
    <w:p w:rsidR="00F37613" w:rsidRPr="001B5DE3" w:rsidRDefault="00F37613" w:rsidP="0022450D">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Для стимулювання наукової діяльності у регіоні систематично проводяться наукові, науково-практичні конференції, семінари, наради, круглі столи, видається науково-технічна продукція. У зв’</w:t>
      </w:r>
      <w:r w:rsidR="004D2399" w:rsidRPr="001B5DE3">
        <w:rPr>
          <w:rFonts w:ascii="Times New Roman" w:hAnsi="Times New Roman" w:cs="Times New Roman"/>
          <w:sz w:val="28"/>
          <w:szCs w:val="28"/>
          <w:lang w:val="uk-UA"/>
        </w:rPr>
        <w:t xml:space="preserve">язку </w:t>
      </w:r>
      <w:r w:rsidRPr="001B5DE3">
        <w:rPr>
          <w:rFonts w:ascii="Times New Roman" w:hAnsi="Times New Roman" w:cs="Times New Roman"/>
          <w:sz w:val="28"/>
          <w:szCs w:val="28"/>
          <w:lang w:val="uk-UA"/>
        </w:rPr>
        <w:t>з чинними карантинними обмеженнями більшість заходів у 2021 році проводилася в онлайн-форматі.</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Контингент здобувачів освіти закладів фахової передвищої освіти області налічує 31,9 тис. осіб (28,7 тис. осіб – денна форма навчання;</w:t>
      </w:r>
      <w:r w:rsidR="00741D44" w:rsidRPr="001B5DE3">
        <w:rPr>
          <w:rFonts w:ascii="Times New Roman" w:hAnsi="Times New Roman"/>
          <w:sz w:val="28"/>
          <w:szCs w:val="28"/>
          <w:lang w:val="uk-UA"/>
        </w:rPr>
        <w:t xml:space="preserve"> </w:t>
      </w:r>
      <w:r w:rsidRPr="001B5DE3">
        <w:rPr>
          <w:rFonts w:ascii="Times New Roman" w:hAnsi="Times New Roman"/>
          <w:sz w:val="28"/>
          <w:szCs w:val="28"/>
          <w:lang w:val="uk-UA"/>
        </w:rPr>
        <w:t xml:space="preserve">3,2 тис. осіб – заочна форма навчання). </w:t>
      </w:r>
    </w:p>
    <w:p w:rsidR="00F37613" w:rsidRPr="001B5DE3" w:rsidRDefault="00F37613" w:rsidP="0022450D">
      <w:pPr>
        <w:pStyle w:val="afc"/>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Навчальний процес </w:t>
      </w:r>
      <w:r w:rsidR="004D2399" w:rsidRPr="001B5DE3">
        <w:rPr>
          <w:rFonts w:ascii="Times New Roman" w:hAnsi="Times New Roman"/>
          <w:sz w:val="28"/>
          <w:szCs w:val="28"/>
          <w:lang w:val="uk-UA"/>
        </w:rPr>
        <w:t>у</w:t>
      </w:r>
      <w:r w:rsidRPr="001B5DE3">
        <w:rPr>
          <w:rFonts w:ascii="Times New Roman" w:hAnsi="Times New Roman"/>
          <w:sz w:val="28"/>
          <w:szCs w:val="28"/>
          <w:lang w:val="uk-UA"/>
        </w:rPr>
        <w:t xml:space="preserve"> закладах фахової передвищої освіти здійснюють 3618 педагогічних працівників, з них: 1937 викладачів ви</w:t>
      </w:r>
      <w:r w:rsidR="004D2399" w:rsidRPr="001B5DE3">
        <w:rPr>
          <w:rFonts w:ascii="Times New Roman" w:hAnsi="Times New Roman"/>
          <w:sz w:val="28"/>
          <w:szCs w:val="28"/>
          <w:lang w:val="uk-UA"/>
        </w:rPr>
        <w:t>щої категорії;</w:t>
      </w:r>
      <w:r w:rsidR="004D2399" w:rsidRPr="001B5DE3">
        <w:rPr>
          <w:rFonts w:ascii="Times New Roman" w:hAnsi="Times New Roman"/>
          <w:sz w:val="28"/>
          <w:szCs w:val="28"/>
          <w:lang w:val="uk-UA"/>
        </w:rPr>
        <w:br/>
        <w:t>772 викладачі-</w:t>
      </w:r>
      <w:r w:rsidR="00EF6167" w:rsidRPr="001B5DE3">
        <w:rPr>
          <w:rFonts w:ascii="Times New Roman" w:hAnsi="Times New Roman"/>
          <w:sz w:val="28"/>
          <w:szCs w:val="28"/>
          <w:lang w:val="uk-UA"/>
        </w:rPr>
        <w:t>методисти</w:t>
      </w:r>
      <w:r w:rsidRPr="001B5DE3">
        <w:rPr>
          <w:rFonts w:ascii="Times New Roman" w:hAnsi="Times New Roman"/>
          <w:sz w:val="28"/>
          <w:szCs w:val="28"/>
          <w:lang w:val="uk-UA"/>
        </w:rPr>
        <w:t>; 149 кандидатів наук.</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Ведеться постійний контроль за станом підготовки об’єктів сфери освіти до нового навчального року та роботи в осінньо-зимовий період.</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У січні – червні 2021 року виконано ремонти у 71 закладі освіти </w:t>
      </w:r>
      <w:r w:rsidRPr="001B5DE3">
        <w:rPr>
          <w:rFonts w:ascii="Times New Roman" w:hAnsi="Times New Roman" w:cs="Times New Roman"/>
          <w:sz w:val="28"/>
          <w:szCs w:val="28"/>
          <w:lang w:val="uk-UA"/>
        </w:rPr>
        <w:br/>
        <w:t>(</w:t>
      </w:r>
      <w:r w:rsidR="00EF6167" w:rsidRPr="001B5DE3">
        <w:rPr>
          <w:rFonts w:ascii="Times New Roman" w:hAnsi="Times New Roman" w:cs="Times New Roman"/>
          <w:sz w:val="28"/>
          <w:szCs w:val="28"/>
          <w:lang w:val="uk-UA"/>
        </w:rPr>
        <w:t xml:space="preserve">у </w:t>
      </w:r>
      <w:r w:rsidRPr="001B5DE3">
        <w:rPr>
          <w:rFonts w:ascii="Times New Roman" w:hAnsi="Times New Roman" w:cs="Times New Roman"/>
          <w:sz w:val="28"/>
          <w:szCs w:val="28"/>
          <w:lang w:val="uk-UA"/>
        </w:rPr>
        <w:t xml:space="preserve">січні – червні 2020 року – 142). </w:t>
      </w:r>
    </w:p>
    <w:p w:rsidR="00F37613" w:rsidRPr="001B5DE3" w:rsidRDefault="00F37613" w:rsidP="0022450D">
      <w:pPr>
        <w:spacing w:after="0" w:line="240" w:lineRule="auto"/>
        <w:ind w:firstLine="709"/>
        <w:jc w:val="both"/>
        <w:rPr>
          <w:rFonts w:ascii="Times New Roman" w:hAnsi="Times New Roman" w:cs="Times New Roman"/>
          <w:sz w:val="28"/>
          <w:szCs w:val="28"/>
          <w:lang w:val="uk-UA"/>
        </w:rPr>
      </w:pPr>
      <w:r w:rsidRPr="004C2BE5">
        <w:rPr>
          <w:rFonts w:ascii="Times New Roman" w:hAnsi="Times New Roman" w:cs="Times New Roman"/>
          <w:spacing w:val="-2"/>
          <w:sz w:val="28"/>
          <w:szCs w:val="28"/>
          <w:lang w:val="uk-UA"/>
        </w:rPr>
        <w:t>У закладах загальної середньої освіти встановлено</w:t>
      </w:r>
      <w:r w:rsidR="004C2BE5" w:rsidRPr="004C2BE5">
        <w:rPr>
          <w:rFonts w:ascii="Times New Roman" w:hAnsi="Times New Roman" w:cs="Times New Roman"/>
          <w:spacing w:val="-2"/>
          <w:sz w:val="28"/>
          <w:szCs w:val="28"/>
          <w:lang w:val="uk-UA"/>
        </w:rPr>
        <w:t xml:space="preserve"> </w:t>
      </w:r>
      <w:r w:rsidRPr="004C2BE5">
        <w:rPr>
          <w:rFonts w:ascii="Times New Roman" w:hAnsi="Times New Roman" w:cs="Times New Roman"/>
          <w:spacing w:val="-2"/>
          <w:sz w:val="28"/>
          <w:szCs w:val="28"/>
          <w:lang w:val="uk-UA"/>
        </w:rPr>
        <w:t>560 металопластикових</w:t>
      </w:r>
      <w:r w:rsidRPr="001B5DE3">
        <w:rPr>
          <w:rFonts w:ascii="Times New Roman" w:hAnsi="Times New Roman" w:cs="Times New Roman"/>
          <w:sz w:val="28"/>
          <w:szCs w:val="28"/>
          <w:lang w:val="uk-UA"/>
        </w:rPr>
        <w:t xml:space="preserve"> вікон (</w:t>
      </w:r>
      <w:r w:rsidR="00EF6167" w:rsidRPr="001B5DE3">
        <w:rPr>
          <w:rFonts w:ascii="Times New Roman" w:hAnsi="Times New Roman" w:cs="Times New Roman"/>
          <w:sz w:val="28"/>
          <w:szCs w:val="28"/>
          <w:lang w:val="uk-UA"/>
        </w:rPr>
        <w:t xml:space="preserve">у </w:t>
      </w:r>
      <w:r w:rsidRPr="001B5DE3">
        <w:rPr>
          <w:rFonts w:ascii="Times New Roman" w:hAnsi="Times New Roman" w:cs="Times New Roman"/>
          <w:sz w:val="28"/>
          <w:szCs w:val="28"/>
          <w:lang w:val="uk-UA"/>
        </w:rPr>
        <w:t>січні – червні 2020 року – 633) загальною площею 1854,81 кв. м.</w:t>
      </w:r>
    </w:p>
    <w:p w:rsidR="00F37613" w:rsidRPr="001B5DE3" w:rsidRDefault="00F37613" w:rsidP="0022450D">
      <w:pPr>
        <w:spacing w:after="0" w:line="240" w:lineRule="auto"/>
        <w:ind w:firstLine="709"/>
        <w:jc w:val="both"/>
        <w:rPr>
          <w:rFonts w:ascii="Times New Roman" w:hAnsi="Times New Roman" w:cs="Times New Roman"/>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1984"/>
      </w:tblGrid>
      <w:tr w:rsidR="001B5DE3" w:rsidRPr="001B5DE3" w:rsidTr="00FD596D">
        <w:tc>
          <w:tcPr>
            <w:tcW w:w="5529" w:type="dxa"/>
          </w:tcPr>
          <w:p w:rsidR="00F37613" w:rsidRPr="001B5DE3" w:rsidRDefault="00F37613" w:rsidP="002633D0">
            <w:pPr>
              <w:tabs>
                <w:tab w:val="left" w:pos="709"/>
              </w:tabs>
              <w:spacing w:after="0" w:line="226" w:lineRule="auto"/>
              <w:ind w:firstLine="900"/>
              <w:jc w:val="center"/>
              <w:rPr>
                <w:rFonts w:ascii="Times New Roman" w:hAnsi="Times New Roman" w:cs="Times New Roman"/>
                <w:sz w:val="24"/>
                <w:szCs w:val="24"/>
                <w:lang w:val="uk-UA"/>
              </w:rPr>
            </w:pPr>
          </w:p>
        </w:tc>
        <w:tc>
          <w:tcPr>
            <w:tcW w:w="2126" w:type="dxa"/>
            <w:vAlign w:val="center"/>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r w:rsidRPr="001B5DE3">
              <w:rPr>
                <w:rFonts w:ascii="Times New Roman" w:hAnsi="Times New Roman" w:cs="Times New Roman"/>
                <w:sz w:val="24"/>
                <w:szCs w:val="24"/>
                <w:lang w:val="uk-UA"/>
              </w:rPr>
              <w:br/>
              <w:t>2020 року</w:t>
            </w:r>
          </w:p>
        </w:tc>
        <w:tc>
          <w:tcPr>
            <w:tcW w:w="1984" w:type="dxa"/>
            <w:vAlign w:val="center"/>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І півріччя </w:t>
            </w:r>
          </w:p>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2021</w:t>
            </w:r>
            <w:r w:rsidR="00EF6167" w:rsidRPr="001B5DE3">
              <w:rPr>
                <w:rFonts w:ascii="Times New Roman" w:hAnsi="Times New Roman" w:cs="Times New Roman"/>
                <w:sz w:val="24"/>
                <w:szCs w:val="24"/>
                <w:lang w:val="uk-UA"/>
              </w:rPr>
              <w:t xml:space="preserve"> </w:t>
            </w:r>
            <w:r w:rsidRPr="001B5DE3">
              <w:rPr>
                <w:rFonts w:ascii="Times New Roman" w:hAnsi="Times New Roman" w:cs="Times New Roman"/>
                <w:sz w:val="24"/>
                <w:szCs w:val="24"/>
                <w:lang w:val="uk-UA"/>
              </w:rPr>
              <w:t>року</w:t>
            </w:r>
          </w:p>
        </w:tc>
      </w:tr>
      <w:tr w:rsidR="001B5DE3" w:rsidRPr="001B5DE3" w:rsidTr="00FD596D">
        <w:tc>
          <w:tcPr>
            <w:tcW w:w="5529" w:type="dxa"/>
          </w:tcPr>
          <w:p w:rsidR="00F37613" w:rsidRPr="001B5DE3" w:rsidRDefault="00F37613" w:rsidP="002633D0">
            <w:pPr>
              <w:spacing w:after="0" w:line="226" w:lineRule="auto"/>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Ремонти шкіл</w:t>
            </w:r>
          </w:p>
        </w:tc>
        <w:tc>
          <w:tcPr>
            <w:tcW w:w="2126"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64</w:t>
            </w:r>
          </w:p>
        </w:tc>
        <w:tc>
          <w:tcPr>
            <w:tcW w:w="1984"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34</w:t>
            </w:r>
          </w:p>
        </w:tc>
      </w:tr>
      <w:tr w:rsidR="001B5DE3" w:rsidRPr="001B5DE3" w:rsidTr="00FD596D">
        <w:tc>
          <w:tcPr>
            <w:tcW w:w="5529" w:type="dxa"/>
          </w:tcPr>
          <w:p w:rsidR="00F37613" w:rsidRPr="001B5DE3" w:rsidRDefault="00F37613" w:rsidP="002633D0">
            <w:pPr>
              <w:spacing w:after="0" w:line="226" w:lineRule="auto"/>
              <w:jc w:val="both"/>
              <w:rPr>
                <w:rFonts w:ascii="Times New Roman" w:hAnsi="Times New Roman" w:cs="Times New Roman"/>
                <w:sz w:val="24"/>
                <w:szCs w:val="24"/>
                <w:lang w:val="uk-UA"/>
              </w:rPr>
            </w:pPr>
            <w:r w:rsidRPr="001B5DE3">
              <w:rPr>
                <w:rFonts w:ascii="Times New Roman" w:hAnsi="Times New Roman" w:cs="Times New Roman"/>
                <w:sz w:val="24"/>
                <w:szCs w:val="24"/>
                <w:lang w:val="uk-UA"/>
              </w:rPr>
              <w:t>Ремонти закладів дошкільної освіти</w:t>
            </w:r>
          </w:p>
        </w:tc>
        <w:tc>
          <w:tcPr>
            <w:tcW w:w="2126"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78</w:t>
            </w:r>
          </w:p>
        </w:tc>
        <w:tc>
          <w:tcPr>
            <w:tcW w:w="1984"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37</w:t>
            </w:r>
          </w:p>
        </w:tc>
      </w:tr>
      <w:tr w:rsidR="00F37613" w:rsidRPr="001B5DE3" w:rsidTr="00FD596D">
        <w:tc>
          <w:tcPr>
            <w:tcW w:w="5529" w:type="dxa"/>
          </w:tcPr>
          <w:p w:rsidR="00F37613" w:rsidRPr="001B5DE3" w:rsidRDefault="00F37613" w:rsidP="002633D0">
            <w:pPr>
              <w:spacing w:after="0" w:line="226" w:lineRule="auto"/>
              <w:jc w:val="both"/>
              <w:rPr>
                <w:rFonts w:ascii="Times New Roman" w:hAnsi="Times New Roman" w:cs="Times New Roman"/>
                <w:iCs/>
                <w:sz w:val="24"/>
                <w:szCs w:val="24"/>
                <w:lang w:val="uk-UA"/>
              </w:rPr>
            </w:pPr>
            <w:r w:rsidRPr="001B5DE3">
              <w:rPr>
                <w:rFonts w:ascii="Times New Roman" w:hAnsi="Times New Roman" w:cs="Times New Roman"/>
                <w:iCs/>
                <w:sz w:val="24"/>
                <w:szCs w:val="24"/>
                <w:lang w:val="uk-UA"/>
              </w:rPr>
              <w:t>Заміна вікон</w:t>
            </w:r>
          </w:p>
        </w:tc>
        <w:tc>
          <w:tcPr>
            <w:tcW w:w="2126"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633</w:t>
            </w:r>
          </w:p>
        </w:tc>
        <w:tc>
          <w:tcPr>
            <w:tcW w:w="1984" w:type="dxa"/>
          </w:tcPr>
          <w:p w:rsidR="00F37613" w:rsidRPr="001B5DE3" w:rsidRDefault="00F37613" w:rsidP="002633D0">
            <w:pPr>
              <w:tabs>
                <w:tab w:val="left" w:pos="709"/>
              </w:tabs>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560</w:t>
            </w:r>
          </w:p>
        </w:tc>
      </w:tr>
    </w:tbl>
    <w:p w:rsidR="00F37613" w:rsidRPr="001B5DE3" w:rsidRDefault="00F37613" w:rsidP="002633D0">
      <w:pPr>
        <w:spacing w:after="0" w:line="226" w:lineRule="auto"/>
        <w:ind w:firstLine="709"/>
        <w:jc w:val="both"/>
        <w:rPr>
          <w:rFonts w:ascii="Times New Roman" w:hAnsi="Times New Roman" w:cs="Times New Roman"/>
          <w:sz w:val="16"/>
          <w:szCs w:val="16"/>
          <w:lang w:val="uk-UA"/>
        </w:rPr>
      </w:pP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У Дніпропетровській області обсяги регіонального замовлення на підготовку робітничих кадрів та фахівців для державних закладів професійної (професійно-технічної) освіти затверджено розпорядженням голови облдерж</w:t>
      </w:r>
      <w:r w:rsidR="002633D0">
        <w:rPr>
          <w:rFonts w:ascii="Times New Roman" w:hAnsi="Times New Roman"/>
          <w:sz w:val="28"/>
          <w:szCs w:val="28"/>
          <w:lang w:val="uk-UA"/>
        </w:rPr>
        <w:t>-</w:t>
      </w:r>
      <w:r w:rsidRPr="001B5DE3">
        <w:rPr>
          <w:rFonts w:ascii="Times New Roman" w:hAnsi="Times New Roman"/>
          <w:sz w:val="28"/>
          <w:szCs w:val="28"/>
          <w:lang w:val="uk-UA"/>
        </w:rPr>
        <w:t>адміністрації в обсязі 8526 осіб:</w:t>
      </w:r>
    </w:p>
    <w:p w:rsidR="00F37613" w:rsidRPr="001B5DE3" w:rsidRDefault="00EF6167"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д</w:t>
      </w:r>
      <w:r w:rsidR="00F37613" w:rsidRPr="001B5DE3">
        <w:rPr>
          <w:rFonts w:ascii="Times New Roman" w:hAnsi="Times New Roman"/>
          <w:sz w:val="28"/>
          <w:szCs w:val="28"/>
          <w:lang w:val="uk-UA"/>
        </w:rPr>
        <w:t>ля 41 державного закладу професійної (професійно-технічної) освіти та 3 державних закладів фахової передвищої освіти, які здійснюють підготовку робітничих кадрів та фінансуються з обласного бюджету</w:t>
      </w:r>
      <w:r w:rsidRPr="001B5DE3">
        <w:rPr>
          <w:rFonts w:ascii="Times New Roman" w:hAnsi="Times New Roman"/>
          <w:sz w:val="28"/>
          <w:szCs w:val="28"/>
          <w:lang w:val="uk-UA"/>
        </w:rPr>
        <w:t>,</w:t>
      </w:r>
      <w:r w:rsidR="00F37613" w:rsidRPr="001B5DE3">
        <w:rPr>
          <w:rFonts w:ascii="Times New Roman" w:hAnsi="Times New Roman"/>
          <w:sz w:val="28"/>
          <w:szCs w:val="28"/>
          <w:lang w:val="uk-UA"/>
        </w:rPr>
        <w:t xml:space="preserve"> в обсязі 6449 осіб;</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для 12 державних закладів професійної (професійно-технісної) освіти, що фінансуються з бюджету м.</w:t>
      </w:r>
      <w:r w:rsidR="00EF6167" w:rsidRPr="001B5DE3">
        <w:rPr>
          <w:rFonts w:ascii="Times New Roman" w:hAnsi="Times New Roman"/>
          <w:sz w:val="28"/>
          <w:szCs w:val="28"/>
          <w:lang w:val="uk-UA"/>
        </w:rPr>
        <w:t xml:space="preserve"> </w:t>
      </w:r>
      <w:r w:rsidRPr="001B5DE3">
        <w:rPr>
          <w:rFonts w:ascii="Times New Roman" w:hAnsi="Times New Roman"/>
          <w:sz w:val="28"/>
          <w:szCs w:val="28"/>
          <w:lang w:val="uk-UA"/>
        </w:rPr>
        <w:t>Дніпро</w:t>
      </w:r>
      <w:r w:rsidR="00EF6167" w:rsidRPr="001B5DE3">
        <w:rPr>
          <w:rFonts w:ascii="Times New Roman" w:hAnsi="Times New Roman"/>
          <w:sz w:val="28"/>
          <w:szCs w:val="28"/>
          <w:lang w:val="uk-UA"/>
        </w:rPr>
        <w:t>,</w:t>
      </w:r>
      <w:r w:rsidRPr="001B5DE3">
        <w:rPr>
          <w:rFonts w:ascii="Times New Roman" w:hAnsi="Times New Roman"/>
          <w:sz w:val="28"/>
          <w:szCs w:val="28"/>
          <w:lang w:val="uk-UA"/>
        </w:rPr>
        <w:t xml:space="preserve"> в обсязі 2077 осіб.</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До Міністерства освіти і науки України було направлено для розгляду та затвердження перелік закладів професійної (професійно-технічної) освіти, на базі яких будуть створені навчально-практичні центри за рахунок коштів державного бюджету у 2021 році. </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Проведено онлайн-участь здобувачів професійної (професійно-технічної) освіти у ІІІ етапі Всеукраїнських конкурсів фахової майстерності з професій: “Верстатник широкого профілю”, “Перукар”, “Електрогазозварник”, </w:t>
      </w:r>
      <w:r w:rsidRPr="002633D0">
        <w:rPr>
          <w:rFonts w:ascii="Times New Roman" w:hAnsi="Times New Roman"/>
          <w:sz w:val="28"/>
          <w:szCs w:val="28"/>
          <w:lang w:val="uk-UA"/>
        </w:rPr>
        <w:t>“Штукатур”, “Машиніст тепловоза”, кваліфікація “Помічник машиніста тепловоза”.</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 xml:space="preserve">24 державних заклади професійної (професійно-технічної) освіти Дніпропетровської області впроваджують елементи дуальної форми навчання, затвердженої наказом Міністерства </w:t>
      </w:r>
      <w:r w:rsidR="00B06758" w:rsidRPr="001B5DE3">
        <w:rPr>
          <w:rFonts w:ascii="Times New Roman" w:hAnsi="Times New Roman"/>
          <w:sz w:val="28"/>
          <w:szCs w:val="28"/>
          <w:lang w:val="uk-UA"/>
        </w:rPr>
        <w:t xml:space="preserve">освіти і науки України від </w:t>
      </w:r>
      <w:r w:rsidR="00B06758" w:rsidRPr="001B5DE3">
        <w:rPr>
          <w:rFonts w:ascii="Times New Roman" w:hAnsi="Times New Roman"/>
          <w:sz w:val="28"/>
          <w:szCs w:val="28"/>
          <w:lang w:val="uk-UA"/>
        </w:rPr>
        <w:br/>
        <w:t xml:space="preserve">23 червня </w:t>
      </w:r>
      <w:r w:rsidRPr="001B5DE3">
        <w:rPr>
          <w:rFonts w:ascii="Times New Roman" w:hAnsi="Times New Roman"/>
          <w:sz w:val="28"/>
          <w:szCs w:val="28"/>
          <w:lang w:val="uk-UA"/>
        </w:rPr>
        <w:t xml:space="preserve">2017 </w:t>
      </w:r>
      <w:r w:rsidR="00B06758" w:rsidRPr="001B5DE3">
        <w:rPr>
          <w:rFonts w:ascii="Times New Roman" w:hAnsi="Times New Roman"/>
          <w:sz w:val="28"/>
          <w:szCs w:val="28"/>
          <w:lang w:val="uk-UA"/>
        </w:rPr>
        <w:t xml:space="preserve">року </w:t>
      </w:r>
      <w:r w:rsidRPr="001B5DE3">
        <w:rPr>
          <w:rFonts w:ascii="Times New Roman" w:hAnsi="Times New Roman"/>
          <w:sz w:val="28"/>
          <w:szCs w:val="28"/>
          <w:lang w:val="uk-UA"/>
        </w:rPr>
        <w:t xml:space="preserve">№ 916 </w:t>
      </w:r>
      <w:r w:rsidR="00A30E66" w:rsidRPr="001B5DE3">
        <w:rPr>
          <w:rFonts w:ascii="Times New Roman" w:hAnsi="Times New Roman"/>
          <w:sz w:val="28"/>
          <w:szCs w:val="28"/>
          <w:lang w:val="uk-UA"/>
        </w:rPr>
        <w:t>“Про впровадження елементів дуальної форми навчання у професійну підготовку кваліфікованих робітників</w:t>
      </w:r>
      <w:r w:rsidRPr="001B5DE3">
        <w:rPr>
          <w:rFonts w:ascii="Times New Roman" w:hAnsi="Times New Roman"/>
          <w:sz w:val="28"/>
          <w:szCs w:val="28"/>
          <w:lang w:val="uk-UA"/>
        </w:rPr>
        <w:t>”</w:t>
      </w:r>
      <w:r w:rsidR="00A30E66" w:rsidRPr="001B5DE3">
        <w:rPr>
          <w:rFonts w:ascii="Times New Roman" w:hAnsi="Times New Roman"/>
          <w:sz w:val="28"/>
          <w:szCs w:val="28"/>
          <w:lang w:val="uk-UA"/>
        </w:rPr>
        <w:t xml:space="preserve"> (</w:t>
      </w:r>
      <w:r w:rsidR="00B06758" w:rsidRPr="001B5DE3">
        <w:rPr>
          <w:rFonts w:ascii="Times New Roman" w:hAnsi="Times New Roman"/>
          <w:sz w:val="28"/>
          <w:szCs w:val="28"/>
          <w:lang w:val="uk-UA"/>
        </w:rPr>
        <w:t>із</w:t>
      </w:r>
      <w:r w:rsidR="00A30E66" w:rsidRPr="001B5DE3">
        <w:rPr>
          <w:rFonts w:ascii="Times New Roman" w:hAnsi="Times New Roman"/>
          <w:sz w:val="28"/>
          <w:szCs w:val="28"/>
          <w:lang w:val="uk-UA"/>
        </w:rPr>
        <w:t xml:space="preserve"> змінами)</w:t>
      </w:r>
      <w:r w:rsidRPr="001B5DE3">
        <w:rPr>
          <w:rFonts w:ascii="Times New Roman" w:hAnsi="Times New Roman"/>
          <w:sz w:val="28"/>
          <w:szCs w:val="28"/>
          <w:lang w:val="uk-UA"/>
        </w:rPr>
        <w:t>.</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Розпорядженням голови облдержадміністрації від 24 лютого 2021 року             № Р-191/0/3-21</w:t>
      </w:r>
      <w:r w:rsidR="00D45962" w:rsidRPr="001B5DE3">
        <w:rPr>
          <w:rFonts w:ascii="Times New Roman" w:hAnsi="Times New Roman"/>
          <w:sz w:val="28"/>
          <w:szCs w:val="28"/>
          <w:lang w:val="uk-UA"/>
        </w:rPr>
        <w:t xml:space="preserve"> </w:t>
      </w:r>
      <w:r w:rsidRPr="001B5DE3">
        <w:rPr>
          <w:rFonts w:ascii="Times New Roman" w:hAnsi="Times New Roman"/>
          <w:sz w:val="28"/>
          <w:szCs w:val="28"/>
          <w:lang w:val="uk-UA"/>
        </w:rPr>
        <w:t>“Про затвердження обсягів регіонального замовлення на підготовку фахівців та робітничих кадрів для закладів освіти Дніпропетровської області”</w:t>
      </w:r>
      <w:r w:rsidR="001E20AC" w:rsidRPr="001B5DE3">
        <w:rPr>
          <w:rFonts w:ascii="Times New Roman" w:hAnsi="Times New Roman"/>
          <w:sz w:val="28"/>
          <w:szCs w:val="28"/>
          <w:lang w:val="uk-UA"/>
        </w:rPr>
        <w:t xml:space="preserve"> (</w:t>
      </w:r>
      <w:r w:rsidR="00B06758" w:rsidRPr="001B5DE3">
        <w:rPr>
          <w:rFonts w:ascii="Times New Roman" w:hAnsi="Times New Roman"/>
          <w:sz w:val="28"/>
          <w:szCs w:val="28"/>
          <w:lang w:val="uk-UA"/>
        </w:rPr>
        <w:t>із</w:t>
      </w:r>
      <w:r w:rsidR="001E20AC" w:rsidRPr="001B5DE3">
        <w:rPr>
          <w:rFonts w:ascii="Times New Roman" w:hAnsi="Times New Roman"/>
          <w:sz w:val="28"/>
          <w:szCs w:val="28"/>
          <w:lang w:val="uk-UA"/>
        </w:rPr>
        <w:t xml:space="preserve"> змінами)</w:t>
      </w:r>
      <w:r w:rsidRPr="001B5DE3">
        <w:rPr>
          <w:rFonts w:ascii="Times New Roman" w:hAnsi="Times New Roman"/>
          <w:sz w:val="28"/>
          <w:szCs w:val="28"/>
          <w:lang w:val="uk-UA"/>
        </w:rPr>
        <w:t xml:space="preserve"> у 2021 році було затверджено регіональне замовлення на підготовку робітничих кадрів та фахівців для</w:t>
      </w:r>
      <w:r w:rsidR="007002A4" w:rsidRPr="001B5DE3">
        <w:rPr>
          <w:rFonts w:ascii="Times New Roman" w:hAnsi="Times New Roman"/>
          <w:sz w:val="28"/>
          <w:szCs w:val="28"/>
          <w:lang w:val="uk-UA"/>
        </w:rPr>
        <w:t xml:space="preserve"> </w:t>
      </w:r>
      <w:r w:rsidRPr="001B5DE3">
        <w:rPr>
          <w:rFonts w:ascii="Times New Roman" w:hAnsi="Times New Roman"/>
          <w:sz w:val="28"/>
          <w:szCs w:val="28"/>
          <w:lang w:val="uk-UA"/>
        </w:rPr>
        <w:t xml:space="preserve">82 закладів професійної (професійно-технічної), фахової передвищої та вищої освіти Дніпропетровської області загальним обсягом 13453 особи. </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Затверджено обсяги регіонального замовлення на підготовку фахівців за освітньо-професійним ступенем “Фаховий молодший бакалавр”, освітніми ступенями “Бакалавр”, “Магістр”, освітньо-науковим ступенем “Доктор філософії”, освітньо-творчим ступенем “Доктор мистецтва” для 34 закладів освіти державної та комунальної власності загальним обсягом 5167 осіб. </w:t>
      </w:r>
    </w:p>
    <w:p w:rsidR="00F37613" w:rsidRPr="001B5DE3" w:rsidRDefault="00F37613" w:rsidP="002633D0">
      <w:pPr>
        <w:pStyle w:val="afc"/>
        <w:spacing w:line="226" w:lineRule="auto"/>
        <w:ind w:firstLine="708"/>
        <w:jc w:val="both"/>
        <w:rPr>
          <w:rFonts w:ascii="Times New Roman" w:hAnsi="Times New Roman"/>
          <w:sz w:val="28"/>
          <w:szCs w:val="28"/>
          <w:lang w:val="uk-UA"/>
        </w:rPr>
      </w:pPr>
      <w:r w:rsidRPr="001B5DE3">
        <w:rPr>
          <w:rFonts w:ascii="Times New Roman" w:hAnsi="Times New Roman"/>
          <w:sz w:val="28"/>
          <w:szCs w:val="28"/>
          <w:lang w:val="uk-UA"/>
        </w:rPr>
        <w:t xml:space="preserve">Затверджено обсяги регіонального замовлення на підготовку фахівців за освітньо-кваліфікаційним рівнем “Кваліфікований робітник” для </w:t>
      </w:r>
      <w:r w:rsidRPr="001B5DE3">
        <w:rPr>
          <w:rFonts w:ascii="Times New Roman" w:hAnsi="Times New Roman"/>
          <w:sz w:val="28"/>
          <w:szCs w:val="28"/>
          <w:lang w:val="uk-UA"/>
        </w:rPr>
        <w:br/>
        <w:t>44 державних закладів професійної (професійно-технічної) та фахової передвищої освіти, які фінансуються за рахунок коштів обласного бюджету</w:t>
      </w:r>
      <w:r w:rsidR="00024095" w:rsidRPr="001B5DE3">
        <w:rPr>
          <w:rFonts w:ascii="Times New Roman" w:hAnsi="Times New Roman"/>
          <w:sz w:val="28"/>
          <w:szCs w:val="28"/>
          <w:lang w:val="uk-UA"/>
        </w:rPr>
        <w:t>,</w:t>
      </w:r>
      <w:r w:rsidRPr="001B5DE3">
        <w:rPr>
          <w:rFonts w:ascii="Times New Roman" w:hAnsi="Times New Roman"/>
          <w:sz w:val="28"/>
          <w:szCs w:val="28"/>
          <w:lang w:val="uk-UA"/>
        </w:rPr>
        <w:t xml:space="preserve">  обсягом 6314 осіб та 12 державних закладів професійної (професійно-технічної) освіти, які фінансуються за рахунок коштів бюджету м. Дніпро</w:t>
      </w:r>
      <w:r w:rsidR="00024095" w:rsidRPr="001B5DE3">
        <w:rPr>
          <w:rFonts w:ascii="Times New Roman" w:hAnsi="Times New Roman"/>
          <w:sz w:val="28"/>
          <w:szCs w:val="28"/>
          <w:lang w:val="uk-UA"/>
        </w:rPr>
        <w:t>,</w:t>
      </w:r>
      <w:r w:rsidRPr="001B5DE3">
        <w:rPr>
          <w:rFonts w:ascii="Times New Roman" w:hAnsi="Times New Roman"/>
          <w:sz w:val="28"/>
          <w:szCs w:val="28"/>
          <w:lang w:val="uk-UA"/>
        </w:rPr>
        <w:t xml:space="preserve"> </w:t>
      </w:r>
      <w:r w:rsidR="00024095" w:rsidRPr="001B5DE3">
        <w:rPr>
          <w:rFonts w:ascii="Times New Roman" w:hAnsi="Times New Roman"/>
          <w:sz w:val="28"/>
          <w:szCs w:val="28"/>
          <w:lang w:val="uk-UA"/>
        </w:rPr>
        <w:br/>
      </w:r>
      <w:r w:rsidRPr="001B5DE3">
        <w:rPr>
          <w:rFonts w:ascii="Times New Roman" w:hAnsi="Times New Roman"/>
          <w:sz w:val="28"/>
          <w:szCs w:val="28"/>
          <w:lang w:val="uk-UA"/>
        </w:rPr>
        <w:t>обсягом 1972 особи.</w:t>
      </w:r>
    </w:p>
    <w:p w:rsidR="00CC3037" w:rsidRPr="001B5DE3" w:rsidRDefault="00CC3037" w:rsidP="004C3BA1">
      <w:pPr>
        <w:spacing w:after="0" w:line="252"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Охорона здоров’я</w:t>
      </w:r>
    </w:p>
    <w:p w:rsidR="00CC3037" w:rsidRPr="001B5DE3" w:rsidRDefault="00CC3037" w:rsidP="004C3BA1">
      <w:pPr>
        <w:spacing w:after="0" w:line="252" w:lineRule="auto"/>
        <w:rPr>
          <w:rFonts w:ascii="Times New Roman" w:hAnsi="Times New Roman" w:cs="Times New Roman"/>
          <w:sz w:val="28"/>
          <w:szCs w:val="28"/>
          <w:lang w:val="uk-UA"/>
        </w:rPr>
      </w:pP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сфері охорони здоров’я з метою забезпечення рівня доступності населення до медичних послуг та ефективного обслуговування населення упродовж січня – червня 2021 року:</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функціонує 69 закладів охорони здоров’я: 2 амбулаторії загальної практики – сімейної медицини як самостійні юридичні особи та 67 центрів первинної медичної (медико-санітарної) допомоги, до складу яких входять </w:t>
      </w:r>
      <w:r w:rsidRPr="001B5DE3">
        <w:rPr>
          <w:rFonts w:ascii="Times New Roman" w:hAnsi="Times New Roman" w:cs="Times New Roman"/>
          <w:sz w:val="28"/>
          <w:szCs w:val="28"/>
          <w:lang w:val="uk-UA"/>
        </w:rPr>
        <w:br/>
        <w:t>413 лікарських амбулаторій, 319 фельдшерських (фельдшерсько-акушерських пунктів) та медичних пунктів тимчасового базування, у яких здійснюються виїзні прийоми медичними працівниками, які надають первинну медичну допомогу;</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діє Єдина регіональна оперативно-диспетчерська служба, яка складається з двох центрів</w:t>
      </w:r>
      <w:r w:rsidR="00D4596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щодо прийняття викликів у містах Дніпро та Кривий Ріг;</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функціонує 2 центри первинної медико-санітарної допомоги у містах, навколо яких об’єдналися громади (Марганецька, Покровська міські ТГ);</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працює 65 територіальних навчально-тренінгових центр</w:t>
      </w:r>
      <w:r w:rsidR="00D45962" w:rsidRPr="001B5DE3">
        <w:rPr>
          <w:rFonts w:ascii="Times New Roman" w:hAnsi="Times New Roman" w:cs="Times New Roman"/>
          <w:sz w:val="28"/>
          <w:szCs w:val="28"/>
          <w:lang w:val="uk-UA"/>
        </w:rPr>
        <w:t>ів</w:t>
      </w:r>
      <w:r w:rsidRPr="001B5DE3">
        <w:rPr>
          <w:rFonts w:ascii="Times New Roman" w:hAnsi="Times New Roman" w:cs="Times New Roman"/>
          <w:sz w:val="28"/>
          <w:szCs w:val="28"/>
          <w:lang w:val="uk-UA"/>
        </w:rPr>
        <w:t>, що функціонують на базі центрів первинної медико-санітарної допо</w:t>
      </w:r>
      <w:r w:rsidR="00D45962" w:rsidRPr="001B5DE3">
        <w:rPr>
          <w:rFonts w:ascii="Times New Roman" w:hAnsi="Times New Roman" w:cs="Times New Roman"/>
          <w:sz w:val="28"/>
          <w:szCs w:val="28"/>
          <w:lang w:val="uk-UA"/>
        </w:rPr>
        <w:t xml:space="preserve">моги, в яких пройшли тренінги </w:t>
      </w:r>
      <w:r w:rsidRPr="001B5DE3">
        <w:rPr>
          <w:rFonts w:ascii="Times New Roman" w:hAnsi="Times New Roman" w:cs="Times New Roman"/>
          <w:sz w:val="28"/>
          <w:szCs w:val="28"/>
          <w:lang w:val="uk-UA"/>
        </w:rPr>
        <w:t>1157 (73%) лікарів, які надають первинну медичну допомог</w:t>
      </w:r>
      <w:r w:rsidR="00D45962"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та 1837 (77%) сестер медичних;</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функціонує 6 станцій швидкої медичної допомоги з мережею </w:t>
      </w:r>
      <w:r w:rsidRPr="001B5DE3">
        <w:rPr>
          <w:rFonts w:ascii="Times New Roman" w:hAnsi="Times New Roman" w:cs="Times New Roman"/>
          <w:sz w:val="28"/>
          <w:szCs w:val="28"/>
          <w:lang w:val="uk-UA"/>
        </w:rPr>
        <w:br/>
        <w:t>111 пунктів базування швидкої медичної допомоги, які фінансуються з обласного бюджету, що дозволило досягти принципу екстериторіальності.</w:t>
      </w:r>
    </w:p>
    <w:p w:rsidR="00541255" w:rsidRPr="001B5DE3" w:rsidRDefault="00541255" w:rsidP="00541255">
      <w:pPr>
        <w:spacing w:after="0" w:line="235" w:lineRule="auto"/>
        <w:ind w:firstLine="709"/>
        <w:jc w:val="both"/>
        <w:rPr>
          <w:rFonts w:ascii="Times New Roman" w:hAnsi="Times New Roman" w:cs="Times New Roman"/>
          <w:sz w:val="28"/>
          <w:szCs w:val="24"/>
          <w:lang w:val="uk-UA"/>
        </w:rPr>
      </w:pPr>
      <w:r w:rsidRPr="001B5DE3">
        <w:rPr>
          <w:rFonts w:ascii="Times New Roman" w:hAnsi="Times New Roman" w:cs="Times New Roman"/>
          <w:sz w:val="28"/>
          <w:szCs w:val="24"/>
          <w:lang w:val="uk-UA"/>
        </w:rPr>
        <w:t xml:space="preserve">Навчено 219 бригад (лікар, медична сестра)  для роботи в стаціонарних пунктах щеплення та 113 мобільних бригад (61 – для роботи з вакцинами </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Коронавак</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 xml:space="preserve"> та </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АстраЗенека</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 xml:space="preserve">, 52 – вакциною </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Комірнаті</w:t>
      </w:r>
      <w:r w:rsidR="00EA6FC2" w:rsidRPr="001B5DE3">
        <w:rPr>
          <w:rFonts w:ascii="Times New Roman" w:hAnsi="Times New Roman" w:cs="Times New Roman"/>
          <w:sz w:val="28"/>
          <w:szCs w:val="24"/>
          <w:lang w:val="uk-UA"/>
        </w:rPr>
        <w:t>”</w:t>
      </w:r>
      <w:r w:rsidRPr="001B5DE3">
        <w:rPr>
          <w:rFonts w:ascii="Times New Roman" w:hAnsi="Times New Roman" w:cs="Times New Roman"/>
          <w:sz w:val="28"/>
          <w:szCs w:val="24"/>
          <w:lang w:val="uk-UA"/>
        </w:rPr>
        <w:t xml:space="preserve">). Всього відкрито </w:t>
      </w:r>
      <w:r w:rsidRPr="001B5DE3">
        <w:rPr>
          <w:rFonts w:ascii="Times New Roman" w:hAnsi="Times New Roman" w:cs="Times New Roman"/>
          <w:sz w:val="28"/>
          <w:szCs w:val="24"/>
          <w:lang w:val="uk-UA"/>
        </w:rPr>
        <w:br/>
        <w:t>219 стаціонарних пунктів щеплення.</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На сьогодні зі старту національної кампанії “Лікар для кожної сім’ї” підписали декларацію про вибір лікаря з 1800 лікарями, з них, які працюють у закладах комунальної власності – 1603, підписали декларацію про вибір лікаря, який надає первинну медичну допомогу</w:t>
      </w:r>
      <w:r w:rsidR="00EA6FC2"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2,622 млн пацієнтів (83,47%), у тому числі в закладах комунальної власності – 2,436 млн.</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60326C">
        <w:rPr>
          <w:rFonts w:ascii="Times New Roman" w:hAnsi="Times New Roman" w:cs="Times New Roman"/>
          <w:spacing w:val="-2"/>
          <w:sz w:val="28"/>
          <w:szCs w:val="28"/>
          <w:lang w:val="uk-UA"/>
        </w:rPr>
        <w:t>На теперішній час у Дніпропетровськ</w:t>
      </w:r>
      <w:r w:rsidR="001D6F4D" w:rsidRPr="0060326C">
        <w:rPr>
          <w:rFonts w:ascii="Times New Roman" w:hAnsi="Times New Roman" w:cs="Times New Roman"/>
          <w:spacing w:val="-2"/>
          <w:sz w:val="28"/>
          <w:szCs w:val="28"/>
          <w:lang w:val="uk-UA"/>
        </w:rPr>
        <w:t>ій</w:t>
      </w:r>
      <w:r w:rsidRPr="0060326C">
        <w:rPr>
          <w:rFonts w:ascii="Times New Roman" w:hAnsi="Times New Roman" w:cs="Times New Roman"/>
          <w:spacing w:val="-2"/>
          <w:sz w:val="28"/>
          <w:szCs w:val="28"/>
          <w:lang w:val="uk-UA"/>
        </w:rPr>
        <w:t xml:space="preserve"> області функціонує</w:t>
      </w:r>
      <w:r w:rsidR="0060326C" w:rsidRPr="0060326C">
        <w:rPr>
          <w:rFonts w:ascii="Times New Roman" w:hAnsi="Times New Roman" w:cs="Times New Roman"/>
          <w:spacing w:val="-2"/>
          <w:sz w:val="28"/>
          <w:szCs w:val="28"/>
          <w:lang w:val="uk-UA"/>
        </w:rPr>
        <w:t xml:space="preserve"> </w:t>
      </w:r>
      <w:r w:rsidRPr="0060326C">
        <w:rPr>
          <w:rFonts w:ascii="Times New Roman" w:hAnsi="Times New Roman" w:cs="Times New Roman"/>
          <w:spacing w:val="-2"/>
          <w:sz w:val="28"/>
          <w:szCs w:val="28"/>
          <w:lang w:val="uk-UA"/>
        </w:rPr>
        <w:t>4 перинатальні</w:t>
      </w:r>
      <w:r w:rsidRPr="001B5DE3">
        <w:rPr>
          <w:rFonts w:ascii="Times New Roman" w:hAnsi="Times New Roman" w:cs="Times New Roman"/>
          <w:sz w:val="28"/>
          <w:szCs w:val="28"/>
          <w:lang w:val="uk-UA"/>
        </w:rPr>
        <w:t xml:space="preserve"> центри:</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КП “Дніпропетровський обласний перинатальни</w:t>
      </w:r>
      <w:r w:rsidR="001D6F4D" w:rsidRPr="001B5DE3">
        <w:rPr>
          <w:rFonts w:ascii="Times New Roman" w:hAnsi="Times New Roman" w:cs="Times New Roman"/>
          <w:sz w:val="28"/>
          <w:szCs w:val="28"/>
          <w:lang w:val="uk-UA"/>
        </w:rPr>
        <w:t xml:space="preserve">й центр зі стаціонаром” ДОР”, в </w:t>
      </w:r>
      <w:r w:rsidRPr="001B5DE3">
        <w:rPr>
          <w:rFonts w:ascii="Times New Roman" w:hAnsi="Times New Roman" w:cs="Times New Roman"/>
          <w:sz w:val="28"/>
          <w:szCs w:val="28"/>
          <w:lang w:val="uk-UA"/>
        </w:rPr>
        <w:t>якому відбулося 1633 пологів, з них 11,0% – передчасних;</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КП “Дніпропетровський спеціалізований клінічний медичний центр </w:t>
      </w:r>
      <w:r w:rsidR="001D6F4D" w:rsidRPr="001B5DE3">
        <w:rPr>
          <w:rFonts w:ascii="Times New Roman" w:hAnsi="Times New Roman" w:cs="Times New Roman"/>
          <w:sz w:val="28"/>
          <w:szCs w:val="28"/>
          <w:lang w:val="uk-UA"/>
        </w:rPr>
        <w:t>матері та дитини ім. проф. М.Ф.</w:t>
      </w:r>
      <w:r w:rsidRPr="001B5DE3">
        <w:rPr>
          <w:rFonts w:ascii="Times New Roman" w:hAnsi="Times New Roman" w:cs="Times New Roman"/>
          <w:sz w:val="28"/>
          <w:szCs w:val="28"/>
          <w:lang w:val="uk-UA"/>
        </w:rPr>
        <w:t xml:space="preserve">Руднєва” ДОР”, в якому відбулося </w:t>
      </w:r>
      <w:r w:rsidRPr="001B5DE3">
        <w:rPr>
          <w:rFonts w:ascii="Times New Roman" w:hAnsi="Times New Roman" w:cs="Times New Roman"/>
          <w:sz w:val="28"/>
          <w:szCs w:val="28"/>
          <w:lang w:val="uk-UA"/>
        </w:rPr>
        <w:br/>
        <w:t>614 пологів, з них 8,0% – передчасних;</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КНП “Криворізький перинатальний центр зі стаціонаром” КМР, в якому відбулося 863 пологів, з них 13,0% – передчасних;</w:t>
      </w:r>
    </w:p>
    <w:p w:rsidR="00541255" w:rsidRPr="001B5DE3" w:rsidRDefault="00541255" w:rsidP="0054125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перинатальний центр ІІ рівня в складі багатопрофільної лікарні </w:t>
      </w:r>
      <w:r w:rsidRPr="001B5DE3">
        <w:rPr>
          <w:rFonts w:ascii="Times New Roman" w:hAnsi="Times New Roman" w:cs="Times New Roman"/>
          <w:sz w:val="28"/>
          <w:szCs w:val="28"/>
          <w:lang w:val="uk-UA"/>
        </w:rPr>
        <w:br/>
        <w:t xml:space="preserve">КНП “Міська клінічна лікарня № 9” ДМР, в якому відбулося 760 пологів, </w:t>
      </w:r>
      <w:r w:rsidR="005B78A6">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з них 5,0% – передчасних. </w:t>
      </w:r>
    </w:p>
    <w:p w:rsidR="00541255" w:rsidRPr="001B5DE3" w:rsidRDefault="00541255" w:rsidP="00541255">
      <w:pPr>
        <w:spacing w:after="0" w:line="235" w:lineRule="auto"/>
        <w:ind w:firstLine="709"/>
        <w:jc w:val="both"/>
        <w:rPr>
          <w:rFonts w:ascii="Times New Roman" w:hAnsi="Times New Roman" w:cs="Times New Roman"/>
          <w:kern w:val="2"/>
          <w:sz w:val="14"/>
          <w:szCs w:val="28"/>
          <w:lang w:val="uk-UA" w:eastAsia="uk-UA"/>
        </w:rPr>
      </w:pPr>
    </w:p>
    <w:p w:rsidR="00541255" w:rsidRPr="001B5DE3" w:rsidRDefault="00541255" w:rsidP="00541255">
      <w:pPr>
        <w:spacing w:after="0" w:line="235" w:lineRule="auto"/>
        <w:ind w:firstLine="709"/>
        <w:jc w:val="both"/>
        <w:rPr>
          <w:rFonts w:ascii="Times New Roman" w:hAnsi="Times New Roman" w:cs="Times New Roman"/>
          <w:kern w:val="2"/>
          <w:sz w:val="28"/>
          <w:szCs w:val="28"/>
          <w:lang w:val="uk-UA" w:eastAsia="uk-UA"/>
        </w:rPr>
      </w:pPr>
      <w:r w:rsidRPr="001B5DE3">
        <w:rPr>
          <w:rFonts w:ascii="Times New Roman" w:hAnsi="Times New Roman" w:cs="Times New Roman"/>
          <w:noProof/>
          <w:kern w:val="2"/>
          <w:sz w:val="28"/>
          <w:szCs w:val="28"/>
        </w:rPr>
        <w:lastRenderedPageBreak/>
        <w:drawing>
          <wp:inline distT="0" distB="0" distL="0" distR="0" wp14:anchorId="63CC9D3A" wp14:editId="3BB8A19F">
            <wp:extent cx="5279390" cy="1999615"/>
            <wp:effectExtent l="0" t="0" r="0" b="0"/>
            <wp:docPr id="6"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41D44" w:rsidRPr="001B5DE3" w:rsidRDefault="00741D44" w:rsidP="000C3851">
      <w:pPr>
        <w:spacing w:after="0" w:line="235" w:lineRule="auto"/>
        <w:rPr>
          <w:rFonts w:ascii="Times New Roman" w:hAnsi="Times New Roman" w:cs="Times New Roman"/>
          <w:b/>
          <w:sz w:val="28"/>
          <w:szCs w:val="28"/>
          <w:lang w:val="uk-UA"/>
        </w:rPr>
      </w:pPr>
    </w:p>
    <w:p w:rsidR="00CC3037" w:rsidRPr="001B5DE3" w:rsidRDefault="00CC3037" w:rsidP="000C3851">
      <w:pPr>
        <w:spacing w:after="0" w:line="235"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Підтримка сім’ї, дітей та молоді</w:t>
      </w:r>
    </w:p>
    <w:p w:rsidR="00CC3037" w:rsidRPr="001B5DE3" w:rsidRDefault="00CC3037" w:rsidP="000C3851">
      <w:pPr>
        <w:spacing w:after="0" w:line="235" w:lineRule="auto"/>
        <w:rPr>
          <w:rFonts w:ascii="Times New Roman" w:hAnsi="Times New Roman" w:cs="Times New Roman"/>
          <w:sz w:val="28"/>
          <w:szCs w:val="28"/>
          <w:lang w:val="uk-UA"/>
        </w:rPr>
      </w:pPr>
    </w:p>
    <w:p w:rsidR="00FC24A8" w:rsidRPr="001B5DE3" w:rsidRDefault="00FC24A8" w:rsidP="005B78A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Протягом І півріччя 2021 року проведено тренінг “Лідерство в молодіжній раді” для 20 членів молодіжної ради при облдержадміністрації та представників молодіжних консультативно-дорадчих органів громад області. </w:t>
      </w:r>
      <w:r w:rsidRPr="001B5DE3">
        <w:rPr>
          <w:rFonts w:ascii="Times New Roman" w:hAnsi="Times New Roman" w:cs="Times New Roman"/>
          <w:sz w:val="28"/>
          <w:szCs w:val="28"/>
          <w:lang w:val="uk-UA"/>
        </w:rPr>
        <w:tab/>
        <w:t xml:space="preserve">Гра-симуляція “Робота місцевої ради” познайомила 20 молодих людей </w:t>
      </w:r>
      <w:r w:rsidR="009B33FB"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 цікавому інтерактивному форматі з алгоритмами та ефективними методами роботи місцевої ради. Тренінг “Фандрейзинг в молодіжній раді” для </w:t>
      </w:r>
      <w:r w:rsidRPr="001B5DE3">
        <w:rPr>
          <w:rFonts w:ascii="Times New Roman" w:hAnsi="Times New Roman" w:cs="Times New Roman"/>
          <w:sz w:val="28"/>
          <w:szCs w:val="28"/>
          <w:lang w:val="uk-UA"/>
        </w:rPr>
        <w:br/>
        <w:t>20 членів молодіжної ради при облдержадміністрації та представників молодіжних консультативно-дорадчих органів громад області познайомив молодь зі способами отримання коштів для реалізації молодіжних проєктів як від органів місцевого самоврядування та місцевих органів державної влади, так і різноманітних грантових фондів та організацій. До Дня молоді проведено захід “Активна молодь Дніпропетровщини”, на якому</w:t>
      </w:r>
      <w:r w:rsidR="00741D44"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300 молодих людей були відзначені подяками, а 85 нагороджені подарунками. </w:t>
      </w:r>
    </w:p>
    <w:p w:rsidR="00FC24A8" w:rsidRPr="001B5DE3" w:rsidRDefault="00FC24A8" w:rsidP="005B78A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Проведений захід “Школа громадського діяча”. Актуальність проєкту полягає у формуванні лідерських якостей та правової культури молоді в організації, навчання лідерів молодіжних та дитячих організацій, активної молоді вищих навчальних закладів. Виявити з числа молоді лідерів та виховати з них нову генерацію управлінців – ініціативних, відповідальних, висококваліфікованих професіоналів, які здатні впливати на формування громадського суспільства та мають активну громадську позицію </w:t>
      </w:r>
      <w:r w:rsidR="009B33FB" w:rsidRPr="001B5DE3">
        <w:rPr>
          <w:rFonts w:ascii="Times New Roman" w:hAnsi="Times New Roman" w:cs="Times New Roman"/>
          <w:sz w:val="28"/>
          <w:szCs w:val="28"/>
          <w:lang w:val="uk-UA"/>
        </w:rPr>
        <w:t>стосовно</w:t>
      </w:r>
      <w:r w:rsidRPr="001B5DE3">
        <w:rPr>
          <w:rFonts w:ascii="Times New Roman" w:hAnsi="Times New Roman" w:cs="Times New Roman"/>
          <w:sz w:val="28"/>
          <w:szCs w:val="28"/>
          <w:lang w:val="uk-UA"/>
        </w:rPr>
        <w:t xml:space="preserve"> подальшого розвитку країни. 72 молодих активісти пройшли підготовку стосовно роботи громадської організації на території України, взаємодії з органами влади та грантодавцями. Проведено традиційний фестиваль кращих шкільних вальсів Дніпропетровщини “Dnepr Valse”, учасниками та глядачами якого стали більше 500 осіб. За участі музичних виконавців проведений захід “Єднаймо Україну”, учасниками якого стали 1000 людей. Захід покликаний через згуртування громадськості навколо сучасного україномовного виконавського мистецтва зменшити рівень мен</w:t>
      </w:r>
      <w:r w:rsidR="009B33FB" w:rsidRPr="001B5DE3">
        <w:rPr>
          <w:rFonts w:ascii="Times New Roman" w:hAnsi="Times New Roman" w:cs="Times New Roman"/>
          <w:sz w:val="28"/>
          <w:szCs w:val="28"/>
          <w:lang w:val="uk-UA"/>
        </w:rPr>
        <w:t>ш</w:t>
      </w:r>
      <w:r w:rsidRPr="001B5DE3">
        <w:rPr>
          <w:rFonts w:ascii="Times New Roman" w:hAnsi="Times New Roman" w:cs="Times New Roman"/>
          <w:sz w:val="28"/>
          <w:szCs w:val="28"/>
          <w:lang w:val="uk-UA"/>
        </w:rPr>
        <w:t>овартості україномовно</w:t>
      </w:r>
      <w:r w:rsidR="00EB33C8" w:rsidRPr="001B5DE3">
        <w:rPr>
          <w:rFonts w:ascii="Times New Roman" w:hAnsi="Times New Roman" w:cs="Times New Roman"/>
          <w:sz w:val="28"/>
          <w:szCs w:val="28"/>
          <w:lang w:val="uk-UA"/>
        </w:rPr>
        <w:t>го</w:t>
      </w:r>
      <w:r w:rsidRPr="001B5DE3">
        <w:rPr>
          <w:rFonts w:ascii="Times New Roman" w:hAnsi="Times New Roman" w:cs="Times New Roman"/>
          <w:sz w:val="28"/>
          <w:szCs w:val="28"/>
          <w:lang w:val="uk-UA"/>
        </w:rPr>
        <w:t xml:space="preserve"> серед</w:t>
      </w:r>
      <w:r w:rsidR="00EB33C8" w:rsidRPr="001B5DE3">
        <w:rPr>
          <w:rFonts w:ascii="Times New Roman" w:hAnsi="Times New Roman" w:cs="Times New Roman"/>
          <w:sz w:val="28"/>
          <w:szCs w:val="28"/>
          <w:lang w:val="uk-UA"/>
        </w:rPr>
        <w:t>овища</w:t>
      </w:r>
      <w:r w:rsidRPr="001B5DE3">
        <w:rPr>
          <w:rFonts w:ascii="Times New Roman" w:hAnsi="Times New Roman" w:cs="Times New Roman"/>
          <w:sz w:val="28"/>
          <w:szCs w:val="28"/>
          <w:lang w:val="uk-UA"/>
        </w:rPr>
        <w:t xml:space="preserve"> серед жителів області.</w:t>
      </w:r>
    </w:p>
    <w:p w:rsidR="00FC24A8" w:rsidRDefault="00FC24A8" w:rsidP="005B78A6">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Проведено 1 семінар “Базовий тренінг навчальної програми “Молодіжний працівник”.</w:t>
      </w:r>
    </w:p>
    <w:p w:rsidR="005B78A6" w:rsidRPr="001B5DE3" w:rsidRDefault="005B78A6" w:rsidP="005B78A6">
      <w:pPr>
        <w:spacing w:after="0" w:line="240" w:lineRule="auto"/>
        <w:ind w:firstLine="708"/>
        <w:jc w:val="both"/>
        <w:rPr>
          <w:rFonts w:ascii="Times New Roman" w:hAnsi="Times New Roman" w:cs="Times New Roman"/>
          <w:sz w:val="28"/>
          <w:szCs w:val="28"/>
          <w:lang w:val="uk-UA"/>
        </w:rPr>
      </w:pPr>
    </w:p>
    <w:p w:rsidR="00FC24A8" w:rsidRPr="001B5DE3" w:rsidRDefault="00FC24A8" w:rsidP="00FC24A8">
      <w:pPr>
        <w:spacing w:after="0" w:line="235"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Протягом І півріччя:</w:t>
      </w:r>
    </w:p>
    <w:p w:rsidR="00FC24A8" w:rsidRPr="001B5DE3" w:rsidRDefault="00FC24A8" w:rsidP="00FC24A8">
      <w:pPr>
        <w:spacing w:after="0" w:line="235"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проведено 5 засідань </w:t>
      </w:r>
      <w:r w:rsidR="00EB33C8" w:rsidRPr="001B5DE3">
        <w:rPr>
          <w:rFonts w:ascii="Times New Roman" w:hAnsi="Times New Roman" w:cs="Times New Roman"/>
          <w:sz w:val="28"/>
          <w:szCs w:val="28"/>
          <w:lang w:val="uk-UA"/>
        </w:rPr>
        <w:t>п</w:t>
      </w:r>
      <w:r w:rsidRPr="001B5DE3">
        <w:rPr>
          <w:rFonts w:ascii="Times New Roman" w:hAnsi="Times New Roman" w:cs="Times New Roman"/>
          <w:sz w:val="28"/>
          <w:szCs w:val="28"/>
          <w:lang w:val="uk-UA"/>
        </w:rPr>
        <w:t xml:space="preserve">равління </w:t>
      </w:r>
      <w:r w:rsidR="00EB33C8"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 xml:space="preserve">олодіжної </w:t>
      </w:r>
      <w:r w:rsidR="00EB33C8" w:rsidRPr="001B5DE3">
        <w:rPr>
          <w:rFonts w:ascii="Times New Roman" w:hAnsi="Times New Roman" w:cs="Times New Roman"/>
          <w:sz w:val="28"/>
          <w:szCs w:val="28"/>
          <w:lang w:val="uk-UA"/>
        </w:rPr>
        <w:t>р</w:t>
      </w:r>
      <w:r w:rsidRPr="001B5DE3">
        <w:rPr>
          <w:rFonts w:ascii="Times New Roman" w:hAnsi="Times New Roman" w:cs="Times New Roman"/>
          <w:sz w:val="28"/>
          <w:szCs w:val="28"/>
          <w:lang w:val="uk-UA"/>
        </w:rPr>
        <w:t>ади</w:t>
      </w:r>
      <w:r w:rsidR="007A15ED" w:rsidRPr="001B5DE3">
        <w:rPr>
          <w:rFonts w:ascii="Times New Roman" w:hAnsi="Times New Roman" w:cs="Times New Roman"/>
          <w:sz w:val="28"/>
          <w:szCs w:val="28"/>
          <w:lang w:val="uk-UA"/>
        </w:rPr>
        <w:t xml:space="preserve"> при облдерж</w:t>
      </w:r>
      <w:r w:rsidR="005B78A6">
        <w:rPr>
          <w:rFonts w:ascii="Times New Roman" w:hAnsi="Times New Roman" w:cs="Times New Roman"/>
          <w:sz w:val="28"/>
          <w:szCs w:val="28"/>
          <w:lang w:val="uk-UA"/>
        </w:rPr>
        <w:t>-</w:t>
      </w:r>
      <w:r w:rsidR="007A15ED" w:rsidRPr="001B5DE3">
        <w:rPr>
          <w:rFonts w:ascii="Times New Roman" w:hAnsi="Times New Roman" w:cs="Times New Roman"/>
          <w:sz w:val="28"/>
          <w:szCs w:val="28"/>
          <w:lang w:val="uk-UA"/>
        </w:rPr>
        <w:t>адміністрації (далі – молодіжна рада)</w:t>
      </w:r>
      <w:r w:rsidR="00EB33C8" w:rsidRPr="001B5DE3">
        <w:rPr>
          <w:rFonts w:ascii="Times New Roman" w:hAnsi="Times New Roman" w:cs="Times New Roman"/>
          <w:sz w:val="28"/>
          <w:szCs w:val="28"/>
          <w:lang w:val="uk-UA"/>
        </w:rPr>
        <w:t>. Прийняті та</w:t>
      </w:r>
      <w:r w:rsidR="00024095" w:rsidRPr="001B5DE3">
        <w:rPr>
          <w:rFonts w:ascii="Times New Roman" w:hAnsi="Times New Roman" w:cs="Times New Roman"/>
          <w:sz w:val="28"/>
          <w:szCs w:val="28"/>
          <w:lang w:val="uk-UA"/>
        </w:rPr>
        <w:t>кі</w:t>
      </w:r>
      <w:r w:rsidRPr="001B5DE3">
        <w:rPr>
          <w:rFonts w:ascii="Times New Roman" w:hAnsi="Times New Roman" w:cs="Times New Roman"/>
          <w:sz w:val="28"/>
          <w:szCs w:val="28"/>
          <w:lang w:val="uk-UA"/>
        </w:rPr>
        <w:t xml:space="preserve"> документи: етичний кодекс </w:t>
      </w:r>
      <w:r w:rsidR="00EB33C8"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 xml:space="preserve">олодіжної ради; регламент доукомплектування </w:t>
      </w:r>
      <w:r w:rsidR="00EB33C8"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 xml:space="preserve">олодіжної Ради; план роботи </w:t>
      </w:r>
      <w:r w:rsidR="00150DCD"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олодіжної ради;</w:t>
      </w:r>
    </w:p>
    <w:p w:rsidR="00FC24A8" w:rsidRPr="001B5DE3" w:rsidRDefault="00FC24A8" w:rsidP="00FC24A8">
      <w:pPr>
        <w:spacing w:after="0" w:line="235"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члени </w:t>
      </w:r>
      <w:r w:rsidR="00150DCD"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 xml:space="preserve">олодіжної ради брали активну участь </w:t>
      </w:r>
      <w:r w:rsidR="00150DCD"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 xml:space="preserve"> заходах на запрошення сторонніх організацій (засідання </w:t>
      </w:r>
      <w:r w:rsidR="00150DCD"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 xml:space="preserve">омісії у справах сім’ї молоді та спорту обласної ради, засідання </w:t>
      </w:r>
      <w:r w:rsidR="00150DCD" w:rsidRPr="001B5DE3">
        <w:rPr>
          <w:rFonts w:ascii="Times New Roman" w:hAnsi="Times New Roman" w:cs="Times New Roman"/>
          <w:sz w:val="28"/>
          <w:szCs w:val="28"/>
          <w:lang w:val="uk-UA"/>
        </w:rPr>
        <w:t>г</w:t>
      </w:r>
      <w:r w:rsidRPr="001B5DE3">
        <w:rPr>
          <w:rFonts w:ascii="Times New Roman" w:hAnsi="Times New Roman" w:cs="Times New Roman"/>
          <w:sz w:val="28"/>
          <w:szCs w:val="28"/>
          <w:lang w:val="uk-UA"/>
        </w:rPr>
        <w:t>ромадської ради</w:t>
      </w:r>
      <w:r w:rsidR="00D42572" w:rsidRPr="001B5DE3">
        <w:rPr>
          <w:rFonts w:ascii="Times New Roman" w:hAnsi="Times New Roman" w:cs="Times New Roman"/>
          <w:sz w:val="28"/>
          <w:szCs w:val="28"/>
          <w:lang w:val="uk-UA"/>
        </w:rPr>
        <w:t xml:space="preserve"> при Дніпропетровській облдержадміністрації</w:t>
      </w:r>
      <w:r w:rsidRPr="001B5DE3">
        <w:rPr>
          <w:rFonts w:ascii="Times New Roman" w:hAnsi="Times New Roman" w:cs="Times New Roman"/>
          <w:sz w:val="28"/>
          <w:szCs w:val="28"/>
          <w:lang w:val="uk-UA"/>
        </w:rPr>
        <w:t>, урочисте підняття прапор</w:t>
      </w:r>
      <w:r w:rsidR="00150DCD"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до Дня Європи, захід “Конституція 25”, тренінг “Молодіжний працівник”, форум “Молодь Дніпра”, тренінг з адвокації від </w:t>
      </w:r>
      <w:r w:rsidR="00150DCD" w:rsidRPr="001B5DE3">
        <w:rPr>
          <w:rFonts w:ascii="Times New Roman" w:hAnsi="Times New Roman" w:cs="Times New Roman"/>
          <w:sz w:val="28"/>
          <w:szCs w:val="28"/>
          <w:shd w:val="clear" w:color="auto" w:fill="FFFFFF"/>
          <w:lang w:val="uk-UA"/>
        </w:rPr>
        <w:t>Асоціації м</w:t>
      </w:r>
      <w:r w:rsidRPr="001B5DE3">
        <w:rPr>
          <w:rFonts w:ascii="Times New Roman" w:hAnsi="Times New Roman" w:cs="Times New Roman"/>
          <w:sz w:val="28"/>
          <w:szCs w:val="28"/>
          <w:shd w:val="clear" w:color="auto" w:fill="FFFFFF"/>
          <w:lang w:val="uk-UA"/>
        </w:rPr>
        <w:t>олодіжних працівників України</w:t>
      </w:r>
      <w:r w:rsidRPr="001B5DE3">
        <w:rPr>
          <w:rFonts w:ascii="Times New Roman" w:hAnsi="Times New Roman" w:cs="Times New Roman"/>
          <w:sz w:val="28"/>
          <w:szCs w:val="28"/>
          <w:lang w:val="uk-UA"/>
        </w:rPr>
        <w:t xml:space="preserve">, </w:t>
      </w:r>
      <w:r w:rsidR="00150DCD" w:rsidRPr="001B5DE3">
        <w:rPr>
          <w:rFonts w:ascii="Times New Roman" w:hAnsi="Times New Roman" w:cs="Times New Roman"/>
          <w:sz w:val="28"/>
          <w:szCs w:val="28"/>
          <w:shd w:val="clear" w:color="auto" w:fill="FFFFFF"/>
          <w:lang w:val="uk-UA"/>
        </w:rPr>
        <w:t>Г</w:t>
      </w:r>
      <w:r w:rsidRPr="001B5DE3">
        <w:rPr>
          <w:rFonts w:ascii="Times New Roman" w:hAnsi="Times New Roman" w:cs="Times New Roman"/>
          <w:sz w:val="28"/>
          <w:szCs w:val="28"/>
          <w:shd w:val="clear" w:color="auto" w:fill="FFFFFF"/>
          <w:lang w:val="uk-UA"/>
        </w:rPr>
        <w:t>ромадської організації</w:t>
      </w:r>
      <w:r w:rsidRPr="001B5DE3">
        <w:rPr>
          <w:rFonts w:ascii="Times New Roman" w:hAnsi="Times New Roman" w:cs="Times New Roman"/>
          <w:sz w:val="28"/>
          <w:szCs w:val="28"/>
          <w:lang w:val="uk-UA"/>
        </w:rPr>
        <w:t xml:space="preserve"> “Хмарочос” та British counsil, тренінг з адвокації від IREX (</w:t>
      </w:r>
      <w:r w:rsidRPr="001B5DE3">
        <w:rPr>
          <w:rFonts w:ascii="Times New Roman" w:hAnsi="Times New Roman" w:cs="Times New Roman"/>
          <w:sz w:val="28"/>
          <w:szCs w:val="28"/>
          <w:shd w:val="clear" w:color="auto" w:fill="FFFFFF"/>
          <w:lang w:val="uk-UA"/>
        </w:rPr>
        <w:t>Рада міжнародних наукових досліджень та обмінів)</w:t>
      </w:r>
      <w:r w:rsidRPr="001B5DE3">
        <w:rPr>
          <w:rFonts w:ascii="Times New Roman" w:hAnsi="Times New Roman" w:cs="Times New Roman"/>
          <w:sz w:val="28"/>
          <w:szCs w:val="28"/>
          <w:lang w:val="uk-UA"/>
        </w:rPr>
        <w:t xml:space="preserve"> та інших публічних заходах;</w:t>
      </w:r>
    </w:p>
    <w:p w:rsidR="00FC24A8" w:rsidRPr="001B5DE3" w:rsidRDefault="00150DCD" w:rsidP="00FC24A8">
      <w:pPr>
        <w:spacing w:after="0" w:line="235"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м</w:t>
      </w:r>
      <w:r w:rsidR="00FC24A8" w:rsidRPr="001B5DE3">
        <w:rPr>
          <w:rFonts w:ascii="Times New Roman" w:hAnsi="Times New Roman" w:cs="Times New Roman"/>
          <w:sz w:val="28"/>
          <w:szCs w:val="28"/>
          <w:lang w:val="uk-UA"/>
        </w:rPr>
        <w:t xml:space="preserve">олодіжній раді функціонували </w:t>
      </w:r>
      <w:r w:rsidR="00DD6393" w:rsidRPr="001B5DE3">
        <w:rPr>
          <w:rFonts w:ascii="Times New Roman" w:hAnsi="Times New Roman" w:cs="Times New Roman"/>
          <w:sz w:val="28"/>
          <w:szCs w:val="28"/>
          <w:lang w:val="uk-UA"/>
        </w:rPr>
        <w:t>там</w:t>
      </w:r>
      <w:r w:rsidR="00FC24A8" w:rsidRPr="001B5DE3">
        <w:rPr>
          <w:rFonts w:ascii="Times New Roman" w:hAnsi="Times New Roman" w:cs="Times New Roman"/>
          <w:sz w:val="28"/>
          <w:szCs w:val="28"/>
          <w:lang w:val="uk-UA"/>
        </w:rPr>
        <w:t xml:space="preserve"> проєктні групи: з внесення змін до календарного плану заходів управління молоді і спорту облдержадміністрації, з проведе</w:t>
      </w:r>
      <w:r w:rsidR="00DD6393" w:rsidRPr="001B5DE3">
        <w:rPr>
          <w:rFonts w:ascii="Times New Roman" w:hAnsi="Times New Roman" w:cs="Times New Roman"/>
          <w:sz w:val="28"/>
          <w:szCs w:val="28"/>
          <w:lang w:val="uk-UA"/>
        </w:rPr>
        <w:t>ння стажування в органах влади</w:t>
      </w:r>
      <w:r w:rsidR="00FC24A8" w:rsidRPr="001B5DE3">
        <w:rPr>
          <w:rFonts w:ascii="Times New Roman" w:hAnsi="Times New Roman" w:cs="Times New Roman"/>
          <w:sz w:val="28"/>
          <w:szCs w:val="28"/>
          <w:lang w:val="uk-UA"/>
        </w:rPr>
        <w:t xml:space="preserve">, з проведення тренінгу з командобудування для членів </w:t>
      </w:r>
      <w:r w:rsidR="005770D4" w:rsidRPr="001B5DE3">
        <w:rPr>
          <w:rFonts w:ascii="Times New Roman" w:hAnsi="Times New Roman" w:cs="Times New Roman"/>
          <w:sz w:val="28"/>
          <w:szCs w:val="28"/>
          <w:lang w:val="uk-UA"/>
        </w:rPr>
        <w:t>м</w:t>
      </w:r>
      <w:r w:rsidR="00FC24A8" w:rsidRPr="001B5DE3">
        <w:rPr>
          <w:rFonts w:ascii="Times New Roman" w:hAnsi="Times New Roman" w:cs="Times New Roman"/>
          <w:sz w:val="28"/>
          <w:szCs w:val="28"/>
          <w:lang w:val="uk-UA"/>
        </w:rPr>
        <w:t xml:space="preserve">олодіжної ради, з медіапросування </w:t>
      </w:r>
      <w:r w:rsidR="005770D4" w:rsidRPr="001B5DE3">
        <w:rPr>
          <w:rFonts w:ascii="Times New Roman" w:hAnsi="Times New Roman" w:cs="Times New Roman"/>
          <w:sz w:val="28"/>
          <w:szCs w:val="28"/>
          <w:lang w:val="uk-UA"/>
        </w:rPr>
        <w:t>молодіжної ради</w:t>
      </w:r>
      <w:r w:rsidR="00FC24A8" w:rsidRPr="001B5DE3">
        <w:rPr>
          <w:rFonts w:ascii="Times New Roman" w:hAnsi="Times New Roman" w:cs="Times New Roman"/>
          <w:sz w:val="28"/>
          <w:szCs w:val="28"/>
          <w:lang w:val="uk-UA"/>
        </w:rPr>
        <w:t>, з організації обласного форуму до Дня Молоді, з проведення обласного опитування потреб молоді;</w:t>
      </w:r>
    </w:p>
    <w:p w:rsidR="00FC24A8" w:rsidRPr="001B5DE3" w:rsidRDefault="00FC24A8" w:rsidP="00FC24A8">
      <w:pPr>
        <w:spacing w:after="0" w:line="235"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членами </w:t>
      </w:r>
      <w:r w:rsidR="005770D4"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 xml:space="preserve">олодіжної ради було організовано: </w:t>
      </w:r>
      <w:r w:rsidR="005770D4" w:rsidRPr="001B5DE3">
        <w:rPr>
          <w:rFonts w:ascii="Times New Roman" w:hAnsi="Times New Roman" w:cs="Times New Roman"/>
          <w:sz w:val="28"/>
          <w:szCs w:val="28"/>
          <w:lang w:val="uk-UA"/>
        </w:rPr>
        <w:t>низку</w:t>
      </w:r>
      <w:r w:rsidRPr="001B5DE3">
        <w:rPr>
          <w:rFonts w:ascii="Times New Roman" w:hAnsi="Times New Roman" w:cs="Times New Roman"/>
          <w:sz w:val="28"/>
          <w:szCs w:val="28"/>
          <w:lang w:val="uk-UA"/>
        </w:rPr>
        <w:t xml:space="preserve"> заходів “Онлайн SPEAKING CLUB “Did I know English” (понад</w:t>
      </w:r>
      <w:r w:rsidR="00EE43B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20 учасників), 6 розмовних клубів, тренінг з командобудування для членів </w:t>
      </w:r>
      <w:r w:rsidR="0088306F"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олод</w:t>
      </w:r>
      <w:r w:rsidR="0088306F" w:rsidRPr="001B5DE3">
        <w:rPr>
          <w:rFonts w:ascii="Times New Roman" w:hAnsi="Times New Roman" w:cs="Times New Roman"/>
          <w:sz w:val="28"/>
          <w:szCs w:val="28"/>
          <w:lang w:val="uk-UA"/>
        </w:rPr>
        <w:t>іжної ради (21 учасник), онлайн-</w:t>
      </w:r>
      <w:r w:rsidRPr="001B5DE3">
        <w:rPr>
          <w:rFonts w:ascii="Times New Roman" w:hAnsi="Times New Roman" w:cs="Times New Roman"/>
          <w:sz w:val="28"/>
          <w:szCs w:val="28"/>
          <w:lang w:val="uk-UA"/>
        </w:rPr>
        <w:t>дискусія “Молодь і COVID” (понад</w:t>
      </w:r>
      <w:r w:rsidR="00EE43BB"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40 учасників), тренінг з фандрейзингу для членів </w:t>
      </w:r>
      <w:r w:rsidR="0088306F" w:rsidRPr="001B5DE3">
        <w:rPr>
          <w:rFonts w:ascii="Times New Roman" w:hAnsi="Times New Roman" w:cs="Times New Roman"/>
          <w:sz w:val="28"/>
          <w:szCs w:val="28"/>
          <w:lang w:val="uk-UA"/>
        </w:rPr>
        <w:t>м</w:t>
      </w:r>
      <w:r w:rsidRPr="001B5DE3">
        <w:rPr>
          <w:rFonts w:ascii="Times New Roman" w:hAnsi="Times New Roman" w:cs="Times New Roman"/>
          <w:sz w:val="28"/>
          <w:szCs w:val="28"/>
          <w:lang w:val="uk-UA"/>
        </w:rPr>
        <w:t>олодіжної ради (20 уч</w:t>
      </w:r>
      <w:r w:rsidR="0088306F"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сників), обласне опитування щодо потреб молоді (понад 2000 респондентів), гра-симуляція зі структури органів влади (20 </w:t>
      </w:r>
      <w:r w:rsidR="00D42572" w:rsidRPr="001B5DE3">
        <w:rPr>
          <w:rFonts w:ascii="Times New Roman" w:hAnsi="Times New Roman" w:cs="Times New Roman"/>
          <w:sz w:val="28"/>
          <w:szCs w:val="28"/>
          <w:lang w:val="uk-UA"/>
        </w:rPr>
        <w:t>учасників), зустріч із заступником</w:t>
      </w:r>
      <w:r w:rsidRPr="001B5DE3">
        <w:rPr>
          <w:rFonts w:ascii="Times New Roman" w:hAnsi="Times New Roman" w:cs="Times New Roman"/>
          <w:sz w:val="28"/>
          <w:szCs w:val="28"/>
          <w:lang w:val="uk-UA"/>
        </w:rPr>
        <w:t xml:space="preserve"> голови облдерж</w:t>
      </w:r>
      <w:r w:rsidR="005B78A6">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адміністрації (10 учасників), програма стажування “Державники” </w:t>
      </w:r>
      <w:r w:rsidR="00EE43BB"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(50 учасників), консультування Слобожанської молодіжної ради, антинарк</w:t>
      </w:r>
      <w:r w:rsidR="00E61896" w:rsidRPr="001B5DE3">
        <w:rPr>
          <w:rFonts w:ascii="Times New Roman" w:hAnsi="Times New Roman" w:cs="Times New Roman"/>
          <w:sz w:val="28"/>
          <w:szCs w:val="28"/>
          <w:lang w:val="uk-UA"/>
        </w:rPr>
        <w:t>отична акція</w:t>
      </w:r>
      <w:r w:rsidRPr="001B5DE3">
        <w:rPr>
          <w:rFonts w:ascii="Times New Roman" w:hAnsi="Times New Roman" w:cs="Times New Roman"/>
          <w:sz w:val="28"/>
          <w:szCs w:val="28"/>
          <w:lang w:val="uk-UA"/>
        </w:rPr>
        <w:t xml:space="preserve"> спільно з </w:t>
      </w:r>
      <w:r w:rsidRPr="001B5DE3">
        <w:rPr>
          <w:rFonts w:ascii="Times New Roman" w:hAnsi="Times New Roman" w:cs="Times New Roman"/>
          <w:sz w:val="28"/>
          <w:szCs w:val="28"/>
          <w:shd w:val="clear" w:color="auto" w:fill="FFFFFF"/>
          <w:lang w:val="uk-UA"/>
        </w:rPr>
        <w:t xml:space="preserve">міжнародною </w:t>
      </w:r>
      <w:r w:rsidRPr="001B5DE3">
        <w:rPr>
          <w:rFonts w:ascii="Times New Roman" w:hAnsi="Times New Roman" w:cs="Times New Roman"/>
          <w:sz w:val="28"/>
          <w:szCs w:val="28"/>
          <w:lang w:val="uk-UA"/>
        </w:rPr>
        <w:t>антинаркотичною</w:t>
      </w:r>
      <w:r w:rsidRPr="001B5DE3">
        <w:rPr>
          <w:rFonts w:ascii="Times New Roman" w:hAnsi="Times New Roman" w:cs="Times New Roman"/>
          <w:sz w:val="28"/>
          <w:szCs w:val="28"/>
          <w:shd w:val="clear" w:color="auto" w:fill="FFFFFF"/>
          <w:lang w:val="uk-UA"/>
        </w:rPr>
        <w:t xml:space="preserve"> акцією</w:t>
      </w:r>
      <w:r w:rsidRPr="001B5DE3">
        <w:rPr>
          <w:rFonts w:ascii="Arial" w:hAnsi="Arial" w:cs="Arial"/>
          <w:sz w:val="21"/>
          <w:szCs w:val="21"/>
          <w:shd w:val="clear" w:color="auto" w:fill="FFFFFF"/>
          <w:lang w:val="uk-UA"/>
        </w:rPr>
        <w:t xml:space="preserve"> </w:t>
      </w:r>
      <w:r w:rsidRPr="001B5DE3">
        <w:rPr>
          <w:rFonts w:ascii="Times New Roman" w:hAnsi="Times New Roman" w:cs="Times New Roman"/>
          <w:sz w:val="28"/>
          <w:szCs w:val="28"/>
          <w:lang w:val="uk-UA"/>
        </w:rPr>
        <w:t>“Намалюй життя” (понад 30 учасників).</w:t>
      </w:r>
    </w:p>
    <w:p w:rsidR="00FC24A8" w:rsidRPr="001B5DE3" w:rsidRDefault="00FC24A8" w:rsidP="00FC24A8">
      <w:pPr>
        <w:pStyle w:val="a7"/>
        <w:tabs>
          <w:tab w:val="left" w:pos="709"/>
        </w:tabs>
        <w:spacing w:after="0" w:line="235" w:lineRule="auto"/>
        <w:ind w:firstLine="709"/>
        <w:jc w:val="both"/>
        <w:rPr>
          <w:kern w:val="2"/>
          <w:sz w:val="28"/>
          <w:szCs w:val="28"/>
          <w:lang w:val="uk-UA" w:eastAsia="zh-CN" w:bidi="hi-IN"/>
        </w:rPr>
      </w:pPr>
      <w:r w:rsidRPr="001B5DE3">
        <w:rPr>
          <w:kern w:val="2"/>
          <w:sz w:val="28"/>
          <w:szCs w:val="28"/>
          <w:lang w:val="uk-UA" w:eastAsia="zh-CN" w:bidi="hi-IN"/>
        </w:rPr>
        <w:t xml:space="preserve">Протягом І кварталу 2021 року Дніпропетровським обласним центром соціальних служб </w:t>
      </w:r>
      <w:r w:rsidR="00E61896" w:rsidRPr="001B5DE3">
        <w:rPr>
          <w:kern w:val="2"/>
          <w:sz w:val="28"/>
          <w:szCs w:val="28"/>
          <w:lang w:val="uk-UA" w:eastAsia="zh-CN" w:bidi="hi-IN"/>
        </w:rPr>
        <w:t>у</w:t>
      </w:r>
      <w:r w:rsidRPr="001B5DE3">
        <w:rPr>
          <w:kern w:val="2"/>
          <w:sz w:val="28"/>
          <w:szCs w:val="28"/>
          <w:lang w:val="uk-UA" w:eastAsia="zh-CN" w:bidi="hi-IN"/>
        </w:rPr>
        <w:t xml:space="preserve"> рамках роботи Мобільного консультаційного пункту проведено 3 виїзди (охоплено 15 осіб) у територіальні громади області з метою проведення супервізій щодо роботи з сім</w:t>
      </w:r>
      <w:r w:rsidR="00E61896" w:rsidRPr="001B5DE3">
        <w:rPr>
          <w:kern w:val="2"/>
          <w:sz w:val="28"/>
          <w:szCs w:val="28"/>
          <w:lang w:val="uk-UA" w:eastAsia="zh-CN" w:bidi="hi-IN"/>
        </w:rPr>
        <w:t>’</w:t>
      </w:r>
      <w:r w:rsidRPr="001B5DE3">
        <w:rPr>
          <w:kern w:val="2"/>
          <w:sz w:val="28"/>
          <w:szCs w:val="28"/>
          <w:lang w:val="uk-UA" w:eastAsia="zh-CN" w:bidi="hi-IN"/>
        </w:rPr>
        <w:t>ями, які опинилися у складних життєвих обставинах, соціального супроводження прийомних сімей і дитячих будинків сімейного типу та надання методичної допомоги надавачам соціальних послуг області: центрам соціальних служб для сім’ї дітей та молоді/центрам соціальних служб, центрам надання соціальних послуг, працівникам територіальних громад області, які надають соціальні послуги, вразливим категоріям населення (далі – надавачі соціальних послуг). Надавачами соціальних послуг протягом І кварталу 2021 року розповсюджено 214  плакат</w:t>
      </w:r>
      <w:r w:rsidR="00E61896" w:rsidRPr="001B5DE3">
        <w:rPr>
          <w:kern w:val="2"/>
          <w:sz w:val="28"/>
          <w:szCs w:val="28"/>
          <w:lang w:val="uk-UA" w:eastAsia="zh-CN" w:bidi="hi-IN"/>
        </w:rPr>
        <w:t>ів</w:t>
      </w:r>
      <w:r w:rsidRPr="001B5DE3">
        <w:rPr>
          <w:kern w:val="2"/>
          <w:sz w:val="28"/>
          <w:szCs w:val="28"/>
          <w:lang w:val="uk-UA" w:eastAsia="zh-CN" w:bidi="hi-IN"/>
        </w:rPr>
        <w:t>, 1553 буклет</w:t>
      </w:r>
      <w:r w:rsidR="00E61896" w:rsidRPr="001B5DE3">
        <w:rPr>
          <w:kern w:val="2"/>
          <w:sz w:val="28"/>
          <w:szCs w:val="28"/>
          <w:lang w:val="uk-UA" w:eastAsia="zh-CN" w:bidi="hi-IN"/>
        </w:rPr>
        <w:t>и</w:t>
      </w:r>
      <w:r w:rsidRPr="001B5DE3">
        <w:rPr>
          <w:kern w:val="2"/>
          <w:sz w:val="28"/>
          <w:szCs w:val="28"/>
          <w:lang w:val="uk-UA" w:eastAsia="zh-CN" w:bidi="hi-IN"/>
        </w:rPr>
        <w:t>, 1814 листівок, 556 візиток,</w:t>
      </w:r>
      <w:r w:rsidR="00A72490" w:rsidRPr="001B5DE3">
        <w:rPr>
          <w:kern w:val="2"/>
          <w:sz w:val="28"/>
          <w:szCs w:val="28"/>
          <w:lang w:val="uk-UA" w:eastAsia="zh-CN" w:bidi="hi-IN"/>
        </w:rPr>
        <w:t xml:space="preserve"> </w:t>
      </w:r>
      <w:r w:rsidRPr="001B5DE3">
        <w:rPr>
          <w:kern w:val="2"/>
          <w:sz w:val="28"/>
          <w:szCs w:val="28"/>
          <w:lang w:val="uk-UA" w:eastAsia="zh-CN" w:bidi="hi-IN"/>
        </w:rPr>
        <w:t>4 стат</w:t>
      </w:r>
      <w:r w:rsidR="00C36C0D" w:rsidRPr="001B5DE3">
        <w:rPr>
          <w:kern w:val="2"/>
          <w:sz w:val="28"/>
          <w:szCs w:val="28"/>
          <w:lang w:val="uk-UA" w:eastAsia="zh-CN" w:bidi="hi-IN"/>
        </w:rPr>
        <w:t>т</w:t>
      </w:r>
      <w:r w:rsidRPr="001B5DE3">
        <w:rPr>
          <w:kern w:val="2"/>
          <w:sz w:val="28"/>
          <w:szCs w:val="28"/>
          <w:lang w:val="uk-UA" w:eastAsia="zh-CN" w:bidi="hi-IN"/>
        </w:rPr>
        <w:t>і в газетах та</w:t>
      </w:r>
      <w:r w:rsidR="00C36C0D" w:rsidRPr="001B5DE3">
        <w:rPr>
          <w:kern w:val="2"/>
          <w:sz w:val="28"/>
          <w:szCs w:val="28"/>
          <w:lang w:val="uk-UA" w:eastAsia="zh-CN" w:bidi="hi-IN"/>
        </w:rPr>
        <w:t xml:space="preserve"> </w:t>
      </w:r>
      <w:r w:rsidR="00A72490" w:rsidRPr="001B5DE3">
        <w:rPr>
          <w:kern w:val="2"/>
          <w:sz w:val="28"/>
          <w:szCs w:val="28"/>
          <w:lang w:val="uk-UA" w:eastAsia="zh-CN" w:bidi="hi-IN"/>
        </w:rPr>
        <w:br/>
      </w:r>
      <w:r w:rsidRPr="001B5DE3">
        <w:rPr>
          <w:kern w:val="2"/>
          <w:sz w:val="28"/>
          <w:szCs w:val="28"/>
          <w:lang w:val="uk-UA" w:eastAsia="zh-CN" w:bidi="hi-IN"/>
        </w:rPr>
        <w:t xml:space="preserve">925 інформаційних статей </w:t>
      </w:r>
      <w:r w:rsidR="00C36C0D" w:rsidRPr="001B5DE3">
        <w:rPr>
          <w:kern w:val="2"/>
          <w:sz w:val="28"/>
          <w:szCs w:val="28"/>
          <w:lang w:val="uk-UA" w:eastAsia="zh-CN" w:bidi="hi-IN"/>
        </w:rPr>
        <w:t>у</w:t>
      </w:r>
      <w:r w:rsidRPr="001B5DE3">
        <w:rPr>
          <w:kern w:val="2"/>
          <w:sz w:val="28"/>
          <w:szCs w:val="28"/>
          <w:lang w:val="uk-UA" w:eastAsia="zh-CN" w:bidi="hi-IN"/>
        </w:rPr>
        <w:t xml:space="preserve"> мережі </w:t>
      </w:r>
      <w:r w:rsidR="00C36C0D" w:rsidRPr="001B5DE3">
        <w:rPr>
          <w:kern w:val="2"/>
          <w:sz w:val="28"/>
          <w:szCs w:val="28"/>
          <w:lang w:val="uk-UA" w:eastAsia="zh-CN" w:bidi="hi-IN"/>
        </w:rPr>
        <w:t>Інтернет</w:t>
      </w:r>
      <w:r w:rsidRPr="001B5DE3">
        <w:rPr>
          <w:kern w:val="2"/>
          <w:sz w:val="28"/>
          <w:szCs w:val="28"/>
          <w:lang w:val="uk-UA" w:eastAsia="zh-CN" w:bidi="hi-IN"/>
        </w:rPr>
        <w:t xml:space="preserve"> як виготовлених самостійно</w:t>
      </w:r>
      <w:r w:rsidR="00C36C0D" w:rsidRPr="001B5DE3">
        <w:rPr>
          <w:kern w:val="2"/>
          <w:sz w:val="28"/>
          <w:szCs w:val="28"/>
          <w:lang w:val="uk-UA" w:eastAsia="zh-CN" w:bidi="hi-IN"/>
        </w:rPr>
        <w:t>,</w:t>
      </w:r>
      <w:r w:rsidRPr="001B5DE3">
        <w:rPr>
          <w:kern w:val="2"/>
          <w:sz w:val="28"/>
          <w:szCs w:val="28"/>
          <w:lang w:val="uk-UA" w:eastAsia="zh-CN" w:bidi="hi-IN"/>
        </w:rPr>
        <w:t xml:space="preserve"> так і отриманих від партнерів з різних питань соціальної роботи (пропаганда цінностей сім’ї  та соціальної підтримки, популяризація сімейного способу життя,  здоровий спосіб життя та збереження репродуктивного здоров’я тощо).</w:t>
      </w:r>
    </w:p>
    <w:p w:rsidR="00FC24A8" w:rsidRPr="001B5DE3" w:rsidRDefault="00B270F7" w:rsidP="00FC24A8">
      <w:pPr>
        <w:pStyle w:val="a7"/>
        <w:tabs>
          <w:tab w:val="left" w:pos="709"/>
        </w:tabs>
        <w:spacing w:after="0" w:line="235" w:lineRule="auto"/>
        <w:ind w:firstLine="709"/>
        <w:jc w:val="both"/>
        <w:rPr>
          <w:sz w:val="28"/>
          <w:szCs w:val="28"/>
          <w:lang w:val="uk-UA"/>
        </w:rPr>
      </w:pPr>
      <w:r w:rsidRPr="001B5DE3">
        <w:rPr>
          <w:sz w:val="28"/>
          <w:szCs w:val="28"/>
          <w:lang w:val="uk-UA"/>
        </w:rPr>
        <w:lastRenderedPageBreak/>
        <w:t>У</w:t>
      </w:r>
      <w:r w:rsidR="00FC24A8" w:rsidRPr="001B5DE3">
        <w:rPr>
          <w:sz w:val="28"/>
          <w:szCs w:val="28"/>
        </w:rPr>
        <w:t xml:space="preserve">продовж січня </w:t>
      </w:r>
      <w:r w:rsidR="00FC24A8" w:rsidRPr="001B5DE3">
        <w:rPr>
          <w:sz w:val="28"/>
          <w:szCs w:val="28"/>
          <w:lang w:val="uk-UA"/>
        </w:rPr>
        <w:t>–</w:t>
      </w:r>
      <w:r w:rsidR="00FC24A8" w:rsidRPr="001B5DE3">
        <w:rPr>
          <w:sz w:val="28"/>
          <w:szCs w:val="28"/>
        </w:rPr>
        <w:t xml:space="preserve"> червня 2021 року (за оперативними даними) на обліку в службі зайнятості перебувало понад 29,9 тис. молодих людей </w:t>
      </w:r>
      <w:r w:rsidRPr="001B5DE3">
        <w:rPr>
          <w:sz w:val="28"/>
          <w:szCs w:val="28"/>
          <w:lang w:val="uk-UA"/>
        </w:rPr>
        <w:t>віком</w:t>
      </w:r>
      <w:r w:rsidR="00FC24A8" w:rsidRPr="001B5DE3">
        <w:rPr>
          <w:sz w:val="28"/>
          <w:szCs w:val="28"/>
        </w:rPr>
        <w:t xml:space="preserve"> до 35 років, з них безробітної молоді майже 20,6 тис. осіб. Службою зайнятості працевлаштовані понад 6,7 тис. осіб, з них безробітної молоді 5,8 тис. осіб. Одноразову допомогу по безробіттю для зайняття підприємницькою діяльністю отримали 8 осіб віком до 35 років. Законом України “Про зайнятість населення” передбачено стимулювання роботодавців, які працевлаштовують на нові робочі місця строком не менше ніж на два роки, безробітних, що потребують додаткових соціальних гарантій. Таким роботодавцям протягом року, щомісяця, компенсуються фактичні витрати у розмірі</w:t>
      </w:r>
      <w:r w:rsidRPr="001B5DE3">
        <w:rPr>
          <w:sz w:val="28"/>
          <w:szCs w:val="28"/>
        </w:rPr>
        <w:t xml:space="preserve"> єдиного внеску </w:t>
      </w:r>
      <w:r w:rsidR="00AC4B3C">
        <w:rPr>
          <w:sz w:val="28"/>
          <w:szCs w:val="28"/>
          <w:lang w:val="uk-UA"/>
        </w:rPr>
        <w:t xml:space="preserve">                       </w:t>
      </w:r>
      <w:r w:rsidRPr="001B5DE3">
        <w:rPr>
          <w:sz w:val="28"/>
          <w:szCs w:val="28"/>
        </w:rPr>
        <w:t>на загальнообов</w:t>
      </w:r>
      <w:r w:rsidRPr="001B5DE3">
        <w:rPr>
          <w:sz w:val="28"/>
          <w:szCs w:val="28"/>
          <w:lang w:val="uk-UA"/>
        </w:rPr>
        <w:t>’</w:t>
      </w:r>
      <w:r w:rsidR="00FC24A8" w:rsidRPr="001B5DE3">
        <w:rPr>
          <w:sz w:val="28"/>
          <w:szCs w:val="28"/>
        </w:rPr>
        <w:t xml:space="preserve">язкове державне соціальне страхування за кожну  працевлаштовану особу. </w:t>
      </w:r>
    </w:p>
    <w:p w:rsidR="00FC24A8" w:rsidRPr="001B5DE3" w:rsidRDefault="00FC24A8" w:rsidP="00FC24A8">
      <w:pPr>
        <w:pStyle w:val="a7"/>
        <w:tabs>
          <w:tab w:val="left" w:pos="709"/>
        </w:tabs>
        <w:spacing w:after="0" w:line="235" w:lineRule="auto"/>
        <w:ind w:firstLine="709"/>
        <w:jc w:val="both"/>
        <w:rPr>
          <w:sz w:val="28"/>
          <w:szCs w:val="28"/>
          <w:lang w:val="uk-UA"/>
        </w:rPr>
      </w:pPr>
      <w:r w:rsidRPr="001B5DE3">
        <w:rPr>
          <w:sz w:val="28"/>
          <w:szCs w:val="28"/>
          <w:lang w:val="uk-UA"/>
        </w:rPr>
        <w:t>За оперативними даними</w:t>
      </w:r>
      <w:r w:rsidR="00B270F7" w:rsidRPr="001B5DE3">
        <w:rPr>
          <w:sz w:val="28"/>
          <w:szCs w:val="28"/>
          <w:lang w:val="uk-UA"/>
        </w:rPr>
        <w:t>,</w:t>
      </w:r>
      <w:r w:rsidRPr="001B5DE3">
        <w:rPr>
          <w:sz w:val="28"/>
          <w:szCs w:val="28"/>
          <w:lang w:val="uk-UA"/>
        </w:rPr>
        <w:t xml:space="preserve"> протягом І півріччя 2021 року на нові робочі місця працевлаштовані 34 особи, за яких роботодавцям надається компенсація витрат у розмірі єдиного внеску на загальнообов’язкове д</w:t>
      </w:r>
      <w:r w:rsidR="00B270F7" w:rsidRPr="001B5DE3">
        <w:rPr>
          <w:sz w:val="28"/>
          <w:szCs w:val="28"/>
          <w:lang w:val="uk-UA"/>
        </w:rPr>
        <w:t>ержавне соціальне страхування, з</w:t>
      </w:r>
      <w:r w:rsidRPr="001B5DE3">
        <w:rPr>
          <w:sz w:val="28"/>
          <w:szCs w:val="28"/>
          <w:lang w:val="uk-UA"/>
        </w:rPr>
        <w:t xml:space="preserve"> них 7 </w:t>
      </w:r>
      <w:r w:rsidR="00AD748D" w:rsidRPr="001B5DE3">
        <w:rPr>
          <w:sz w:val="28"/>
          <w:szCs w:val="28"/>
          <w:lang w:val="uk-UA"/>
        </w:rPr>
        <w:t>належать</w:t>
      </w:r>
      <w:r w:rsidRPr="001B5DE3">
        <w:rPr>
          <w:sz w:val="28"/>
          <w:szCs w:val="28"/>
          <w:lang w:val="uk-UA"/>
        </w:rPr>
        <w:t xml:space="preserve"> до категорій громадян, що мають додаткові гарантії у сприянні працевлаштуванню. </w:t>
      </w:r>
      <w:r w:rsidRPr="001B5DE3">
        <w:rPr>
          <w:sz w:val="28"/>
          <w:szCs w:val="28"/>
        </w:rPr>
        <w:t xml:space="preserve">Осіб, які належать до молоді, яка вперше приймається на роботу серед працевлаштованих на нові робочі місця з наданням компенсації роботодавцям, немає. </w:t>
      </w:r>
    </w:p>
    <w:p w:rsidR="00FC24A8" w:rsidRPr="001B5DE3" w:rsidRDefault="00AD748D" w:rsidP="00FC24A8">
      <w:pPr>
        <w:pStyle w:val="a7"/>
        <w:tabs>
          <w:tab w:val="left" w:pos="709"/>
        </w:tabs>
        <w:spacing w:after="0" w:line="235" w:lineRule="auto"/>
        <w:ind w:firstLine="709"/>
        <w:jc w:val="both"/>
        <w:rPr>
          <w:sz w:val="28"/>
          <w:szCs w:val="28"/>
          <w:lang w:val="uk-UA"/>
        </w:rPr>
      </w:pPr>
      <w:r w:rsidRPr="001B5DE3">
        <w:rPr>
          <w:sz w:val="28"/>
          <w:szCs w:val="28"/>
          <w:lang w:val="uk-UA"/>
        </w:rPr>
        <w:t>Одночасно</w:t>
      </w:r>
      <w:r w:rsidR="00FC24A8" w:rsidRPr="001B5DE3">
        <w:rPr>
          <w:sz w:val="28"/>
          <w:szCs w:val="28"/>
          <w:lang w:val="uk-UA"/>
        </w:rPr>
        <w:t xml:space="preserve"> спеціалістами служби зайнятос</w:t>
      </w:r>
      <w:r w:rsidRPr="001B5DE3">
        <w:rPr>
          <w:sz w:val="28"/>
          <w:szCs w:val="28"/>
          <w:lang w:val="uk-UA"/>
        </w:rPr>
        <w:t>ті на семінарах з роботодавцями</w:t>
      </w:r>
      <w:r w:rsidR="00FC24A8" w:rsidRPr="001B5DE3">
        <w:rPr>
          <w:sz w:val="28"/>
          <w:szCs w:val="28"/>
          <w:lang w:val="uk-UA"/>
        </w:rPr>
        <w:t xml:space="preserve"> безпосередньо </w:t>
      </w:r>
      <w:r w:rsidRPr="001B5DE3">
        <w:rPr>
          <w:sz w:val="28"/>
          <w:szCs w:val="28"/>
          <w:lang w:val="uk-UA"/>
        </w:rPr>
        <w:t>під час</w:t>
      </w:r>
      <w:r w:rsidR="00FC24A8" w:rsidRPr="001B5DE3">
        <w:rPr>
          <w:sz w:val="28"/>
          <w:szCs w:val="28"/>
          <w:lang w:val="uk-UA"/>
        </w:rPr>
        <w:t xml:space="preserve"> відвідування підприємств постійно проводиться інформаційно-роз’яснювальна робота щодо реалізації законодавства про працевлаштування громадян, які потребують соціального захисту, </w:t>
      </w:r>
      <w:r w:rsidRPr="001B5DE3">
        <w:rPr>
          <w:sz w:val="28"/>
          <w:szCs w:val="28"/>
          <w:lang w:val="uk-UA"/>
        </w:rPr>
        <w:t>у</w:t>
      </w:r>
      <w:r w:rsidR="00FC24A8" w:rsidRPr="001B5DE3">
        <w:rPr>
          <w:sz w:val="28"/>
          <w:szCs w:val="28"/>
          <w:lang w:val="uk-UA"/>
        </w:rPr>
        <w:t xml:space="preserve"> т.ч. шляхом бронювання робочих місць та надання роботодавцю компенсації єдиного соцвнеску. </w:t>
      </w:r>
      <w:r w:rsidR="00FC24A8" w:rsidRPr="001B5DE3">
        <w:rPr>
          <w:sz w:val="28"/>
          <w:szCs w:val="28"/>
        </w:rPr>
        <w:t>За оперативними даними</w:t>
      </w:r>
      <w:r w:rsidR="00A72490" w:rsidRPr="001B5DE3">
        <w:rPr>
          <w:sz w:val="28"/>
          <w:szCs w:val="28"/>
          <w:lang w:val="uk-UA"/>
        </w:rPr>
        <w:t>,</w:t>
      </w:r>
      <w:r w:rsidR="00FC24A8" w:rsidRPr="001B5DE3">
        <w:rPr>
          <w:sz w:val="28"/>
          <w:szCs w:val="28"/>
        </w:rPr>
        <w:t xml:space="preserve"> впродовж </w:t>
      </w:r>
      <w:r w:rsidR="00FC24A8" w:rsidRPr="001B5DE3">
        <w:rPr>
          <w:sz w:val="28"/>
          <w:szCs w:val="28"/>
          <w:lang w:val="uk-UA"/>
        </w:rPr>
        <w:br/>
        <w:t>І</w:t>
      </w:r>
      <w:r w:rsidR="00FC24A8" w:rsidRPr="001B5DE3">
        <w:rPr>
          <w:sz w:val="28"/>
          <w:szCs w:val="28"/>
        </w:rPr>
        <w:t xml:space="preserve"> півріччя 2021 року проведено бі</w:t>
      </w:r>
      <w:r w:rsidRPr="001B5DE3">
        <w:rPr>
          <w:sz w:val="28"/>
          <w:szCs w:val="28"/>
        </w:rPr>
        <w:t>льше 0,8 тис. семінарів та міні</w:t>
      </w:r>
      <w:r w:rsidR="00FC24A8" w:rsidRPr="001B5DE3">
        <w:rPr>
          <w:sz w:val="28"/>
          <w:szCs w:val="28"/>
        </w:rPr>
        <w:t xml:space="preserve">семінарів. З метою розв’язання проблем молоді, яка звернулася до служби зайнятості, було надано майже 48,1 тис. профорієнтаційних послуг майже 19,1 тис. безробітним особам  віком до 35 років. </w:t>
      </w:r>
    </w:p>
    <w:p w:rsidR="00FC24A8" w:rsidRPr="001B5DE3" w:rsidRDefault="00FC24A8" w:rsidP="00FC24A8">
      <w:pPr>
        <w:pStyle w:val="a7"/>
        <w:tabs>
          <w:tab w:val="left" w:pos="709"/>
        </w:tabs>
        <w:spacing w:after="0" w:line="235" w:lineRule="auto"/>
        <w:ind w:firstLine="709"/>
        <w:jc w:val="both"/>
        <w:rPr>
          <w:sz w:val="28"/>
          <w:szCs w:val="28"/>
          <w:lang w:val="uk-UA"/>
        </w:rPr>
      </w:pPr>
    </w:p>
    <w:bookmarkStart w:id="3" w:name="_MON_1690637473"/>
    <w:bookmarkEnd w:id="3"/>
    <w:p w:rsidR="00FC24A8" w:rsidRPr="001B5DE3" w:rsidRDefault="00A120D1" w:rsidP="00FC24A8">
      <w:pPr>
        <w:pStyle w:val="a7"/>
        <w:tabs>
          <w:tab w:val="left" w:pos="709"/>
        </w:tabs>
        <w:spacing w:after="0" w:line="235" w:lineRule="auto"/>
        <w:ind w:firstLine="709"/>
        <w:jc w:val="center"/>
        <w:rPr>
          <w:sz w:val="28"/>
          <w:szCs w:val="28"/>
          <w:lang w:val="uk-UA"/>
        </w:rPr>
      </w:pPr>
      <w:r w:rsidRPr="001B5DE3">
        <w:rPr>
          <w:sz w:val="28"/>
          <w:szCs w:val="28"/>
          <w:lang w:val="uk-UA"/>
        </w:rPr>
        <w:object w:dxaOrig="6715" w:dyaOrig="3780">
          <v:shape id="_x0000_i1026" type="#_x0000_t75" style="width:356.25pt;height:146.25pt" o:ole="">
            <v:imagedata r:id="rId38" o:title=""/>
          </v:shape>
          <o:OLEObject Type="Embed" ProgID="Excel.Sheet.12" ShapeID="_x0000_i1026" DrawAspect="Content" ObjectID="_1693833402" r:id="rId39"/>
        </w:object>
      </w:r>
    </w:p>
    <w:p w:rsidR="00FC24A8" w:rsidRPr="001B5DE3" w:rsidRDefault="00FC24A8" w:rsidP="00FC24A8">
      <w:pPr>
        <w:pStyle w:val="a7"/>
        <w:tabs>
          <w:tab w:val="left" w:pos="709"/>
        </w:tabs>
        <w:spacing w:after="0" w:line="235" w:lineRule="auto"/>
        <w:ind w:firstLine="709"/>
        <w:jc w:val="both"/>
        <w:rPr>
          <w:sz w:val="28"/>
          <w:szCs w:val="28"/>
          <w:lang w:val="uk-UA"/>
        </w:rPr>
      </w:pPr>
    </w:p>
    <w:p w:rsidR="00FC24A8" w:rsidRPr="001B5DE3" w:rsidRDefault="005E7E78" w:rsidP="00FC24A8">
      <w:pPr>
        <w:pStyle w:val="a7"/>
        <w:tabs>
          <w:tab w:val="left" w:pos="709"/>
        </w:tabs>
        <w:spacing w:after="0" w:line="235" w:lineRule="auto"/>
        <w:ind w:firstLine="709"/>
        <w:jc w:val="both"/>
        <w:rPr>
          <w:sz w:val="28"/>
          <w:szCs w:val="28"/>
          <w:lang w:val="uk-UA"/>
        </w:rPr>
      </w:pPr>
      <w:r w:rsidRPr="001B5DE3">
        <w:rPr>
          <w:sz w:val="28"/>
          <w:szCs w:val="28"/>
          <w:lang w:val="uk-UA"/>
        </w:rPr>
        <w:t>У</w:t>
      </w:r>
      <w:r w:rsidR="00FC24A8" w:rsidRPr="001B5DE3">
        <w:rPr>
          <w:sz w:val="28"/>
          <w:szCs w:val="28"/>
          <w:lang w:val="uk-UA"/>
        </w:rPr>
        <w:t xml:space="preserve">продовж січня – червня 2021 року в закладах освіти області за направленнями центрів зайнятості проходили професійне навчання </w:t>
      </w:r>
      <w:r w:rsidR="00FC24A8" w:rsidRPr="001B5DE3">
        <w:rPr>
          <w:sz w:val="28"/>
          <w:szCs w:val="28"/>
          <w:lang w:val="uk-UA"/>
        </w:rPr>
        <w:br/>
        <w:t xml:space="preserve">1,3 тис. осіб з числа безробітної молоді, що складає 26% від загальної кількості безробітних, які проходили навчання в звітному періоді. </w:t>
      </w:r>
    </w:p>
    <w:p w:rsidR="001B3792" w:rsidRPr="001B5DE3" w:rsidRDefault="001B3792" w:rsidP="001B3792">
      <w:pPr>
        <w:pStyle w:val="a7"/>
        <w:tabs>
          <w:tab w:val="left" w:pos="709"/>
        </w:tabs>
        <w:spacing w:after="0" w:line="235" w:lineRule="auto"/>
        <w:ind w:firstLine="709"/>
        <w:jc w:val="both"/>
        <w:rPr>
          <w:sz w:val="28"/>
          <w:szCs w:val="28"/>
          <w:lang w:val="uk-UA"/>
        </w:rPr>
      </w:pPr>
    </w:p>
    <w:p w:rsidR="001B3792" w:rsidRPr="001B5DE3" w:rsidRDefault="00CA1D65" w:rsidP="001B3792">
      <w:pPr>
        <w:pStyle w:val="a7"/>
        <w:tabs>
          <w:tab w:val="left" w:pos="709"/>
        </w:tabs>
        <w:spacing w:after="0" w:line="235" w:lineRule="auto"/>
        <w:ind w:firstLine="709"/>
        <w:jc w:val="center"/>
        <w:rPr>
          <w:sz w:val="28"/>
          <w:szCs w:val="28"/>
          <w:lang w:val="uk-UA"/>
        </w:rPr>
      </w:pPr>
      <w:r w:rsidRPr="001B5DE3">
        <w:rPr>
          <w:sz w:val="28"/>
          <w:szCs w:val="28"/>
          <w:lang w:val="uk-UA" w:eastAsia="uk-UA"/>
        </w:rPr>
        <w:object w:dxaOrig="7376" w:dyaOrig="3112">
          <v:shape id="_x0000_i1027" type="#_x0000_t75" style="width:400.5pt;height:163.5pt" o:ole="">
            <v:imagedata r:id="rId40" o:title=""/>
          </v:shape>
          <o:OLEObject Type="Embed" ProgID="Excel.Sheet.12" ShapeID="_x0000_i1027" DrawAspect="Content" ObjectID="_1693833403" r:id="rId41"/>
        </w:object>
      </w:r>
    </w:p>
    <w:p w:rsidR="001B3792" w:rsidRPr="001B5DE3" w:rsidRDefault="001B3792" w:rsidP="001B3792">
      <w:pPr>
        <w:pStyle w:val="a7"/>
        <w:tabs>
          <w:tab w:val="left" w:pos="709"/>
        </w:tabs>
        <w:spacing w:after="0" w:line="235" w:lineRule="auto"/>
        <w:ind w:firstLine="709"/>
        <w:jc w:val="both"/>
        <w:rPr>
          <w:sz w:val="28"/>
          <w:szCs w:val="28"/>
          <w:lang w:val="uk-UA"/>
        </w:rPr>
      </w:pPr>
    </w:p>
    <w:p w:rsidR="001B3792" w:rsidRPr="001B5DE3" w:rsidRDefault="001B3792" w:rsidP="00AC4B3C">
      <w:pPr>
        <w:pStyle w:val="a7"/>
        <w:tabs>
          <w:tab w:val="left" w:pos="709"/>
        </w:tabs>
        <w:spacing w:after="0"/>
        <w:ind w:firstLine="709"/>
        <w:jc w:val="both"/>
        <w:rPr>
          <w:sz w:val="28"/>
          <w:szCs w:val="28"/>
          <w:lang w:val="uk-UA"/>
        </w:rPr>
      </w:pPr>
      <w:r w:rsidRPr="001B5DE3">
        <w:rPr>
          <w:sz w:val="28"/>
          <w:szCs w:val="28"/>
          <w:lang w:val="uk-UA"/>
        </w:rPr>
        <w:t>Найбільшим попитом серед молоді користувались такі професії: електрогазозварник, електрослюсар (слюсар) черговий та з ремонту устаткування, касир (в банку), манікюрник, молодша медична сестра (молодший медичний брат)</w:t>
      </w:r>
      <w:r w:rsidR="005E7E78" w:rsidRPr="001B5DE3">
        <w:rPr>
          <w:sz w:val="28"/>
          <w:szCs w:val="28"/>
          <w:lang w:val="uk-UA"/>
        </w:rPr>
        <w:t xml:space="preserve"> з догляду за хворими та напрям</w:t>
      </w:r>
      <w:r w:rsidRPr="001B5DE3">
        <w:rPr>
          <w:sz w:val="28"/>
          <w:szCs w:val="28"/>
          <w:lang w:val="uk-UA"/>
        </w:rPr>
        <w:t xml:space="preserve">и підвищення кваліфікації: “Комп’ютеризація бухгалтерського обліку”, “Основи розробки вебсайтів”, “Агротехнічні роботи з вирощування зернових культур”, “Використання сучасних виробничих технологій в роботі тракториста-машиніста сільськогосподарського виробництва”, “Користувач ПК: офісні технології та Інтернет”, “Офіс-менеджмент з основами діловодства”, “Створення малого бізнесу: теоретичні основи та практичні аспекти”, “Тракторист-машиніст сільськогосподарського виробництва (підтвердження знань з правил дорожнього руху та правил безпечної експлуатації  тракторів та сільськогосподарської техніки)” тощо. З числа осіб з інвалідністю, які перебувають на обліку, послуги  професійного навчання з урахуванням рекомендацій медико-соціальних комісій </w:t>
      </w:r>
      <w:r w:rsidR="005E7E78" w:rsidRPr="001B5DE3">
        <w:rPr>
          <w:sz w:val="28"/>
          <w:szCs w:val="28"/>
          <w:lang w:val="uk-UA"/>
        </w:rPr>
        <w:t>у</w:t>
      </w:r>
      <w:r w:rsidRPr="001B5DE3">
        <w:rPr>
          <w:sz w:val="28"/>
          <w:szCs w:val="28"/>
          <w:lang w:val="uk-UA"/>
        </w:rPr>
        <w:t xml:space="preserve">продовж січня – червня 2021 року отримували 69 осіб з числа безробітних. Профнавчання осіб з інвалідністю  проводилось з урахуванням рекомендацій індивідуальних програм реабілітації та потреб ринку праці. </w:t>
      </w:r>
    </w:p>
    <w:p w:rsidR="001B3792" w:rsidRDefault="005E7E78" w:rsidP="00AC4B3C">
      <w:pPr>
        <w:pStyle w:val="a7"/>
        <w:tabs>
          <w:tab w:val="left" w:pos="709"/>
        </w:tabs>
        <w:spacing w:after="0"/>
        <w:ind w:firstLine="709"/>
        <w:jc w:val="both"/>
        <w:rPr>
          <w:sz w:val="28"/>
          <w:szCs w:val="28"/>
          <w:lang w:val="uk-UA"/>
        </w:rPr>
      </w:pPr>
      <w:r w:rsidRPr="001B5DE3">
        <w:rPr>
          <w:sz w:val="28"/>
          <w:szCs w:val="28"/>
          <w:lang w:val="uk-UA"/>
        </w:rPr>
        <w:t>У</w:t>
      </w:r>
      <w:r w:rsidR="001B3792" w:rsidRPr="001B5DE3">
        <w:rPr>
          <w:sz w:val="28"/>
          <w:szCs w:val="28"/>
        </w:rPr>
        <w:t>продовж січня</w:t>
      </w:r>
      <w:r w:rsidR="001B3792" w:rsidRPr="001B5DE3">
        <w:rPr>
          <w:sz w:val="28"/>
          <w:szCs w:val="28"/>
          <w:lang w:val="uk-UA"/>
        </w:rPr>
        <w:t xml:space="preserve"> – </w:t>
      </w:r>
      <w:r w:rsidR="001B3792" w:rsidRPr="001B5DE3">
        <w:rPr>
          <w:sz w:val="28"/>
          <w:szCs w:val="28"/>
        </w:rPr>
        <w:t xml:space="preserve">червня 2021 року професійну підготовку проходила одна особа з інвалідністю за професією офісний службовець (бухгалтерія). Підвищення кваліфікації безробітних </w:t>
      </w:r>
      <w:r w:rsidR="00534DA6" w:rsidRPr="001B5DE3">
        <w:rPr>
          <w:sz w:val="28"/>
          <w:szCs w:val="28"/>
          <w:lang w:val="uk-UA"/>
        </w:rPr>
        <w:t>цієї</w:t>
      </w:r>
      <w:r w:rsidR="001B3792" w:rsidRPr="001B5DE3">
        <w:rPr>
          <w:sz w:val="28"/>
          <w:szCs w:val="28"/>
        </w:rPr>
        <w:t xml:space="preserve"> категорії здійснювалось за навчальними програмами: </w:t>
      </w:r>
      <w:r w:rsidR="001B3792" w:rsidRPr="001B5DE3">
        <w:rPr>
          <w:sz w:val="28"/>
          <w:szCs w:val="28"/>
          <w:lang w:val="uk-UA"/>
        </w:rPr>
        <w:t>“</w:t>
      </w:r>
      <w:r w:rsidR="001B3792" w:rsidRPr="001B5DE3">
        <w:rPr>
          <w:sz w:val="28"/>
          <w:szCs w:val="28"/>
        </w:rPr>
        <w:t>Користувач ПК: офісні технології та Інтернет</w:t>
      </w:r>
      <w:r w:rsidR="001B3792" w:rsidRPr="001B5DE3">
        <w:rPr>
          <w:sz w:val="28"/>
          <w:szCs w:val="28"/>
          <w:lang w:val="uk-UA"/>
        </w:rPr>
        <w:t>”</w:t>
      </w:r>
      <w:r w:rsidR="001B3792" w:rsidRPr="001B5DE3">
        <w:rPr>
          <w:sz w:val="28"/>
          <w:szCs w:val="28"/>
        </w:rPr>
        <w:t xml:space="preserve">, </w:t>
      </w:r>
      <w:r w:rsidR="001B3792" w:rsidRPr="001B5DE3">
        <w:rPr>
          <w:sz w:val="28"/>
          <w:szCs w:val="28"/>
          <w:lang w:val="uk-UA"/>
        </w:rPr>
        <w:t>“</w:t>
      </w:r>
      <w:r w:rsidR="001B3792" w:rsidRPr="001B5DE3">
        <w:rPr>
          <w:sz w:val="28"/>
          <w:szCs w:val="28"/>
        </w:rPr>
        <w:t>Навчання та переатестація трактористів-машиністів сільськогосподарського виробництва з питань підтвердження знань правил дорожнього руху та правил безпечної експлуатації тракторів та сільськогосподарської техніки</w:t>
      </w:r>
      <w:r w:rsidR="001B3792" w:rsidRPr="001B5DE3">
        <w:rPr>
          <w:sz w:val="28"/>
          <w:szCs w:val="28"/>
          <w:lang w:val="uk-UA"/>
        </w:rPr>
        <w:t>”</w:t>
      </w:r>
      <w:r w:rsidR="001B3792" w:rsidRPr="001B5DE3">
        <w:rPr>
          <w:sz w:val="28"/>
          <w:szCs w:val="28"/>
        </w:rPr>
        <w:t xml:space="preserve">, </w:t>
      </w:r>
      <w:r w:rsidR="001B3792" w:rsidRPr="001B5DE3">
        <w:rPr>
          <w:sz w:val="28"/>
          <w:szCs w:val="28"/>
          <w:lang w:val="uk-UA"/>
        </w:rPr>
        <w:t>“</w:t>
      </w:r>
      <w:r w:rsidR="001B3792" w:rsidRPr="001B5DE3">
        <w:rPr>
          <w:sz w:val="28"/>
          <w:szCs w:val="28"/>
        </w:rPr>
        <w:t>Основи охорони праці та правове регулювання відносин у сільському господарстві</w:t>
      </w:r>
      <w:r w:rsidR="001B3792" w:rsidRPr="001B5DE3">
        <w:rPr>
          <w:sz w:val="28"/>
          <w:szCs w:val="28"/>
          <w:lang w:val="uk-UA"/>
        </w:rPr>
        <w:t>”</w:t>
      </w:r>
      <w:r w:rsidR="001B3792" w:rsidRPr="001B5DE3">
        <w:rPr>
          <w:sz w:val="28"/>
          <w:szCs w:val="28"/>
        </w:rPr>
        <w:t xml:space="preserve">, </w:t>
      </w:r>
      <w:r w:rsidR="001B3792" w:rsidRPr="001B5DE3">
        <w:rPr>
          <w:sz w:val="28"/>
          <w:szCs w:val="28"/>
          <w:lang w:val="uk-UA"/>
        </w:rPr>
        <w:t>“</w:t>
      </w:r>
      <w:r w:rsidR="001B3792" w:rsidRPr="001B5DE3">
        <w:rPr>
          <w:sz w:val="28"/>
          <w:szCs w:val="28"/>
        </w:rPr>
        <w:t>Правове регулювання взаємовідносин у сільському господарстві з елементами охорони праці</w:t>
      </w:r>
      <w:r w:rsidR="001B3792" w:rsidRPr="001B5DE3">
        <w:rPr>
          <w:sz w:val="28"/>
          <w:szCs w:val="28"/>
          <w:lang w:val="uk-UA"/>
        </w:rPr>
        <w:t>”</w:t>
      </w:r>
      <w:r w:rsidR="001B3792" w:rsidRPr="001B5DE3">
        <w:rPr>
          <w:sz w:val="28"/>
          <w:szCs w:val="28"/>
        </w:rPr>
        <w:t xml:space="preserve"> та інші. З числа осіб з інвалідністю впродовж січня</w:t>
      </w:r>
      <w:r w:rsidR="001B3792" w:rsidRPr="001B5DE3">
        <w:rPr>
          <w:sz w:val="28"/>
          <w:szCs w:val="28"/>
          <w:lang w:val="uk-UA"/>
        </w:rPr>
        <w:t xml:space="preserve"> – </w:t>
      </w:r>
      <w:r w:rsidR="001B3792" w:rsidRPr="001B5DE3">
        <w:rPr>
          <w:sz w:val="28"/>
          <w:szCs w:val="28"/>
        </w:rPr>
        <w:t>червня 2021 року проходили навчання на базі Дніпропетровського центру професійно-технічної освіти Державної служби зайнятості, Професійно-технічного училища №</w:t>
      </w:r>
      <w:r w:rsidR="00534DA6" w:rsidRPr="001B5DE3">
        <w:rPr>
          <w:sz w:val="28"/>
          <w:szCs w:val="28"/>
          <w:lang w:val="uk-UA"/>
        </w:rPr>
        <w:t xml:space="preserve"> </w:t>
      </w:r>
      <w:r w:rsidR="001B3792" w:rsidRPr="001B5DE3">
        <w:rPr>
          <w:sz w:val="28"/>
          <w:szCs w:val="28"/>
        </w:rPr>
        <w:t>74, О</w:t>
      </w:r>
      <w:r w:rsidR="001B3792" w:rsidRPr="001B5DE3">
        <w:rPr>
          <w:sz w:val="28"/>
          <w:szCs w:val="28"/>
          <w:lang w:val="uk-UA"/>
        </w:rPr>
        <w:t>рдена</w:t>
      </w:r>
      <w:r w:rsidR="001B3792" w:rsidRPr="001B5DE3">
        <w:rPr>
          <w:sz w:val="28"/>
          <w:szCs w:val="28"/>
        </w:rPr>
        <w:t xml:space="preserve"> </w:t>
      </w:r>
      <w:r w:rsidR="001B3792" w:rsidRPr="001B5DE3">
        <w:rPr>
          <w:sz w:val="28"/>
          <w:szCs w:val="28"/>
          <w:lang w:val="uk-UA"/>
        </w:rPr>
        <w:t>“</w:t>
      </w:r>
      <w:r w:rsidR="001B3792" w:rsidRPr="001B5DE3">
        <w:rPr>
          <w:sz w:val="28"/>
          <w:szCs w:val="28"/>
        </w:rPr>
        <w:t>З</w:t>
      </w:r>
      <w:r w:rsidR="001B3792" w:rsidRPr="001B5DE3">
        <w:rPr>
          <w:sz w:val="28"/>
          <w:szCs w:val="28"/>
          <w:lang w:val="uk-UA"/>
        </w:rPr>
        <w:t>нак</w:t>
      </w:r>
      <w:r w:rsidR="001B3792" w:rsidRPr="001B5DE3">
        <w:rPr>
          <w:sz w:val="28"/>
          <w:szCs w:val="28"/>
        </w:rPr>
        <w:t xml:space="preserve"> </w:t>
      </w:r>
      <w:r w:rsidR="00534DA6" w:rsidRPr="001B5DE3">
        <w:rPr>
          <w:sz w:val="28"/>
          <w:szCs w:val="28"/>
          <w:lang w:val="uk-UA"/>
        </w:rPr>
        <w:t>П</w:t>
      </w:r>
      <w:r w:rsidR="001B3792" w:rsidRPr="001B5DE3">
        <w:rPr>
          <w:sz w:val="28"/>
          <w:szCs w:val="28"/>
          <w:lang w:val="uk-UA"/>
        </w:rPr>
        <w:t>ошани”</w:t>
      </w:r>
      <w:r w:rsidR="001B3792" w:rsidRPr="001B5DE3">
        <w:rPr>
          <w:sz w:val="28"/>
          <w:szCs w:val="28"/>
        </w:rPr>
        <w:t xml:space="preserve"> ВПУ №</w:t>
      </w:r>
      <w:r w:rsidR="00534DA6" w:rsidRPr="001B5DE3">
        <w:rPr>
          <w:sz w:val="28"/>
          <w:szCs w:val="28"/>
          <w:lang w:val="uk-UA"/>
        </w:rPr>
        <w:t xml:space="preserve"> </w:t>
      </w:r>
      <w:r w:rsidR="001B3792" w:rsidRPr="001B5DE3">
        <w:rPr>
          <w:sz w:val="28"/>
          <w:szCs w:val="28"/>
        </w:rPr>
        <w:t xml:space="preserve">75 та </w:t>
      </w:r>
      <w:r w:rsidR="001B3792" w:rsidRPr="001B5DE3">
        <w:rPr>
          <w:sz w:val="28"/>
          <w:szCs w:val="28"/>
          <w:lang w:val="uk-UA"/>
        </w:rPr>
        <w:t>“</w:t>
      </w:r>
      <w:r w:rsidR="001B3792" w:rsidRPr="001B5DE3">
        <w:rPr>
          <w:sz w:val="28"/>
          <w:szCs w:val="28"/>
        </w:rPr>
        <w:t xml:space="preserve">Державного Дніпропетровського навчального центру </w:t>
      </w:r>
      <w:r w:rsidR="001B3792" w:rsidRPr="001B5DE3">
        <w:rPr>
          <w:sz w:val="28"/>
          <w:szCs w:val="28"/>
          <w:lang w:val="uk-UA"/>
        </w:rPr>
        <w:t>“</w:t>
      </w:r>
      <w:r w:rsidR="001B3792" w:rsidRPr="001B5DE3">
        <w:rPr>
          <w:sz w:val="28"/>
          <w:szCs w:val="28"/>
        </w:rPr>
        <w:t>Дніпроагротехсервіс</w:t>
      </w:r>
      <w:r w:rsidR="001B3792" w:rsidRPr="001B5DE3">
        <w:rPr>
          <w:sz w:val="28"/>
          <w:szCs w:val="28"/>
          <w:lang w:val="uk-UA"/>
        </w:rPr>
        <w:t>”</w:t>
      </w:r>
      <w:r w:rsidR="001B3792" w:rsidRPr="001B5DE3">
        <w:rPr>
          <w:sz w:val="28"/>
          <w:szCs w:val="28"/>
        </w:rPr>
        <w:t xml:space="preserve">. </w:t>
      </w:r>
    </w:p>
    <w:p w:rsidR="00AC4B3C" w:rsidRPr="00AC4B3C" w:rsidRDefault="00AC4B3C" w:rsidP="00AC4B3C">
      <w:pPr>
        <w:pStyle w:val="a7"/>
        <w:tabs>
          <w:tab w:val="left" w:pos="709"/>
        </w:tabs>
        <w:spacing w:after="0"/>
        <w:ind w:firstLine="709"/>
        <w:jc w:val="both"/>
        <w:rPr>
          <w:sz w:val="28"/>
          <w:szCs w:val="28"/>
          <w:lang w:val="uk-UA"/>
        </w:rPr>
      </w:pPr>
    </w:p>
    <w:p w:rsidR="001B3792" w:rsidRPr="001B5DE3" w:rsidRDefault="001B3792" w:rsidP="001B3792">
      <w:pPr>
        <w:pStyle w:val="a7"/>
        <w:tabs>
          <w:tab w:val="left" w:pos="709"/>
        </w:tabs>
        <w:spacing w:after="0" w:line="235" w:lineRule="auto"/>
        <w:ind w:firstLine="709"/>
        <w:jc w:val="both"/>
        <w:rPr>
          <w:sz w:val="28"/>
          <w:szCs w:val="28"/>
          <w:lang w:val="uk-UA"/>
        </w:rPr>
      </w:pPr>
      <w:r w:rsidRPr="001B5DE3">
        <w:rPr>
          <w:sz w:val="28"/>
          <w:szCs w:val="28"/>
          <w:lang w:val="uk-UA"/>
        </w:rPr>
        <w:lastRenderedPageBreak/>
        <w:t>Зайнятість учнів, у першу чергу дітей-сиріт, дітей з малозабезпечених та неповних сімей, діт</w:t>
      </w:r>
      <w:r w:rsidR="00534DA6" w:rsidRPr="001B5DE3">
        <w:rPr>
          <w:sz w:val="28"/>
          <w:szCs w:val="28"/>
          <w:lang w:val="uk-UA"/>
        </w:rPr>
        <w:t xml:space="preserve">ей, схильних до правопорушень, у </w:t>
      </w:r>
      <w:r w:rsidRPr="001B5DE3">
        <w:rPr>
          <w:sz w:val="28"/>
          <w:szCs w:val="28"/>
          <w:lang w:val="uk-UA"/>
        </w:rPr>
        <w:t xml:space="preserve">канікулярний період вирішується центрами зайнятості спільно з органами влади, роботодавцями та соціальними партнерами. </w:t>
      </w:r>
      <w:r w:rsidRPr="001B5DE3">
        <w:rPr>
          <w:sz w:val="28"/>
          <w:szCs w:val="28"/>
        </w:rPr>
        <w:t xml:space="preserve">У звітному періоді 16 осіб з числа учнівської та студентської молоді </w:t>
      </w:r>
      <w:r w:rsidR="00534DA6" w:rsidRPr="001B5DE3">
        <w:rPr>
          <w:sz w:val="28"/>
          <w:szCs w:val="28"/>
          <w:lang w:val="uk-UA"/>
        </w:rPr>
        <w:t xml:space="preserve">взяли </w:t>
      </w:r>
      <w:r w:rsidRPr="001B5DE3">
        <w:rPr>
          <w:sz w:val="28"/>
          <w:szCs w:val="28"/>
        </w:rPr>
        <w:t xml:space="preserve">участь у тимчасових роботах. Учнівська та студентська молодь працювала підсобними робітниками (ПрАТ </w:t>
      </w:r>
      <w:r w:rsidR="001D5DB1" w:rsidRPr="001B5DE3">
        <w:rPr>
          <w:sz w:val="28"/>
          <w:szCs w:val="28"/>
          <w:lang w:val="uk-UA"/>
        </w:rPr>
        <w:t>“</w:t>
      </w:r>
      <w:r w:rsidRPr="001B5DE3">
        <w:rPr>
          <w:sz w:val="28"/>
          <w:szCs w:val="28"/>
        </w:rPr>
        <w:t>Суха Балка</w:t>
      </w:r>
      <w:r w:rsidR="001D5DB1" w:rsidRPr="001B5DE3">
        <w:rPr>
          <w:sz w:val="28"/>
          <w:szCs w:val="28"/>
          <w:lang w:val="uk-UA"/>
        </w:rPr>
        <w:t>”</w:t>
      </w:r>
      <w:r w:rsidRPr="001B5DE3">
        <w:rPr>
          <w:sz w:val="28"/>
          <w:szCs w:val="28"/>
        </w:rPr>
        <w:t xml:space="preserve">, ТОВ </w:t>
      </w:r>
      <w:r w:rsidRPr="001B5DE3">
        <w:rPr>
          <w:sz w:val="28"/>
          <w:szCs w:val="28"/>
          <w:lang w:val="uk-UA"/>
        </w:rPr>
        <w:t>“</w:t>
      </w:r>
      <w:r w:rsidRPr="001B5DE3">
        <w:rPr>
          <w:sz w:val="28"/>
          <w:szCs w:val="28"/>
        </w:rPr>
        <w:t>Скляний альянс</w:t>
      </w:r>
      <w:r w:rsidRPr="001B5DE3">
        <w:rPr>
          <w:sz w:val="28"/>
          <w:szCs w:val="28"/>
          <w:lang w:val="uk-UA"/>
        </w:rPr>
        <w:t>”</w:t>
      </w:r>
      <w:r w:rsidRPr="001B5DE3">
        <w:rPr>
          <w:sz w:val="28"/>
          <w:szCs w:val="28"/>
        </w:rPr>
        <w:t xml:space="preserve">). Профорієнтаційними послугами у звітному періоді охоплено 2157 осіб, що навчаються в навчальних закладах різних типів, з них понад 795 учнів загальної середньої освіти отримали майже </w:t>
      </w:r>
      <w:r w:rsidR="001D5DB1" w:rsidRPr="001B5DE3">
        <w:rPr>
          <w:sz w:val="28"/>
          <w:szCs w:val="28"/>
          <w:lang w:val="uk-UA"/>
        </w:rPr>
        <w:br/>
      </w:r>
      <w:r w:rsidRPr="001B5DE3">
        <w:rPr>
          <w:sz w:val="28"/>
          <w:szCs w:val="28"/>
        </w:rPr>
        <w:t xml:space="preserve">796 різноманітних профорієнтаційних послуг, з них 630 </w:t>
      </w:r>
      <w:r w:rsidRPr="001B5DE3">
        <w:rPr>
          <w:sz w:val="28"/>
          <w:szCs w:val="28"/>
          <w:lang w:val="uk-UA"/>
        </w:rPr>
        <w:t>–</w:t>
      </w:r>
      <w:r w:rsidRPr="001B5DE3">
        <w:rPr>
          <w:sz w:val="28"/>
          <w:szCs w:val="28"/>
        </w:rPr>
        <w:t xml:space="preserve"> профінформаційних та 166 </w:t>
      </w:r>
      <w:r w:rsidRPr="001B5DE3">
        <w:rPr>
          <w:sz w:val="28"/>
          <w:szCs w:val="28"/>
          <w:lang w:val="uk-UA"/>
        </w:rPr>
        <w:t>–</w:t>
      </w:r>
      <w:r w:rsidRPr="001B5DE3">
        <w:rPr>
          <w:sz w:val="28"/>
          <w:szCs w:val="28"/>
        </w:rPr>
        <w:t xml:space="preserve"> профконсультаційних. </w:t>
      </w:r>
    </w:p>
    <w:p w:rsidR="001B3792" w:rsidRPr="001B5DE3" w:rsidRDefault="001B3792" w:rsidP="001B3792">
      <w:pPr>
        <w:pStyle w:val="a7"/>
        <w:tabs>
          <w:tab w:val="left" w:pos="709"/>
        </w:tabs>
        <w:spacing w:after="0" w:line="235" w:lineRule="auto"/>
        <w:ind w:firstLine="709"/>
        <w:jc w:val="both"/>
        <w:rPr>
          <w:sz w:val="28"/>
          <w:szCs w:val="28"/>
          <w:lang w:val="uk-UA"/>
        </w:rPr>
      </w:pPr>
      <w:r w:rsidRPr="001B5DE3">
        <w:rPr>
          <w:sz w:val="28"/>
          <w:szCs w:val="28"/>
          <w:lang w:val="uk-UA"/>
        </w:rPr>
        <w:t xml:space="preserve">З метою ознайомлення студентів ВНЗ та учнів ПТНЗ із комплексом соціальних послуг, які надає служба зайнятості, були надані різноманітні профорієнтаційні послуги 854 студентам ВНЗ та 508 учням ПТНЗ. </w:t>
      </w:r>
      <w:r w:rsidR="001D5DB1" w:rsidRPr="001B5DE3">
        <w:rPr>
          <w:sz w:val="28"/>
          <w:szCs w:val="28"/>
          <w:lang w:val="uk-UA"/>
        </w:rPr>
        <w:t>У</w:t>
      </w:r>
      <w:r w:rsidRPr="001B5DE3">
        <w:rPr>
          <w:sz w:val="28"/>
          <w:szCs w:val="28"/>
        </w:rPr>
        <w:t xml:space="preserve"> березні проведено 8 заходів для 230 школярів м. Новомосковськ на території Новомосковського кооперативного коледжу економіки та права </w:t>
      </w:r>
      <w:r w:rsidRPr="001B5DE3">
        <w:rPr>
          <w:sz w:val="28"/>
          <w:szCs w:val="28"/>
          <w:lang w:val="uk-UA"/>
        </w:rPr>
        <w:br/>
      </w:r>
      <w:r w:rsidR="001D5DB1" w:rsidRPr="001B5DE3">
        <w:rPr>
          <w:sz w:val="28"/>
          <w:szCs w:val="28"/>
        </w:rPr>
        <w:t>ім. С.В.</w:t>
      </w:r>
      <w:r w:rsidRPr="001B5DE3">
        <w:rPr>
          <w:sz w:val="28"/>
          <w:szCs w:val="28"/>
        </w:rPr>
        <w:t>Литвиненка</w:t>
      </w:r>
      <w:r w:rsidRPr="001B5DE3">
        <w:rPr>
          <w:sz w:val="28"/>
          <w:szCs w:val="28"/>
          <w:lang w:val="uk-UA"/>
        </w:rPr>
        <w:t xml:space="preserve">. </w:t>
      </w:r>
      <w:r w:rsidR="001D5DB1" w:rsidRPr="001B5DE3">
        <w:rPr>
          <w:sz w:val="28"/>
          <w:szCs w:val="28"/>
          <w:lang w:val="uk-UA"/>
        </w:rPr>
        <w:t>У</w:t>
      </w:r>
      <w:r w:rsidRPr="001B5DE3">
        <w:rPr>
          <w:sz w:val="28"/>
          <w:szCs w:val="28"/>
        </w:rPr>
        <w:t xml:space="preserve"> форматі заходу школярі ознайомилися з навчальним закладом, умовами навчання. Фахівці служби зайнятості ознайомили школярів з актуальними професіями на ринку праці, електронними сервісами служби зайнятості, можливостями визначення своїх професійних пріоритетів на платформі з про</w:t>
      </w:r>
      <w:r w:rsidR="00946EC0" w:rsidRPr="001B5DE3">
        <w:rPr>
          <w:sz w:val="28"/>
          <w:szCs w:val="28"/>
        </w:rPr>
        <w:t>форієнтації та розвитку кар’єри</w:t>
      </w:r>
      <w:r w:rsidRPr="001B5DE3">
        <w:rPr>
          <w:sz w:val="28"/>
          <w:szCs w:val="28"/>
        </w:rPr>
        <w:t xml:space="preserve"> та запропонували отримати професійну консультацію. Фахівці Дніпропетровської обласної служби зайнятості </w:t>
      </w:r>
      <w:r w:rsidR="00946EC0" w:rsidRPr="001B5DE3">
        <w:rPr>
          <w:sz w:val="28"/>
          <w:szCs w:val="28"/>
          <w:lang w:val="uk-UA"/>
        </w:rPr>
        <w:t>взяли</w:t>
      </w:r>
      <w:r w:rsidRPr="001B5DE3">
        <w:rPr>
          <w:sz w:val="28"/>
          <w:szCs w:val="28"/>
        </w:rPr>
        <w:t xml:space="preserve"> участь в ярмарку вакансій для</w:t>
      </w:r>
      <w:r w:rsidR="007236B5" w:rsidRPr="001B5DE3">
        <w:rPr>
          <w:sz w:val="28"/>
          <w:szCs w:val="28"/>
          <w:lang w:val="uk-UA"/>
        </w:rPr>
        <w:t xml:space="preserve"> </w:t>
      </w:r>
      <w:r w:rsidRPr="001B5DE3">
        <w:rPr>
          <w:sz w:val="28"/>
          <w:szCs w:val="28"/>
        </w:rPr>
        <w:t xml:space="preserve">150 студентів-випускників Дніпровського національного університету ім. Олеся Гончара за напрямами </w:t>
      </w:r>
      <w:r w:rsidRPr="001B5DE3">
        <w:rPr>
          <w:sz w:val="28"/>
          <w:szCs w:val="28"/>
          <w:lang w:val="uk-UA"/>
        </w:rPr>
        <w:t>“</w:t>
      </w:r>
      <w:r w:rsidRPr="001B5DE3">
        <w:rPr>
          <w:sz w:val="28"/>
          <w:szCs w:val="28"/>
        </w:rPr>
        <w:t>Біологія</w:t>
      </w:r>
      <w:r w:rsidRPr="001B5DE3">
        <w:rPr>
          <w:sz w:val="28"/>
          <w:szCs w:val="28"/>
          <w:lang w:val="uk-UA"/>
        </w:rPr>
        <w:t>”</w:t>
      </w:r>
      <w:r w:rsidRPr="001B5DE3">
        <w:rPr>
          <w:sz w:val="28"/>
          <w:szCs w:val="28"/>
        </w:rPr>
        <w:t xml:space="preserve">, </w:t>
      </w:r>
      <w:r w:rsidRPr="001B5DE3">
        <w:rPr>
          <w:sz w:val="28"/>
          <w:szCs w:val="28"/>
          <w:lang w:val="uk-UA"/>
        </w:rPr>
        <w:t>“</w:t>
      </w:r>
      <w:r w:rsidRPr="001B5DE3">
        <w:rPr>
          <w:sz w:val="28"/>
          <w:szCs w:val="28"/>
        </w:rPr>
        <w:t>Соціальна робота</w:t>
      </w:r>
      <w:r w:rsidRPr="001B5DE3">
        <w:rPr>
          <w:sz w:val="28"/>
          <w:szCs w:val="28"/>
          <w:lang w:val="uk-UA"/>
        </w:rPr>
        <w:t>”</w:t>
      </w:r>
      <w:r w:rsidRPr="001B5DE3">
        <w:rPr>
          <w:sz w:val="28"/>
          <w:szCs w:val="28"/>
        </w:rPr>
        <w:t xml:space="preserve">, </w:t>
      </w:r>
      <w:r w:rsidRPr="001B5DE3">
        <w:rPr>
          <w:sz w:val="28"/>
          <w:szCs w:val="28"/>
          <w:lang w:val="uk-UA"/>
        </w:rPr>
        <w:t>“</w:t>
      </w:r>
      <w:r w:rsidRPr="001B5DE3">
        <w:rPr>
          <w:sz w:val="28"/>
          <w:szCs w:val="28"/>
        </w:rPr>
        <w:t>Право</w:t>
      </w:r>
      <w:r w:rsidRPr="001B5DE3">
        <w:rPr>
          <w:sz w:val="28"/>
          <w:szCs w:val="28"/>
          <w:lang w:val="uk-UA"/>
        </w:rPr>
        <w:t>”</w:t>
      </w:r>
      <w:r w:rsidRPr="001B5DE3">
        <w:rPr>
          <w:sz w:val="28"/>
          <w:szCs w:val="28"/>
        </w:rPr>
        <w:t xml:space="preserve">, </w:t>
      </w:r>
      <w:r w:rsidRPr="001B5DE3">
        <w:rPr>
          <w:sz w:val="28"/>
          <w:szCs w:val="28"/>
          <w:lang w:val="uk-UA"/>
        </w:rPr>
        <w:t>“</w:t>
      </w:r>
      <w:r w:rsidRPr="001B5DE3">
        <w:rPr>
          <w:sz w:val="28"/>
          <w:szCs w:val="28"/>
        </w:rPr>
        <w:t>Соціологія</w:t>
      </w:r>
      <w:r w:rsidRPr="001B5DE3">
        <w:rPr>
          <w:sz w:val="28"/>
          <w:szCs w:val="28"/>
          <w:lang w:val="uk-UA"/>
        </w:rPr>
        <w:t>”</w:t>
      </w:r>
      <w:r w:rsidRPr="001B5DE3">
        <w:rPr>
          <w:sz w:val="28"/>
          <w:szCs w:val="28"/>
        </w:rPr>
        <w:t xml:space="preserve">. Спеціалісти ознайомили учасників конференції з можливостями служби зайнятості для студентської молоді, а саме: електронними сервісами служби зайнятості та допомогою в формуванні навичок пошуку роботи. Представники 11 роботодавців презентували можливості підприємств. Захід відбувся дистанційно, засобами програми Zoom. </w:t>
      </w:r>
    </w:p>
    <w:p w:rsidR="001B3792" w:rsidRPr="001B5DE3" w:rsidRDefault="001B3792" w:rsidP="001B3792">
      <w:pPr>
        <w:pStyle w:val="a7"/>
        <w:tabs>
          <w:tab w:val="left" w:pos="709"/>
        </w:tabs>
        <w:spacing w:after="0" w:line="235" w:lineRule="auto"/>
        <w:ind w:firstLine="709"/>
        <w:jc w:val="both"/>
        <w:rPr>
          <w:sz w:val="28"/>
          <w:szCs w:val="28"/>
          <w:lang w:val="uk-UA"/>
        </w:rPr>
      </w:pPr>
      <w:r w:rsidRPr="001B5DE3">
        <w:rPr>
          <w:sz w:val="28"/>
          <w:szCs w:val="28"/>
          <w:lang w:val="uk-UA"/>
        </w:rPr>
        <w:t xml:space="preserve">Фахівці Криворізького міськрайонного центру зайнятості провели </w:t>
      </w:r>
      <w:r w:rsidR="00946EC0" w:rsidRPr="001B5DE3">
        <w:rPr>
          <w:sz w:val="28"/>
          <w:szCs w:val="28"/>
          <w:lang w:val="uk-UA"/>
        </w:rPr>
        <w:br/>
      </w:r>
      <w:r w:rsidRPr="001B5DE3">
        <w:rPr>
          <w:sz w:val="28"/>
          <w:szCs w:val="28"/>
          <w:lang w:val="uk-UA"/>
        </w:rPr>
        <w:t xml:space="preserve">3 тренінги на базі Центру професійної кар’єри для 60 випускників </w:t>
      </w:r>
      <w:r w:rsidRPr="001B5DE3">
        <w:rPr>
          <w:sz w:val="28"/>
          <w:szCs w:val="28"/>
          <w:lang w:val="uk-UA"/>
        </w:rPr>
        <w:br/>
        <w:t xml:space="preserve">ДНЗ “Криворізький центр професійної освіти металургії та машинобудування”, які навчаються за професіями: електрогазозварник, верстатник широкого профілю та кухар. Протягом низки тренінгів з техніки пошуку роботи студенти мали можливість оволодіти навичками самопрезентації, навчились складати резюме, визначати механізми та джерела пошуку роботи, що значно підвищить їх шанси успішно працевлаштуватися у майбутньому. </w:t>
      </w:r>
    </w:p>
    <w:p w:rsidR="001B3792" w:rsidRPr="001B5DE3" w:rsidRDefault="001B3792" w:rsidP="001B3792">
      <w:pPr>
        <w:pStyle w:val="a7"/>
        <w:tabs>
          <w:tab w:val="left" w:pos="709"/>
        </w:tabs>
        <w:spacing w:after="0" w:line="235" w:lineRule="auto"/>
        <w:ind w:firstLine="709"/>
        <w:jc w:val="both"/>
        <w:rPr>
          <w:sz w:val="28"/>
          <w:szCs w:val="28"/>
          <w:lang w:val="uk-UA"/>
        </w:rPr>
      </w:pPr>
      <w:r w:rsidRPr="001B5DE3">
        <w:rPr>
          <w:sz w:val="28"/>
          <w:szCs w:val="28"/>
          <w:lang w:val="uk-UA"/>
        </w:rPr>
        <w:t xml:space="preserve">З нагоди Міжнародного дня захисту дітей </w:t>
      </w:r>
      <w:r w:rsidR="00946EC0" w:rsidRPr="001B5DE3">
        <w:rPr>
          <w:sz w:val="28"/>
          <w:szCs w:val="28"/>
          <w:lang w:val="uk-UA"/>
        </w:rPr>
        <w:t>0</w:t>
      </w:r>
      <w:r w:rsidRPr="001B5DE3">
        <w:rPr>
          <w:sz w:val="28"/>
          <w:szCs w:val="28"/>
          <w:lang w:val="uk-UA"/>
        </w:rPr>
        <w:t xml:space="preserve">1 червня 2021 року </w:t>
      </w:r>
      <w:r w:rsidR="00443300">
        <w:rPr>
          <w:sz w:val="28"/>
          <w:szCs w:val="28"/>
          <w:lang w:val="uk-UA"/>
        </w:rPr>
        <w:t xml:space="preserve">                            </w:t>
      </w:r>
      <w:r w:rsidRPr="001B5DE3">
        <w:rPr>
          <w:sz w:val="28"/>
          <w:szCs w:val="28"/>
          <w:lang w:val="uk-UA"/>
        </w:rPr>
        <w:t>у Царичанській селищній територіальній громаді відбулося яскраве свято “Щасливе дитинство моє” для 60 дітей навчальних закладів освіти району</w:t>
      </w:r>
      <w:r w:rsidR="00946EC0" w:rsidRPr="001B5DE3">
        <w:rPr>
          <w:sz w:val="28"/>
          <w:szCs w:val="28"/>
          <w:lang w:val="uk-UA"/>
        </w:rPr>
        <w:t xml:space="preserve">, </w:t>
      </w:r>
      <w:r w:rsidR="00443300">
        <w:rPr>
          <w:sz w:val="28"/>
          <w:szCs w:val="28"/>
          <w:lang w:val="uk-UA"/>
        </w:rPr>
        <w:t xml:space="preserve">                   </w:t>
      </w:r>
      <w:r w:rsidR="00946EC0" w:rsidRPr="001B5DE3">
        <w:rPr>
          <w:sz w:val="28"/>
          <w:szCs w:val="28"/>
          <w:lang w:val="uk-UA"/>
        </w:rPr>
        <w:t xml:space="preserve">а саме: КЗ “Царичанська ЗОШ І – </w:t>
      </w:r>
      <w:r w:rsidRPr="001B5DE3">
        <w:rPr>
          <w:sz w:val="28"/>
          <w:szCs w:val="28"/>
          <w:lang w:val="uk-UA"/>
        </w:rPr>
        <w:t xml:space="preserve">ІІІ ступенів”, Царичанський </w:t>
      </w:r>
      <w:r w:rsidR="00443300">
        <w:rPr>
          <w:sz w:val="28"/>
          <w:szCs w:val="28"/>
          <w:lang w:val="uk-UA"/>
        </w:rPr>
        <w:t xml:space="preserve">                         </w:t>
      </w:r>
      <w:r w:rsidRPr="001B5DE3">
        <w:rPr>
          <w:sz w:val="28"/>
          <w:szCs w:val="28"/>
          <w:lang w:val="uk-UA"/>
        </w:rPr>
        <w:t xml:space="preserve">аграрний професійний ліцей, КЗ “Будинок дитячої юнацької творчості” Царичанської селищної ради та КЗ Преображенський </w:t>
      </w:r>
      <w:r w:rsidR="00DE471F" w:rsidRPr="001B5DE3">
        <w:rPr>
          <w:sz w:val="28"/>
          <w:szCs w:val="28"/>
          <w:lang w:val="uk-UA"/>
        </w:rPr>
        <w:t>дошкільний навчальний заклад</w:t>
      </w:r>
      <w:r w:rsidRPr="001B5DE3">
        <w:rPr>
          <w:sz w:val="28"/>
          <w:szCs w:val="28"/>
          <w:lang w:val="uk-UA"/>
        </w:rPr>
        <w:t xml:space="preserve"> “Малятко”. </w:t>
      </w:r>
      <w:r w:rsidRPr="001B5DE3">
        <w:rPr>
          <w:sz w:val="28"/>
          <w:szCs w:val="28"/>
        </w:rPr>
        <w:t xml:space="preserve">Фахівці Царичанської районної філії Дніпропетровського </w:t>
      </w:r>
      <w:r w:rsidR="00DE471F" w:rsidRPr="001B5DE3">
        <w:rPr>
          <w:sz w:val="28"/>
          <w:szCs w:val="28"/>
          <w:lang w:val="uk-UA"/>
        </w:rPr>
        <w:t>обласного центра зайнятості</w:t>
      </w:r>
      <w:r w:rsidRPr="001B5DE3">
        <w:rPr>
          <w:sz w:val="28"/>
          <w:szCs w:val="28"/>
        </w:rPr>
        <w:t xml:space="preserve"> взяли активну участь у проведенні заходу. </w:t>
      </w:r>
      <w:r w:rsidR="00443300">
        <w:rPr>
          <w:sz w:val="28"/>
          <w:szCs w:val="28"/>
          <w:lang w:val="uk-UA"/>
        </w:rPr>
        <w:t xml:space="preserve">              </w:t>
      </w:r>
      <w:r w:rsidRPr="00443300">
        <w:rPr>
          <w:sz w:val="28"/>
          <w:szCs w:val="28"/>
          <w:lang w:val="uk-UA"/>
        </w:rPr>
        <w:lastRenderedPageBreak/>
        <w:t xml:space="preserve">Фахівці Криворізького міськрайонного центру зайнятості в співпраці з представниками Пенсійного фонду України, інспекції з питань праці та зайнятості </w:t>
      </w:r>
      <w:r w:rsidR="001A06C9" w:rsidRPr="001B5DE3">
        <w:rPr>
          <w:sz w:val="28"/>
          <w:szCs w:val="28"/>
          <w:lang w:val="uk-UA"/>
        </w:rPr>
        <w:t xml:space="preserve">Криворізького </w:t>
      </w:r>
      <w:r w:rsidRPr="00443300">
        <w:rPr>
          <w:sz w:val="28"/>
          <w:szCs w:val="28"/>
          <w:lang w:val="uk-UA"/>
        </w:rPr>
        <w:t xml:space="preserve">міськвиконкому провели інформаційні зустрічі з випускниками районних закладів освіти на тему: </w:t>
      </w:r>
      <w:r w:rsidRPr="001B5DE3">
        <w:rPr>
          <w:sz w:val="28"/>
          <w:szCs w:val="28"/>
          <w:lang w:val="uk-UA"/>
        </w:rPr>
        <w:t>“</w:t>
      </w:r>
      <w:r w:rsidRPr="00443300">
        <w:rPr>
          <w:sz w:val="28"/>
          <w:szCs w:val="28"/>
          <w:lang w:val="uk-UA"/>
        </w:rPr>
        <w:t xml:space="preserve">Легалізація праці </w:t>
      </w:r>
      <w:r w:rsidRPr="001B5DE3">
        <w:rPr>
          <w:sz w:val="28"/>
          <w:szCs w:val="28"/>
          <w:lang w:val="uk-UA"/>
        </w:rPr>
        <w:t>–</w:t>
      </w:r>
      <w:r w:rsidRPr="00443300">
        <w:rPr>
          <w:sz w:val="28"/>
          <w:szCs w:val="28"/>
          <w:lang w:val="uk-UA"/>
        </w:rPr>
        <w:t xml:space="preserve"> вимога сьогодення</w:t>
      </w:r>
      <w:r w:rsidRPr="001B5DE3">
        <w:rPr>
          <w:sz w:val="28"/>
          <w:szCs w:val="28"/>
          <w:lang w:val="uk-UA"/>
        </w:rPr>
        <w:t>”</w:t>
      </w:r>
      <w:r w:rsidRPr="00443300">
        <w:rPr>
          <w:sz w:val="28"/>
          <w:szCs w:val="28"/>
          <w:lang w:val="uk-UA"/>
        </w:rPr>
        <w:t xml:space="preserve">. </w:t>
      </w:r>
      <w:r w:rsidRPr="004D07AF">
        <w:rPr>
          <w:sz w:val="28"/>
          <w:szCs w:val="28"/>
          <w:lang w:val="uk-UA"/>
        </w:rPr>
        <w:t xml:space="preserve">Учасників зустрічі ознайомили з ситуацією на ринку праці, джерелами пошуку вакансій, електронними сервісами </w:t>
      </w:r>
      <w:r w:rsidR="008D5596" w:rsidRPr="001B5DE3">
        <w:rPr>
          <w:sz w:val="28"/>
          <w:szCs w:val="28"/>
          <w:lang w:val="uk-UA"/>
        </w:rPr>
        <w:t>центра зайнятості</w:t>
      </w:r>
      <w:r w:rsidRPr="004D07AF">
        <w:rPr>
          <w:sz w:val="28"/>
          <w:szCs w:val="28"/>
          <w:lang w:val="uk-UA"/>
        </w:rPr>
        <w:t xml:space="preserve">, профорієнтаційними послугами та обслуговуванням відділу рекрутингу. </w:t>
      </w:r>
    </w:p>
    <w:p w:rsidR="001B3792" w:rsidRPr="001B5DE3" w:rsidRDefault="001B3792" w:rsidP="00443300">
      <w:pPr>
        <w:pStyle w:val="a7"/>
        <w:tabs>
          <w:tab w:val="left" w:pos="709"/>
        </w:tabs>
        <w:spacing w:after="0" w:line="226" w:lineRule="auto"/>
        <w:ind w:firstLine="709"/>
        <w:jc w:val="both"/>
        <w:rPr>
          <w:sz w:val="28"/>
          <w:szCs w:val="28"/>
          <w:lang w:val="uk-UA"/>
        </w:rPr>
      </w:pPr>
      <w:r w:rsidRPr="001B5DE3">
        <w:rPr>
          <w:sz w:val="28"/>
          <w:szCs w:val="28"/>
        </w:rPr>
        <w:t>На початку червня відбулося п’ять зустрічей за участю 378 осіб. Фахівці Дніпровської районної філії Дніпропетровського обласного центру зайнятості провели два тренінги</w:t>
      </w:r>
      <w:r w:rsidR="00946EC0" w:rsidRPr="001B5DE3">
        <w:rPr>
          <w:sz w:val="28"/>
          <w:szCs w:val="28"/>
        </w:rPr>
        <w:t xml:space="preserve"> на базі Центру професійної кар</w:t>
      </w:r>
      <w:r w:rsidR="00946EC0" w:rsidRPr="001B5DE3">
        <w:rPr>
          <w:sz w:val="28"/>
          <w:szCs w:val="28"/>
          <w:lang w:val="uk-UA"/>
        </w:rPr>
        <w:t>’</w:t>
      </w:r>
      <w:r w:rsidRPr="001B5DE3">
        <w:rPr>
          <w:sz w:val="28"/>
          <w:szCs w:val="28"/>
        </w:rPr>
        <w:t xml:space="preserve">єри </w:t>
      </w:r>
      <w:r w:rsidRPr="001B5DE3">
        <w:rPr>
          <w:sz w:val="28"/>
          <w:szCs w:val="28"/>
          <w:lang w:val="uk-UA"/>
        </w:rPr>
        <w:t>“</w:t>
      </w:r>
      <w:r w:rsidRPr="001B5DE3">
        <w:rPr>
          <w:sz w:val="28"/>
          <w:szCs w:val="28"/>
        </w:rPr>
        <w:t>Шлях до успіху</w:t>
      </w:r>
      <w:r w:rsidRPr="001B5DE3">
        <w:rPr>
          <w:sz w:val="28"/>
          <w:szCs w:val="28"/>
          <w:lang w:val="uk-UA"/>
        </w:rPr>
        <w:t>”</w:t>
      </w:r>
      <w:r w:rsidRPr="001B5DE3">
        <w:rPr>
          <w:sz w:val="28"/>
          <w:szCs w:val="28"/>
        </w:rPr>
        <w:t xml:space="preserve"> для 20 здобувачів освіти ІІ курсу ДПТНЗ </w:t>
      </w:r>
      <w:r w:rsidRPr="001B5DE3">
        <w:rPr>
          <w:sz w:val="28"/>
          <w:szCs w:val="28"/>
          <w:lang w:val="uk-UA"/>
        </w:rPr>
        <w:t>“</w:t>
      </w:r>
      <w:r w:rsidRPr="001B5DE3">
        <w:rPr>
          <w:sz w:val="28"/>
          <w:szCs w:val="28"/>
        </w:rPr>
        <w:t>Дніпровське вище професійне училище будівництва</w:t>
      </w:r>
      <w:r w:rsidRPr="001B5DE3">
        <w:rPr>
          <w:sz w:val="28"/>
          <w:szCs w:val="28"/>
          <w:lang w:val="uk-UA"/>
        </w:rPr>
        <w:t>”</w:t>
      </w:r>
      <w:r w:rsidRPr="001B5DE3">
        <w:rPr>
          <w:sz w:val="28"/>
          <w:szCs w:val="28"/>
        </w:rPr>
        <w:t>. Протягом зустрічі студенти набули навички складання та розміщення резюме в різних джерелах пошуку роботи, опановували навички підготовки до співбесід</w:t>
      </w:r>
      <w:r w:rsidR="00235481" w:rsidRPr="001B5DE3">
        <w:rPr>
          <w:sz w:val="28"/>
          <w:szCs w:val="28"/>
        </w:rPr>
        <w:t>и, відпрацьовували прийоми сам</w:t>
      </w:r>
      <w:r w:rsidR="00235481" w:rsidRPr="001B5DE3">
        <w:rPr>
          <w:sz w:val="28"/>
          <w:szCs w:val="28"/>
          <w:lang w:val="uk-UA"/>
        </w:rPr>
        <w:t>о</w:t>
      </w:r>
      <w:r w:rsidRPr="001B5DE3">
        <w:rPr>
          <w:sz w:val="28"/>
          <w:szCs w:val="28"/>
        </w:rPr>
        <w:t>презентації та отримали рекомендації щодо поведінки на співбесіді.</w:t>
      </w:r>
    </w:p>
    <w:p w:rsidR="001B3792" w:rsidRPr="001B5DE3" w:rsidRDefault="001B3792" w:rsidP="00443300">
      <w:pPr>
        <w:pStyle w:val="a7"/>
        <w:tabs>
          <w:tab w:val="left" w:pos="709"/>
        </w:tabs>
        <w:spacing w:after="0" w:line="226" w:lineRule="auto"/>
        <w:jc w:val="both"/>
        <w:rPr>
          <w:sz w:val="28"/>
          <w:szCs w:val="28"/>
          <w:lang w:val="uk-UA"/>
        </w:rPr>
      </w:pPr>
      <w:r w:rsidRPr="001B5DE3">
        <w:rPr>
          <w:b/>
          <w:bCs/>
          <w:sz w:val="28"/>
          <w:szCs w:val="28"/>
          <w:lang w:val="uk-UA"/>
        </w:rPr>
        <w:tab/>
      </w:r>
      <w:r w:rsidRPr="001B5DE3">
        <w:rPr>
          <w:sz w:val="28"/>
          <w:szCs w:val="28"/>
        </w:rPr>
        <w:t xml:space="preserve">Проведено навчання 87 громадян України, які </w:t>
      </w:r>
      <w:r w:rsidR="00CD50F8" w:rsidRPr="001B5DE3">
        <w:rPr>
          <w:sz w:val="28"/>
          <w:szCs w:val="28"/>
        </w:rPr>
        <w:t>виявили бажання усиновити дитин</w:t>
      </w:r>
      <w:r w:rsidR="00CD50F8" w:rsidRPr="001B5DE3">
        <w:rPr>
          <w:sz w:val="28"/>
          <w:szCs w:val="28"/>
          <w:lang w:val="uk-UA"/>
        </w:rPr>
        <w:t>у</w:t>
      </w:r>
      <w:r w:rsidRPr="001B5DE3">
        <w:rPr>
          <w:sz w:val="28"/>
          <w:szCs w:val="28"/>
        </w:rPr>
        <w:t xml:space="preserve">, 29 кандидатів на створення опікунських сімей, </w:t>
      </w:r>
      <w:r w:rsidRPr="001B5DE3">
        <w:rPr>
          <w:sz w:val="28"/>
          <w:szCs w:val="28"/>
          <w:lang w:val="uk-UA"/>
        </w:rPr>
        <w:br/>
      </w:r>
      <w:r w:rsidRPr="001B5DE3">
        <w:rPr>
          <w:sz w:val="28"/>
          <w:szCs w:val="28"/>
        </w:rPr>
        <w:t>7 кандидатів на створення прийомних сімей та дитячих будинків сімейного типу.</w:t>
      </w:r>
      <w:r w:rsidR="00CD50F8" w:rsidRPr="001B5DE3">
        <w:rPr>
          <w:sz w:val="28"/>
          <w:szCs w:val="28"/>
          <w:lang w:val="uk-UA"/>
        </w:rPr>
        <w:t xml:space="preserve"> 82 працівники-надавачі</w:t>
      </w:r>
      <w:r w:rsidRPr="001B5DE3">
        <w:rPr>
          <w:sz w:val="28"/>
          <w:szCs w:val="28"/>
          <w:lang w:val="uk-UA"/>
        </w:rPr>
        <w:t xml:space="preserve"> соціальних послуг пройшли навчання з питань: проведення соціальної ро</w:t>
      </w:r>
      <w:r w:rsidR="00CD50F8" w:rsidRPr="001B5DE3">
        <w:rPr>
          <w:sz w:val="28"/>
          <w:szCs w:val="28"/>
          <w:lang w:val="uk-UA"/>
        </w:rPr>
        <w:t>боти, надання соціальних послуг</w:t>
      </w:r>
      <w:r w:rsidRPr="001B5DE3">
        <w:rPr>
          <w:sz w:val="28"/>
          <w:szCs w:val="28"/>
          <w:lang w:val="uk-UA"/>
        </w:rPr>
        <w:t xml:space="preserve"> вразливим категоріям населення; встановлення опіки, піклування, створення та забезпечення діяльності прийомних сімей та дитячих будинків сімейного типу, здійснення соціального супроводу сімейних форм виховання тощо.</w:t>
      </w:r>
    </w:p>
    <w:p w:rsidR="00CC3037" w:rsidRPr="001B5DE3" w:rsidRDefault="00CC3037" w:rsidP="00443300">
      <w:pPr>
        <w:spacing w:after="0" w:line="226" w:lineRule="auto"/>
        <w:rPr>
          <w:rFonts w:ascii="Times New Roman" w:hAnsi="Times New Roman" w:cs="Times New Roman"/>
          <w:sz w:val="28"/>
          <w:szCs w:val="28"/>
          <w:lang w:val="uk-UA"/>
        </w:rPr>
      </w:pPr>
    </w:p>
    <w:p w:rsidR="00CC3037" w:rsidRPr="001B5DE3" w:rsidRDefault="00CC3037" w:rsidP="00443300">
      <w:pPr>
        <w:spacing w:after="0" w:line="226"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Захист прав дітей-сиріт та дітей, позбавлених батьківського піклування</w:t>
      </w:r>
    </w:p>
    <w:p w:rsidR="00CC3037" w:rsidRPr="001B5DE3" w:rsidRDefault="00CC3037" w:rsidP="00443300">
      <w:pPr>
        <w:tabs>
          <w:tab w:val="left" w:pos="1050"/>
        </w:tabs>
        <w:spacing w:after="0" w:line="226" w:lineRule="auto"/>
        <w:rPr>
          <w:rFonts w:ascii="Times New Roman" w:hAnsi="Times New Roman" w:cs="Times New Roman"/>
          <w:sz w:val="28"/>
          <w:szCs w:val="28"/>
          <w:lang w:val="uk-UA"/>
        </w:rPr>
      </w:pPr>
      <w:r w:rsidRPr="001B5DE3">
        <w:rPr>
          <w:rFonts w:ascii="Times New Roman" w:hAnsi="Times New Roman" w:cs="Times New Roman"/>
          <w:sz w:val="28"/>
          <w:szCs w:val="28"/>
          <w:lang w:val="uk-UA"/>
        </w:rPr>
        <w:tab/>
      </w:r>
    </w:p>
    <w:p w:rsidR="00D3442C" w:rsidRPr="001B5DE3" w:rsidRDefault="00D3442C" w:rsidP="00443300">
      <w:pPr>
        <w:tabs>
          <w:tab w:val="left" w:pos="1050"/>
        </w:tabs>
        <w:spacing w:after="0" w:line="226" w:lineRule="auto"/>
        <w:ind w:firstLine="709"/>
        <w:rPr>
          <w:rFonts w:ascii="Times New Roman" w:hAnsi="Times New Roman" w:cs="Times New Roman"/>
          <w:sz w:val="28"/>
          <w:szCs w:val="28"/>
          <w:lang w:val="uk-UA"/>
        </w:rPr>
      </w:pPr>
      <w:r w:rsidRPr="001B5DE3">
        <w:rPr>
          <w:rFonts w:ascii="Times New Roman" w:hAnsi="Times New Roman" w:cs="Times New Roman"/>
          <w:sz w:val="28"/>
          <w:szCs w:val="28"/>
          <w:lang w:val="uk-UA"/>
        </w:rPr>
        <w:t>Протягом I півріччя 2021 року:</w:t>
      </w:r>
    </w:p>
    <w:p w:rsidR="00D3442C" w:rsidRPr="001B5DE3" w:rsidRDefault="00D3442C" w:rsidP="00443300">
      <w:pPr>
        <w:spacing w:after="0" w:line="226" w:lineRule="auto"/>
        <w:ind w:firstLine="709"/>
        <w:jc w:val="both"/>
        <w:rPr>
          <w:rFonts w:ascii="Times New Roman" w:hAnsi="Times New Roman" w:cs="Times New Roman"/>
          <w:sz w:val="28"/>
          <w:szCs w:val="28"/>
          <w:lang w:val="uk-UA"/>
        </w:rPr>
      </w:pPr>
      <w:r w:rsidRPr="001B5DE3">
        <w:rPr>
          <w:rFonts w:ascii="Times New Roman" w:hAnsi="Times New Roman" w:cs="Times New Roman"/>
          <w:bCs/>
          <w:sz w:val="28"/>
          <w:szCs w:val="28"/>
          <w:lang w:val="uk-UA"/>
        </w:rPr>
        <w:t xml:space="preserve">усиновлено 71 </w:t>
      </w:r>
      <w:r w:rsidRPr="001B5DE3">
        <w:rPr>
          <w:rFonts w:ascii="Times New Roman" w:hAnsi="Times New Roman" w:cs="Times New Roman"/>
          <w:sz w:val="28"/>
          <w:szCs w:val="28"/>
          <w:lang w:val="uk-UA"/>
        </w:rPr>
        <w:t>дитину-сироту та дитину, позбавлену батьківського піклування (I півріччя 2020 року – 26);</w:t>
      </w:r>
    </w:p>
    <w:p w:rsidR="00D3442C" w:rsidRPr="001B5DE3" w:rsidRDefault="00D3442C" w:rsidP="00443300">
      <w:pPr>
        <w:spacing w:after="0" w:line="226"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влаштовано під опіку (піклування) – 384 дитини (I півріччя 2020 року – 316) та до прийомних сімей та дитячих будинків сімейного типу – </w:t>
      </w:r>
      <w:r w:rsidRPr="001B5DE3">
        <w:rPr>
          <w:rFonts w:ascii="Times New Roman" w:hAnsi="Times New Roman" w:cs="Times New Roman"/>
          <w:sz w:val="28"/>
          <w:szCs w:val="28"/>
          <w:lang w:val="uk-UA"/>
        </w:rPr>
        <w:br/>
        <w:t>126 (I півріччя 2020 року – 82);</w:t>
      </w:r>
    </w:p>
    <w:p w:rsidR="00D3442C" w:rsidRPr="001B5DE3" w:rsidRDefault="00D3442C" w:rsidP="00443300">
      <w:pPr>
        <w:spacing w:after="0" w:line="226"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виявлено, надано статус дитини-сироти та дитини, позбавленої батьківського піклування</w:t>
      </w:r>
      <w:r w:rsidR="00CD50F8" w:rsidRPr="001B5DE3">
        <w:rPr>
          <w:rFonts w:ascii="Times New Roman" w:hAnsi="Times New Roman" w:cs="Times New Roman"/>
          <w:sz w:val="28"/>
          <w:szCs w:val="28"/>
          <w:lang w:val="uk-UA"/>
        </w:rPr>
        <w:t>,</w:t>
      </w:r>
      <w:r w:rsidRPr="001B5DE3">
        <w:rPr>
          <w:rFonts w:ascii="Times New Roman" w:hAnsi="Times New Roman" w:cs="Times New Roman"/>
          <w:sz w:val="28"/>
          <w:szCs w:val="28"/>
          <w:lang w:val="uk-UA"/>
        </w:rPr>
        <w:t xml:space="preserve"> та поставлено на облік – 540 дітей</w:t>
      </w:r>
      <w:r w:rsidRPr="001B5DE3">
        <w:rPr>
          <w:rFonts w:ascii="Times New Roman" w:hAnsi="Times New Roman" w:cs="Times New Roman"/>
          <w:sz w:val="28"/>
          <w:szCs w:val="28"/>
          <w:lang w:val="uk-UA"/>
        </w:rPr>
        <w:br/>
        <w:t>(I півріччя 2020 року – 522), з них усиновлено та охоплено сімейними формами виховання– 293 (I квартал 2020 року – 257).</w:t>
      </w:r>
    </w:p>
    <w:p w:rsidR="00D3442C" w:rsidRPr="001B5DE3" w:rsidRDefault="00D3442C" w:rsidP="00443300">
      <w:pPr>
        <w:spacing w:after="0" w:line="226" w:lineRule="auto"/>
        <w:ind w:firstLine="720"/>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t>На території області проживає 1822 дитини, як</w:t>
      </w:r>
      <w:r w:rsidR="00EE6FB1" w:rsidRPr="001B5DE3">
        <w:rPr>
          <w:rFonts w:ascii="Times New Roman" w:hAnsi="Times New Roman" w:cs="Times New Roman"/>
          <w:bCs/>
          <w:sz w:val="28"/>
          <w:szCs w:val="28"/>
          <w:lang w:val="uk-UA"/>
        </w:rPr>
        <w:t>і</w:t>
      </w:r>
      <w:r w:rsidRPr="001B5DE3">
        <w:rPr>
          <w:rFonts w:ascii="Times New Roman" w:hAnsi="Times New Roman" w:cs="Times New Roman"/>
          <w:bCs/>
          <w:sz w:val="28"/>
          <w:szCs w:val="28"/>
          <w:lang w:val="uk-UA"/>
        </w:rPr>
        <w:t xml:space="preserve"> усиновлен</w:t>
      </w:r>
      <w:r w:rsidR="00EE6FB1" w:rsidRPr="001B5DE3">
        <w:rPr>
          <w:rFonts w:ascii="Times New Roman" w:hAnsi="Times New Roman" w:cs="Times New Roman"/>
          <w:bCs/>
          <w:sz w:val="28"/>
          <w:szCs w:val="28"/>
          <w:lang w:val="uk-UA"/>
        </w:rPr>
        <w:t>і</w:t>
      </w:r>
      <w:r w:rsidRPr="001B5DE3">
        <w:rPr>
          <w:rFonts w:ascii="Times New Roman" w:hAnsi="Times New Roman" w:cs="Times New Roman"/>
          <w:bCs/>
          <w:sz w:val="28"/>
          <w:szCs w:val="28"/>
          <w:lang w:val="uk-UA"/>
        </w:rPr>
        <w:br/>
      </w:r>
      <w:r w:rsidRPr="001B5DE3">
        <w:rPr>
          <w:rFonts w:ascii="Times New Roman" w:hAnsi="Times New Roman" w:cs="Times New Roman"/>
          <w:sz w:val="28"/>
          <w:szCs w:val="28"/>
          <w:lang w:val="uk-UA"/>
        </w:rPr>
        <w:t>(I півріччя 2021 року – 1824)</w:t>
      </w:r>
      <w:r w:rsidRPr="001B5DE3">
        <w:rPr>
          <w:rFonts w:ascii="Times New Roman" w:hAnsi="Times New Roman" w:cs="Times New Roman"/>
          <w:bCs/>
          <w:sz w:val="28"/>
          <w:szCs w:val="28"/>
          <w:lang w:val="uk-UA"/>
        </w:rPr>
        <w:t>.</w:t>
      </w:r>
    </w:p>
    <w:p w:rsidR="00CA1D65" w:rsidRPr="001B5DE3" w:rsidRDefault="00CA1D65" w:rsidP="00443300">
      <w:pPr>
        <w:pStyle w:val="af3"/>
        <w:shd w:val="clear" w:color="auto" w:fill="FFFFFF"/>
        <w:spacing w:before="0" w:beforeAutospacing="0" w:after="0" w:afterAutospacing="0" w:line="226" w:lineRule="auto"/>
        <w:ind w:firstLine="708"/>
        <w:jc w:val="both"/>
        <w:rPr>
          <w:color w:val="auto"/>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6"/>
        <w:gridCol w:w="3191"/>
      </w:tblGrid>
      <w:tr w:rsidR="001B5DE3" w:rsidRPr="001B5DE3" w:rsidTr="00443300">
        <w:trPr>
          <w:tblHeader/>
        </w:trPr>
        <w:tc>
          <w:tcPr>
            <w:tcW w:w="3544" w:type="dxa"/>
          </w:tcPr>
          <w:p w:rsidR="00D3442C" w:rsidRPr="001B5DE3" w:rsidRDefault="00D3442C" w:rsidP="00443300">
            <w:pPr>
              <w:spacing w:after="0" w:line="226" w:lineRule="auto"/>
              <w:jc w:val="both"/>
              <w:rPr>
                <w:rFonts w:ascii="Times New Roman" w:hAnsi="Times New Roman" w:cs="Times New Roman"/>
                <w:sz w:val="24"/>
                <w:szCs w:val="24"/>
                <w:lang w:val="uk-UA"/>
              </w:rPr>
            </w:pP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I півріччя 2020 року</w:t>
            </w:r>
          </w:p>
        </w:tc>
        <w:tc>
          <w:tcPr>
            <w:tcW w:w="3191" w:type="dxa"/>
          </w:tcPr>
          <w:p w:rsidR="00D3442C"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I півріччя 2021 року</w:t>
            </w:r>
          </w:p>
          <w:p w:rsidR="00443300" w:rsidRPr="00443300" w:rsidRDefault="00443300" w:rsidP="00443300">
            <w:pPr>
              <w:spacing w:after="0" w:line="226" w:lineRule="auto"/>
              <w:jc w:val="center"/>
              <w:rPr>
                <w:rFonts w:ascii="Times New Roman" w:hAnsi="Times New Roman" w:cs="Times New Roman"/>
                <w:sz w:val="16"/>
                <w:szCs w:val="16"/>
                <w:lang w:val="uk-UA"/>
              </w:rPr>
            </w:pPr>
          </w:p>
        </w:tc>
      </w:tr>
      <w:tr w:rsidR="001B5DE3"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дитячих будинків сімейного типу</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176</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188</w:t>
            </w:r>
          </w:p>
        </w:tc>
      </w:tr>
      <w:tr w:rsidR="001B5DE3"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дітей у них</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1271</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1376</w:t>
            </w:r>
          </w:p>
        </w:tc>
      </w:tr>
      <w:tr w:rsidR="001B5DE3"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прийомних сімей</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340</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312</w:t>
            </w:r>
          </w:p>
        </w:tc>
      </w:tr>
      <w:tr w:rsidR="001B5DE3"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дітей у них</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629</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589</w:t>
            </w:r>
          </w:p>
        </w:tc>
      </w:tr>
      <w:tr w:rsidR="001B5DE3"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усиновлених дітей</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26</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71</w:t>
            </w:r>
          </w:p>
        </w:tc>
      </w:tr>
      <w:tr w:rsidR="00D3442C" w:rsidRPr="001B5DE3" w:rsidTr="00443300">
        <w:tc>
          <w:tcPr>
            <w:tcW w:w="3544" w:type="dxa"/>
          </w:tcPr>
          <w:p w:rsidR="00D3442C" w:rsidRPr="001B5DE3" w:rsidRDefault="00D3442C" w:rsidP="00443300">
            <w:pPr>
              <w:spacing w:after="0" w:line="226"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дітей під опікою (піклуванням)</w:t>
            </w:r>
          </w:p>
        </w:tc>
        <w:tc>
          <w:tcPr>
            <w:tcW w:w="2836"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5825</w:t>
            </w:r>
          </w:p>
        </w:tc>
        <w:tc>
          <w:tcPr>
            <w:tcW w:w="3191" w:type="dxa"/>
          </w:tcPr>
          <w:p w:rsidR="00D3442C" w:rsidRPr="001B5DE3" w:rsidRDefault="00D3442C" w:rsidP="00443300">
            <w:pPr>
              <w:spacing w:after="0" w:line="226"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5734</w:t>
            </w:r>
          </w:p>
        </w:tc>
      </w:tr>
    </w:tbl>
    <w:p w:rsidR="00D3442C" w:rsidRPr="001B5DE3" w:rsidRDefault="00D3442C" w:rsidP="009B2BC6">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Систематично здійснюються заходи стосовно посилення контролю за дотриманням прав усиновлених дітей.</w:t>
      </w:r>
    </w:p>
    <w:p w:rsidR="00D3442C" w:rsidRPr="001B5DE3" w:rsidRDefault="00D3442C" w:rsidP="009B2BC6">
      <w:pPr>
        <w:spacing w:after="0" w:line="240" w:lineRule="auto"/>
        <w:ind w:firstLine="720"/>
        <w:jc w:val="both"/>
        <w:rPr>
          <w:rFonts w:ascii="Times New Roman" w:hAnsi="Times New Roman" w:cs="Times New Roman"/>
          <w:bCs/>
          <w:sz w:val="28"/>
          <w:szCs w:val="28"/>
          <w:lang w:val="uk-UA"/>
        </w:rPr>
      </w:pPr>
      <w:r w:rsidRPr="001B5DE3">
        <w:rPr>
          <w:rFonts w:ascii="Times New Roman" w:hAnsi="Times New Roman" w:cs="Times New Roman"/>
          <w:sz w:val="28"/>
          <w:szCs w:val="28"/>
          <w:lang w:val="uk-UA"/>
        </w:rPr>
        <w:t>Протягом I півріччя 2021 року</w:t>
      </w:r>
      <w:r w:rsidRPr="001B5DE3">
        <w:rPr>
          <w:rFonts w:ascii="Times New Roman" w:hAnsi="Times New Roman" w:cs="Times New Roman"/>
          <w:bCs/>
          <w:sz w:val="28"/>
          <w:szCs w:val="28"/>
          <w:lang w:val="uk-UA"/>
        </w:rPr>
        <w:t xml:space="preserve"> спеціалістами служб у справах дітей міст та районів області здійснено 84 перевірки умов проживання та виховання дітей, яких усиновлено менше ніж 3 роки тому</w:t>
      </w:r>
      <w:r w:rsidRPr="001B5DE3">
        <w:rPr>
          <w:rFonts w:ascii="Times New Roman" w:hAnsi="Times New Roman" w:cs="Times New Roman"/>
          <w:sz w:val="28"/>
          <w:szCs w:val="28"/>
          <w:lang w:val="uk-UA"/>
        </w:rPr>
        <w:t xml:space="preserve"> (I півріччя</w:t>
      </w:r>
      <w:r w:rsidR="007236B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2020 року – 100)</w:t>
      </w:r>
      <w:r w:rsidRPr="001B5DE3">
        <w:rPr>
          <w:rFonts w:ascii="Times New Roman" w:hAnsi="Times New Roman" w:cs="Times New Roman"/>
          <w:bCs/>
          <w:sz w:val="28"/>
          <w:szCs w:val="28"/>
          <w:lang w:val="uk-UA"/>
        </w:rPr>
        <w:t xml:space="preserve">, та </w:t>
      </w:r>
      <w:r w:rsidR="007236B5" w:rsidRPr="001B5DE3">
        <w:rPr>
          <w:rFonts w:ascii="Times New Roman" w:hAnsi="Times New Roman" w:cs="Times New Roman"/>
          <w:bCs/>
          <w:sz w:val="28"/>
          <w:szCs w:val="28"/>
          <w:lang w:val="uk-UA"/>
        </w:rPr>
        <w:br/>
      </w:r>
      <w:r w:rsidRPr="001B5DE3">
        <w:rPr>
          <w:rFonts w:ascii="Times New Roman" w:hAnsi="Times New Roman" w:cs="Times New Roman"/>
          <w:bCs/>
          <w:sz w:val="28"/>
          <w:szCs w:val="28"/>
          <w:lang w:val="uk-UA"/>
        </w:rPr>
        <w:t xml:space="preserve">174 перевірки умов проживання та виховання дітей, яких усиновлено понад </w:t>
      </w:r>
      <w:r w:rsidR="007236B5" w:rsidRPr="001B5DE3">
        <w:rPr>
          <w:rFonts w:ascii="Times New Roman" w:hAnsi="Times New Roman" w:cs="Times New Roman"/>
          <w:bCs/>
          <w:sz w:val="28"/>
          <w:szCs w:val="28"/>
          <w:lang w:val="uk-UA"/>
        </w:rPr>
        <w:br/>
      </w:r>
      <w:r w:rsidRPr="001B5DE3">
        <w:rPr>
          <w:rFonts w:ascii="Times New Roman" w:hAnsi="Times New Roman" w:cs="Times New Roman"/>
          <w:bCs/>
          <w:sz w:val="28"/>
          <w:szCs w:val="28"/>
          <w:lang w:val="uk-UA"/>
        </w:rPr>
        <w:t>3 роки тому (</w:t>
      </w:r>
      <w:r w:rsidRPr="001B5DE3">
        <w:rPr>
          <w:rFonts w:ascii="Times New Roman" w:hAnsi="Times New Roman" w:cs="Times New Roman"/>
          <w:sz w:val="28"/>
          <w:szCs w:val="28"/>
          <w:lang w:val="uk-UA"/>
        </w:rPr>
        <w:t>I півріччя 2020 року – 193).</w:t>
      </w:r>
    </w:p>
    <w:p w:rsidR="00D3442C" w:rsidRPr="001B5DE3" w:rsidRDefault="00D3442C" w:rsidP="009B2BC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За результатами перевірок фактів порушень прав дітей у сім’ях усиновлювачів не виявлено.</w:t>
      </w:r>
    </w:p>
    <w:p w:rsidR="00D3442C" w:rsidRPr="001B5DE3" w:rsidRDefault="00D3442C" w:rsidP="009B2BC6">
      <w:pPr>
        <w:pStyle w:val="af3"/>
        <w:shd w:val="clear" w:color="auto" w:fill="FFFFFF"/>
        <w:spacing w:before="0" w:beforeAutospacing="0" w:after="0" w:afterAutospacing="0"/>
        <w:ind w:firstLine="709"/>
        <w:jc w:val="both"/>
        <w:rPr>
          <w:color w:val="auto"/>
          <w:lang w:val="uk-UA"/>
        </w:rPr>
      </w:pPr>
      <w:r w:rsidRPr="001B5DE3">
        <w:rPr>
          <w:color w:val="auto"/>
          <w:lang w:val="uk-UA"/>
        </w:rPr>
        <w:t>У сімейних формах виховання перебуває 91,0% дітей-сиріт та дітей, позбавлених батьківського піклування (I півріччя 2020 року – 90,0%).</w:t>
      </w:r>
    </w:p>
    <w:bookmarkStart w:id="4" w:name="_MON_1681803978"/>
    <w:bookmarkEnd w:id="4"/>
    <w:bookmarkStart w:id="5" w:name="_MON_1657435619"/>
    <w:bookmarkEnd w:id="5"/>
    <w:p w:rsidR="00D3442C" w:rsidRPr="001B5DE3" w:rsidRDefault="008824CC" w:rsidP="00D3442C">
      <w:pPr>
        <w:pStyle w:val="af3"/>
        <w:jc w:val="center"/>
        <w:rPr>
          <w:color w:val="auto"/>
          <w:lang w:val="uk-UA"/>
        </w:rPr>
      </w:pPr>
      <w:r w:rsidRPr="001B5DE3">
        <w:rPr>
          <w:color w:val="auto"/>
          <w:lang w:val="uk-UA"/>
        </w:rPr>
        <w:object w:dxaOrig="7748" w:dyaOrig="3916">
          <v:shape id="_x0000_i1028" type="#_x0000_t75" style="width:388.5pt;height:2in" o:ole="">
            <v:imagedata r:id="rId42" o:title=""/>
          </v:shape>
          <o:OLEObject Type="Embed" ProgID="Excel.Sheet.12" ShapeID="_x0000_i1028" DrawAspect="Content" ObjectID="_1693833404" r:id="rId43"/>
        </w:object>
      </w:r>
    </w:p>
    <w:p w:rsidR="00D3442C" w:rsidRPr="001B5DE3" w:rsidRDefault="00D3442C" w:rsidP="00D3442C">
      <w:pPr>
        <w:pStyle w:val="af3"/>
        <w:shd w:val="clear" w:color="auto" w:fill="FFFFFF"/>
        <w:spacing w:before="0" w:beforeAutospacing="0" w:after="0" w:afterAutospacing="0"/>
        <w:ind w:firstLine="709"/>
        <w:jc w:val="both"/>
        <w:rPr>
          <w:color w:val="auto"/>
          <w:lang w:val="uk-UA"/>
        </w:rPr>
      </w:pPr>
      <w:r w:rsidRPr="001B5DE3">
        <w:rPr>
          <w:color w:val="auto"/>
          <w:lang w:val="uk-UA"/>
        </w:rPr>
        <w:t>Своєчасно здійснюються заходи щодо соціального захисту дітей-сиріт та дітей, позбавлених батьківського піклування: надання статусу дитини-сироти чи дитини, позбавленої батьківського піклування, та взяття таких дітей на облік дітей-сиріт та дітей, позбавлених батьківського піклування.</w:t>
      </w:r>
    </w:p>
    <w:p w:rsidR="00D3442C" w:rsidRPr="001B5DE3" w:rsidRDefault="00D3442C" w:rsidP="00D3442C">
      <w:pPr>
        <w:pStyle w:val="af3"/>
        <w:shd w:val="clear" w:color="auto" w:fill="FFFFFF"/>
        <w:spacing w:before="0" w:beforeAutospacing="0" w:after="0" w:afterAutospacing="0"/>
        <w:ind w:firstLine="709"/>
        <w:jc w:val="both"/>
        <w:rPr>
          <w:color w:val="auto"/>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44"/>
        <w:gridCol w:w="2341"/>
      </w:tblGrid>
      <w:tr w:rsidR="001B5DE3" w:rsidRPr="001B5DE3" w:rsidTr="00CD62CA">
        <w:trPr>
          <w:tblHeader/>
        </w:trPr>
        <w:tc>
          <w:tcPr>
            <w:tcW w:w="4786" w:type="dxa"/>
          </w:tcPr>
          <w:p w:rsidR="00D3442C" w:rsidRPr="001B5DE3" w:rsidRDefault="00D3442C" w:rsidP="00D86574">
            <w:pPr>
              <w:spacing w:after="0" w:line="240" w:lineRule="auto"/>
              <w:jc w:val="both"/>
              <w:rPr>
                <w:rFonts w:ascii="Times New Roman" w:hAnsi="Times New Roman" w:cs="Times New Roman"/>
                <w:sz w:val="24"/>
                <w:szCs w:val="24"/>
                <w:lang w:val="uk-UA"/>
              </w:rPr>
            </w:pPr>
          </w:p>
        </w:tc>
        <w:tc>
          <w:tcPr>
            <w:tcW w:w="2444" w:type="dxa"/>
          </w:tcPr>
          <w:p w:rsidR="00D3442C" w:rsidRPr="001B5DE3" w:rsidRDefault="00D3442C" w:rsidP="00CD62CA">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I півріччя 2020 року</w:t>
            </w:r>
          </w:p>
        </w:tc>
        <w:tc>
          <w:tcPr>
            <w:tcW w:w="2341" w:type="dxa"/>
          </w:tcPr>
          <w:p w:rsidR="00D3442C" w:rsidRDefault="00D3442C" w:rsidP="00CD62CA">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I півріччя 2021 року</w:t>
            </w:r>
          </w:p>
          <w:p w:rsidR="00CD62CA" w:rsidRPr="00CD62CA" w:rsidRDefault="00CD62CA" w:rsidP="00CD62CA">
            <w:pPr>
              <w:spacing w:after="0" w:line="240" w:lineRule="auto"/>
              <w:jc w:val="center"/>
              <w:rPr>
                <w:rFonts w:ascii="Times New Roman" w:hAnsi="Times New Roman" w:cs="Times New Roman"/>
                <w:sz w:val="10"/>
                <w:szCs w:val="10"/>
                <w:lang w:val="uk-UA"/>
              </w:rPr>
            </w:pPr>
          </w:p>
        </w:tc>
      </w:tr>
      <w:tr w:rsidR="001B5DE3" w:rsidRPr="001B5DE3" w:rsidTr="00CD62CA">
        <w:tc>
          <w:tcPr>
            <w:tcW w:w="4786" w:type="dxa"/>
          </w:tcPr>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проведених профілактичних рейдових заходів “Діти вулиці”</w:t>
            </w:r>
          </w:p>
        </w:tc>
        <w:tc>
          <w:tcPr>
            <w:tcW w:w="2444"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1081</w:t>
            </w:r>
          </w:p>
        </w:tc>
        <w:tc>
          <w:tcPr>
            <w:tcW w:w="2341"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1295</w:t>
            </w:r>
          </w:p>
        </w:tc>
      </w:tr>
      <w:tr w:rsidR="001B5DE3" w:rsidRPr="001B5DE3" w:rsidTr="00CD62CA">
        <w:tc>
          <w:tcPr>
            <w:tcW w:w="4786" w:type="dxa"/>
          </w:tcPr>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виявлених дітей у рейдах</w:t>
            </w:r>
          </w:p>
        </w:tc>
        <w:tc>
          <w:tcPr>
            <w:tcW w:w="2444"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160</w:t>
            </w:r>
          </w:p>
        </w:tc>
        <w:tc>
          <w:tcPr>
            <w:tcW w:w="2341"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216</w:t>
            </w:r>
          </w:p>
        </w:tc>
      </w:tr>
      <w:tr w:rsidR="001B5DE3" w:rsidRPr="001B5DE3" w:rsidTr="00CD62CA">
        <w:tc>
          <w:tcPr>
            <w:tcW w:w="4786" w:type="dxa"/>
          </w:tcPr>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Кількість дітей поставлено на облік </w:t>
            </w:r>
          </w:p>
          <w:p w:rsidR="00D3442C" w:rsidRPr="001B5DE3" w:rsidRDefault="00AA461D"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як таких, що</w:t>
            </w:r>
            <w:r w:rsidR="00D3442C" w:rsidRPr="001B5DE3">
              <w:rPr>
                <w:rFonts w:ascii="Times New Roman" w:hAnsi="Times New Roman" w:cs="Times New Roman"/>
                <w:sz w:val="24"/>
                <w:szCs w:val="24"/>
                <w:lang w:val="uk-UA"/>
              </w:rPr>
              <w:t xml:space="preserve"> перебувають у складних життєвих обставинах</w:t>
            </w:r>
          </w:p>
        </w:tc>
        <w:tc>
          <w:tcPr>
            <w:tcW w:w="2444"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497</w:t>
            </w:r>
          </w:p>
        </w:tc>
        <w:tc>
          <w:tcPr>
            <w:tcW w:w="2341"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633</w:t>
            </w:r>
          </w:p>
        </w:tc>
      </w:tr>
      <w:tr w:rsidR="001B5DE3" w:rsidRPr="001B5DE3" w:rsidTr="00CD62CA">
        <w:tc>
          <w:tcPr>
            <w:tcW w:w="4786" w:type="dxa"/>
          </w:tcPr>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Кількість дітей, влаштованих до центрів соціально-психологічної реабілітації дітей</w:t>
            </w:r>
          </w:p>
        </w:tc>
        <w:tc>
          <w:tcPr>
            <w:tcW w:w="2444"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182</w:t>
            </w:r>
          </w:p>
        </w:tc>
        <w:tc>
          <w:tcPr>
            <w:tcW w:w="2341"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219</w:t>
            </w:r>
          </w:p>
        </w:tc>
      </w:tr>
      <w:tr w:rsidR="00D3442C" w:rsidRPr="001B5DE3" w:rsidTr="00CD62CA">
        <w:tc>
          <w:tcPr>
            <w:tcW w:w="4786" w:type="dxa"/>
          </w:tcPr>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 xml:space="preserve">Кількість порушених клопотань службами </w:t>
            </w:r>
          </w:p>
          <w:p w:rsidR="00D3442C" w:rsidRPr="001B5DE3" w:rsidRDefault="00D3442C" w:rsidP="00D86574">
            <w:pPr>
              <w:spacing w:after="0" w:line="240" w:lineRule="auto"/>
              <w:rPr>
                <w:rFonts w:ascii="Times New Roman" w:hAnsi="Times New Roman" w:cs="Times New Roman"/>
                <w:sz w:val="24"/>
                <w:szCs w:val="24"/>
                <w:lang w:val="uk-UA"/>
              </w:rPr>
            </w:pPr>
            <w:r w:rsidRPr="001B5DE3">
              <w:rPr>
                <w:rFonts w:ascii="Times New Roman" w:hAnsi="Times New Roman" w:cs="Times New Roman"/>
                <w:sz w:val="24"/>
                <w:szCs w:val="24"/>
                <w:lang w:val="uk-UA"/>
              </w:rPr>
              <w:t>у справах дітей перед органами внутрішніх справ щодо притягнення батьків до адміністративної відповідальності за ухилення від виховання своїх дітей</w:t>
            </w:r>
          </w:p>
        </w:tc>
        <w:tc>
          <w:tcPr>
            <w:tcW w:w="2444"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582</w:t>
            </w:r>
          </w:p>
        </w:tc>
        <w:tc>
          <w:tcPr>
            <w:tcW w:w="2341" w:type="dxa"/>
          </w:tcPr>
          <w:p w:rsidR="00D3442C" w:rsidRPr="001B5DE3" w:rsidRDefault="00D3442C" w:rsidP="00D86574">
            <w:pPr>
              <w:spacing w:after="0" w:line="240" w:lineRule="auto"/>
              <w:jc w:val="center"/>
              <w:rPr>
                <w:rFonts w:ascii="Times New Roman" w:hAnsi="Times New Roman" w:cs="Times New Roman"/>
                <w:sz w:val="24"/>
                <w:szCs w:val="24"/>
                <w:lang w:val="uk-UA"/>
              </w:rPr>
            </w:pPr>
            <w:r w:rsidRPr="001B5DE3">
              <w:rPr>
                <w:rFonts w:ascii="Times New Roman" w:hAnsi="Times New Roman" w:cs="Times New Roman"/>
                <w:sz w:val="24"/>
                <w:szCs w:val="24"/>
                <w:lang w:val="uk-UA"/>
              </w:rPr>
              <w:t>721</w:t>
            </w:r>
          </w:p>
        </w:tc>
      </w:tr>
    </w:tbl>
    <w:p w:rsidR="00CA1D65" w:rsidRPr="001B5DE3" w:rsidRDefault="00CA1D65" w:rsidP="00D3442C">
      <w:pPr>
        <w:pStyle w:val="af3"/>
        <w:shd w:val="clear" w:color="auto" w:fill="FFFFFF"/>
        <w:spacing w:before="0" w:beforeAutospacing="0" w:after="0" w:afterAutospacing="0"/>
        <w:ind w:firstLine="709"/>
        <w:jc w:val="both"/>
        <w:rPr>
          <w:color w:val="auto"/>
          <w:lang w:val="uk-UA"/>
        </w:rPr>
      </w:pPr>
    </w:p>
    <w:p w:rsidR="00D3442C" w:rsidRPr="001B5DE3" w:rsidRDefault="00D3442C" w:rsidP="00D3442C">
      <w:pPr>
        <w:pStyle w:val="af3"/>
        <w:shd w:val="clear" w:color="auto" w:fill="FFFFFF"/>
        <w:spacing w:before="0" w:beforeAutospacing="0" w:after="0" w:afterAutospacing="0"/>
        <w:ind w:firstLine="709"/>
        <w:jc w:val="both"/>
        <w:rPr>
          <w:color w:val="auto"/>
          <w:lang w:val="uk-UA"/>
        </w:rPr>
      </w:pPr>
      <w:r w:rsidRPr="001B5DE3">
        <w:rPr>
          <w:color w:val="auto"/>
          <w:lang w:val="uk-UA"/>
        </w:rPr>
        <w:t xml:space="preserve">В області функціонує Комунальний заклад “Центр соціальної підтримки дітей та сімей “Добре вдома” Дніпропетровської обласної ради, у структурі якого функціонує відділення “Малий груповий будиночок”. Станом на </w:t>
      </w:r>
      <w:r w:rsidR="001A1643" w:rsidRPr="001B5DE3">
        <w:rPr>
          <w:color w:val="auto"/>
          <w:lang w:val="uk-UA"/>
        </w:rPr>
        <w:br/>
      </w:r>
      <w:r w:rsidRPr="001B5DE3">
        <w:rPr>
          <w:color w:val="auto"/>
          <w:lang w:val="uk-UA"/>
        </w:rPr>
        <w:t>01 липня 2021 року у відділенні перебуває 8 дітей-сиріт та дітей, позбавлених батьківського піклування.</w:t>
      </w:r>
    </w:p>
    <w:p w:rsidR="00D3442C" w:rsidRPr="001B5DE3" w:rsidRDefault="00D3442C" w:rsidP="004E6C65">
      <w:pPr>
        <w:pStyle w:val="af3"/>
        <w:shd w:val="clear" w:color="auto" w:fill="FFFFFF"/>
        <w:spacing w:before="0" w:beforeAutospacing="0" w:after="0" w:afterAutospacing="0" w:line="235" w:lineRule="auto"/>
        <w:ind w:firstLine="708"/>
        <w:jc w:val="both"/>
        <w:rPr>
          <w:color w:val="auto"/>
          <w:lang w:val="uk-UA"/>
        </w:rPr>
      </w:pPr>
      <w:r w:rsidRPr="001B5DE3">
        <w:rPr>
          <w:color w:val="auto"/>
          <w:lang w:val="uk-UA"/>
        </w:rPr>
        <w:lastRenderedPageBreak/>
        <w:t>В області побудовано 6 малих групових будинків.</w:t>
      </w:r>
    </w:p>
    <w:p w:rsidR="00D3442C" w:rsidRPr="001B5DE3" w:rsidRDefault="00D3442C" w:rsidP="004E6C65">
      <w:pPr>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Здійснюються виступи у засобах масової інформації з питань сімейних форм виховання. Протягом I півріччя 2021 року районними та міськими  службами у справах дітей розміщено 293 статті у районних та міських друкованих засобах масової інформації та на офіційних сайтах районних адміністрацій та міських рад на теми: розвиток сімейних форм виховання, влаштування дітей до сімейних форм виховання.</w:t>
      </w:r>
    </w:p>
    <w:p w:rsidR="00D3442C" w:rsidRPr="001B5DE3" w:rsidRDefault="00D3442C" w:rsidP="004E6C65">
      <w:pPr>
        <w:pStyle w:val="af3"/>
        <w:shd w:val="clear" w:color="auto" w:fill="FFFFFF"/>
        <w:spacing w:before="0" w:beforeAutospacing="0" w:after="0" w:afterAutospacing="0" w:line="235" w:lineRule="auto"/>
        <w:ind w:firstLine="709"/>
        <w:jc w:val="both"/>
        <w:rPr>
          <w:color w:val="auto"/>
          <w:lang w:val="uk-UA"/>
        </w:rPr>
      </w:pPr>
      <w:r w:rsidRPr="001B5DE3">
        <w:rPr>
          <w:color w:val="auto"/>
          <w:lang w:val="uk-UA"/>
        </w:rPr>
        <w:t>Своєчасно здійснюється внесення даних про дітей-сиріт та дітей, позбавлених батьківського піклування, до електронних карток єдиної інформаційно-аналітичної системи “Діти” з метою розміщення інформації на сайті Міністерства соціальної політики України.</w:t>
      </w:r>
    </w:p>
    <w:p w:rsidR="004E6C65" w:rsidRDefault="004E6C65" w:rsidP="004E6C65">
      <w:pPr>
        <w:spacing w:after="0" w:line="235" w:lineRule="auto"/>
        <w:rPr>
          <w:rFonts w:ascii="Times New Roman" w:hAnsi="Times New Roman" w:cs="Times New Roman"/>
          <w:b/>
          <w:sz w:val="28"/>
          <w:szCs w:val="28"/>
          <w:lang w:val="uk-UA"/>
        </w:rPr>
      </w:pPr>
    </w:p>
    <w:p w:rsidR="00CC3037" w:rsidRPr="001B5DE3" w:rsidRDefault="00CC3037" w:rsidP="004E6C65">
      <w:pPr>
        <w:spacing w:after="0" w:line="235"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Культура</w:t>
      </w:r>
    </w:p>
    <w:p w:rsidR="00CC3037" w:rsidRPr="001B5DE3" w:rsidRDefault="00CC3037" w:rsidP="004E6C65">
      <w:pPr>
        <w:spacing w:after="0" w:line="235" w:lineRule="auto"/>
        <w:rPr>
          <w:rFonts w:ascii="Times New Roman" w:hAnsi="Times New Roman" w:cs="Times New Roman"/>
          <w:sz w:val="28"/>
          <w:szCs w:val="28"/>
          <w:lang w:val="uk-UA"/>
        </w:rPr>
      </w:pPr>
    </w:p>
    <w:p w:rsidR="00FD5BEA" w:rsidRPr="001B5DE3" w:rsidRDefault="00FD5BEA" w:rsidP="004E6C65">
      <w:pPr>
        <w:tabs>
          <w:tab w:val="left" w:pos="709"/>
        </w:tabs>
        <w:spacing w:after="0" w:line="23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Керуючись чинним законодавством щодо запобігання поширенню на території України гострої респіраторної хвороби COVID-19, спричиненої коронавірусом SARS-CoV-2, та враховуючи подовження терміну карантину, на території України не всі заплановані заходи були виконані в повному обсязі.</w:t>
      </w:r>
    </w:p>
    <w:p w:rsidR="00FD5BEA" w:rsidRPr="001B5DE3" w:rsidRDefault="00FD5BEA" w:rsidP="004E6C65">
      <w:pPr>
        <w:spacing w:after="0" w:line="23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t>У рамках реалізації плану основних культурно-мистецьких заходів за звітний період було проведено:</w:t>
      </w:r>
    </w:p>
    <w:p w:rsidR="00FD5BEA" w:rsidRPr="001B5DE3" w:rsidRDefault="00FD5BEA" w:rsidP="004E6C65">
      <w:pPr>
        <w:spacing w:after="0" w:line="23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t>літературно-мистецька акція “Українська книга в Дніпрі”;</w:t>
      </w:r>
    </w:p>
    <w:p w:rsidR="00FD5BEA" w:rsidRPr="001B5DE3" w:rsidRDefault="00FD5BEA" w:rsidP="004E6C65">
      <w:pPr>
        <w:spacing w:after="0" w:line="23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t>виставка в рамках реалізації проєкту “Молоді художники 2021”;</w:t>
      </w:r>
    </w:p>
    <w:p w:rsidR="00FD5BEA" w:rsidRPr="001B5DE3" w:rsidRDefault="00FD5BEA" w:rsidP="004E6C65">
      <w:pPr>
        <w:spacing w:after="0" w:line="23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t xml:space="preserve">29-й фестиваль-конкурс на вищу театральну нагороду Придніпров’я “Січеславна” 2021. У конкурсі взяли участь 15 колективів та було представлено 19 вистав. </w:t>
      </w:r>
    </w:p>
    <w:p w:rsidR="006E527F" w:rsidRPr="001B5DE3" w:rsidRDefault="006E527F" w:rsidP="004E6C65">
      <w:pPr>
        <w:spacing w:after="0" w:line="235" w:lineRule="auto"/>
        <w:ind w:firstLine="709"/>
        <w:jc w:val="both"/>
        <w:rPr>
          <w:rFonts w:ascii="Times New Roman" w:hAnsi="Times New Roman" w:cs="Times New Roman"/>
          <w:sz w:val="28"/>
          <w:szCs w:val="28"/>
          <w:lang w:val="uk-UA"/>
        </w:rPr>
      </w:pPr>
      <w:r w:rsidRPr="001B5DE3">
        <w:rPr>
          <w:rFonts w:ascii="Times New Roman" w:eastAsia="SimSun" w:hAnsi="Times New Roman" w:cs="Times New Roman"/>
          <w:sz w:val="28"/>
          <w:szCs w:val="28"/>
          <w:lang w:val="uk-UA" w:eastAsia="en-US"/>
        </w:rPr>
        <w:t>З метою популяр</w:t>
      </w:r>
      <w:r w:rsidR="00AA461D" w:rsidRPr="001B5DE3">
        <w:rPr>
          <w:rFonts w:ascii="Times New Roman" w:eastAsia="SimSun" w:hAnsi="Times New Roman" w:cs="Times New Roman"/>
          <w:sz w:val="28"/>
          <w:szCs w:val="28"/>
          <w:lang w:val="uk-UA" w:eastAsia="en-US"/>
        </w:rPr>
        <w:t>и</w:t>
      </w:r>
      <w:r w:rsidRPr="001B5DE3">
        <w:rPr>
          <w:rFonts w:ascii="Times New Roman" w:eastAsia="SimSun" w:hAnsi="Times New Roman" w:cs="Times New Roman"/>
          <w:sz w:val="28"/>
          <w:szCs w:val="28"/>
          <w:lang w:val="uk-UA" w:eastAsia="en-US"/>
        </w:rPr>
        <w:t xml:space="preserve">зації та доступності театральної діяльності протягом </w:t>
      </w:r>
      <w:r w:rsidRPr="001B5DE3">
        <w:rPr>
          <w:rFonts w:ascii="Times New Roman" w:eastAsia="SimSun" w:hAnsi="Times New Roman" w:cs="Times New Roman"/>
          <w:sz w:val="28"/>
          <w:szCs w:val="28"/>
          <w:lang w:val="uk-UA" w:eastAsia="en-US"/>
        </w:rPr>
        <w:br/>
        <w:t xml:space="preserve">І півріччя 2021 року </w:t>
      </w:r>
      <w:r w:rsidRPr="001B5DE3">
        <w:rPr>
          <w:rFonts w:ascii="Times New Roman" w:hAnsi="Times New Roman" w:cs="Times New Roman"/>
          <w:sz w:val="28"/>
          <w:szCs w:val="28"/>
          <w:lang w:val="uk-UA"/>
        </w:rPr>
        <w:t>здійснено</w:t>
      </w:r>
      <w:r w:rsidRPr="001B5DE3">
        <w:rPr>
          <w:rFonts w:ascii="Times New Roman" w:eastAsia="SimSun" w:hAnsi="Times New Roman" w:cs="Times New Roman"/>
          <w:sz w:val="28"/>
          <w:szCs w:val="28"/>
          <w:lang w:val="uk-UA" w:eastAsia="en-US"/>
        </w:rPr>
        <w:t xml:space="preserve"> 11 виїзних творчих виступів мистецьких колективів театрально-концертних закладів області до сільської місцевості та малих міст області</w:t>
      </w:r>
      <w:r w:rsidRPr="001B5DE3">
        <w:rPr>
          <w:rFonts w:ascii="Times New Roman" w:hAnsi="Times New Roman" w:cs="Times New Roman"/>
          <w:sz w:val="28"/>
          <w:szCs w:val="28"/>
          <w:lang w:val="uk-UA"/>
        </w:rPr>
        <w:t xml:space="preserve">, </w:t>
      </w:r>
      <w:r w:rsidRPr="001B5DE3">
        <w:rPr>
          <w:rFonts w:ascii="Times New Roman" w:eastAsia="SimSun" w:hAnsi="Times New Roman" w:cs="Times New Roman"/>
          <w:sz w:val="28"/>
          <w:szCs w:val="28"/>
          <w:lang w:val="uk-UA" w:eastAsia="en-US"/>
        </w:rPr>
        <w:t>поставлено</w:t>
      </w:r>
      <w:r w:rsidRPr="001B5DE3">
        <w:rPr>
          <w:rFonts w:ascii="Times New Roman" w:hAnsi="Times New Roman" w:cs="Times New Roman"/>
          <w:sz w:val="28"/>
          <w:szCs w:val="28"/>
          <w:lang w:val="uk-UA"/>
        </w:rPr>
        <w:t xml:space="preserve"> та представлено </w:t>
      </w:r>
      <w:r w:rsidRPr="001B5DE3">
        <w:rPr>
          <w:rFonts w:ascii="Times New Roman" w:eastAsia="SimSun" w:hAnsi="Times New Roman" w:cs="Times New Roman"/>
          <w:sz w:val="28"/>
          <w:szCs w:val="28"/>
          <w:lang w:val="uk-UA" w:eastAsia="en-US"/>
        </w:rPr>
        <w:t>146 прем’єрних вистав у театрально-концертних закладах</w:t>
      </w:r>
      <w:r w:rsidR="00FD5BEA" w:rsidRPr="001B5DE3">
        <w:rPr>
          <w:rFonts w:ascii="Times New Roman" w:hAnsi="Times New Roman" w:cs="Times New Roman"/>
          <w:sz w:val="28"/>
          <w:szCs w:val="28"/>
          <w:lang w:val="uk-UA"/>
        </w:rPr>
        <w:t>. У</w:t>
      </w:r>
      <w:r w:rsidRPr="001B5DE3">
        <w:rPr>
          <w:rFonts w:ascii="Times New Roman" w:hAnsi="Times New Roman" w:cs="Times New Roman"/>
          <w:sz w:val="28"/>
          <w:szCs w:val="28"/>
          <w:lang w:val="uk-UA"/>
        </w:rPr>
        <w:t xml:space="preserve"> Комунальному закладі “Дніпропетровський фаховий мистецько-художній коледж культури і мистецтв” Дніпропетровської обласної ради” 110 працівників культури (клубні працівники, працівники мистецьких шкіл) підвищили свою кваліфікацію на обласних курсах підвищення кваліфікації працівників культури, що забезпечило якісне оновлення роботи творчих колективів області.</w:t>
      </w:r>
    </w:p>
    <w:p w:rsidR="006E527F" w:rsidRPr="001B5DE3" w:rsidRDefault="006E527F" w:rsidP="004E6C65">
      <w:pPr>
        <w:spacing w:after="0" w:line="23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t>Комунальним закладом “Дніпропетровський обласний методичний центр клубної роботи та народної творчості” проведено обласний дистанційний фестиваль-конкурс “Спадкоємці традицій”, відкритий онлайн-фестиваль-конкурс вертепів та обрядових композицій “Різдвяна зірка” (Софіївська територіальна громада), започатковано дитячий вокальний онлайн-фестиваль “Тобі співаю, моя Україно”. Організовано спільний обласний семінар-практикум для керівників аматорських колективів та методистів з хореографічного мистецтва; для керівників, методистів вокально-хорових та фольклорних колективів обласний семінар-практикум “Значення української пісні у формуванні та розвитку національного та вокально-хорового мистецтва”.</w:t>
      </w:r>
    </w:p>
    <w:p w:rsidR="006E527F" w:rsidRPr="001B5DE3" w:rsidRDefault="006E527F" w:rsidP="00532D5E">
      <w:pPr>
        <w:spacing w:after="0" w:line="245" w:lineRule="auto"/>
        <w:ind w:firstLine="709"/>
        <w:jc w:val="both"/>
        <w:rPr>
          <w:rFonts w:ascii="Times New Roman" w:eastAsia="SimSun" w:hAnsi="Times New Roman" w:cs="Times New Roman"/>
          <w:sz w:val="28"/>
          <w:szCs w:val="28"/>
          <w:lang w:val="uk-UA" w:eastAsia="en-US"/>
        </w:rPr>
      </w:pPr>
      <w:r w:rsidRPr="001B5DE3">
        <w:rPr>
          <w:rFonts w:ascii="Times New Roman" w:eastAsia="SimSun" w:hAnsi="Times New Roman" w:cs="Times New Roman"/>
          <w:sz w:val="28"/>
          <w:szCs w:val="28"/>
          <w:lang w:val="uk-UA" w:eastAsia="en-US"/>
        </w:rPr>
        <w:lastRenderedPageBreak/>
        <w:t>Проведено 15 культурно-мистецьких заход</w:t>
      </w:r>
      <w:r w:rsidR="00AB5319" w:rsidRPr="001B5DE3">
        <w:rPr>
          <w:rFonts w:ascii="Times New Roman" w:eastAsia="SimSun" w:hAnsi="Times New Roman" w:cs="Times New Roman"/>
          <w:sz w:val="28"/>
          <w:szCs w:val="28"/>
          <w:lang w:val="uk-UA" w:eastAsia="en-US"/>
        </w:rPr>
        <w:t>ів</w:t>
      </w:r>
      <w:r w:rsidRPr="001B5DE3">
        <w:rPr>
          <w:rFonts w:ascii="Times New Roman" w:eastAsia="SimSun" w:hAnsi="Times New Roman" w:cs="Times New Roman"/>
          <w:sz w:val="28"/>
          <w:szCs w:val="28"/>
          <w:lang w:val="uk-UA" w:eastAsia="en-US"/>
        </w:rPr>
        <w:t xml:space="preserve">, з яких: І Міжнародний відкритий  дистанційний конкурс фортепіанних ансамблів та концертів </w:t>
      </w:r>
      <w:r w:rsidR="00AB5319" w:rsidRPr="001B5DE3">
        <w:rPr>
          <w:rFonts w:ascii="Times New Roman" w:eastAsia="SimSun" w:hAnsi="Times New Roman" w:cs="Times New Roman"/>
          <w:sz w:val="28"/>
          <w:szCs w:val="28"/>
          <w:lang w:val="uk-UA" w:eastAsia="en-US"/>
        </w:rPr>
        <w:t>“Дует”, ХХV Регіональний онлайн-</w:t>
      </w:r>
      <w:r w:rsidRPr="001B5DE3">
        <w:rPr>
          <w:rFonts w:ascii="Times New Roman" w:eastAsia="SimSun" w:hAnsi="Times New Roman" w:cs="Times New Roman"/>
          <w:sz w:val="28"/>
          <w:szCs w:val="28"/>
          <w:lang w:val="uk-UA" w:eastAsia="en-US"/>
        </w:rPr>
        <w:t>конкурс учнів шкіл естетичного виховання “Юний скрипаль”, 47-й Всеукраїнський відкритий дистанційний фестиваль академічної духової музики “Чарівна флейта”, Всеукраїнський  дистанційний фестиваль-конкурс виконавців на народних інструментах (солісти, колективи) “Україно моя – 2021”, міська музично-теоретична онлайн-олімпіада з сольфеджіо та музичної грамоти, в концертних залах Дніпропетровської академії музики ім. М.Глінки пройшов VІІ Форум виконавців на народних інструментах у рамках Міжнародного фестивалю музичного мистецтва “Музика без меж”, відкритий конкурс виконавців на духових академічних інструментах “Дніпровські сурми”, відкритий конкурс виконавців на струнно-смичкових академічних інструментах серед вихованців мистецьких початкових навчальних закладів, Європейський музичний форум, присвячений оперно-симфонічним шедеврам світового музичного мистецтва.</w:t>
      </w:r>
    </w:p>
    <w:p w:rsidR="007003A8" w:rsidRPr="001B5DE3" w:rsidRDefault="006E527F" w:rsidP="00532D5E">
      <w:pPr>
        <w:spacing w:after="0" w:line="245" w:lineRule="auto"/>
        <w:ind w:firstLine="709"/>
        <w:jc w:val="both"/>
        <w:rPr>
          <w:rFonts w:ascii="Times New Roman" w:hAnsi="Times New Roman" w:cs="Times New Roman"/>
          <w:sz w:val="28"/>
          <w:szCs w:val="28"/>
          <w:lang w:val="uk-UA"/>
        </w:rPr>
      </w:pPr>
      <w:r w:rsidRPr="001B5DE3">
        <w:rPr>
          <w:rFonts w:ascii="Times New Roman" w:eastAsia="SimSun" w:hAnsi="Times New Roman" w:cs="Times New Roman"/>
          <w:sz w:val="28"/>
          <w:szCs w:val="28"/>
          <w:lang w:val="uk-UA" w:eastAsia="en-US"/>
        </w:rPr>
        <w:t xml:space="preserve">Комунальним закладом культури “Дніпропетровська обласна універсальна наукова бібліотека ім. Кирила і Мефодія” за І півріччя </w:t>
      </w:r>
      <w:r w:rsidRPr="001B5DE3">
        <w:rPr>
          <w:rFonts w:ascii="Times New Roman" w:eastAsia="SimSun" w:hAnsi="Times New Roman" w:cs="Times New Roman"/>
          <w:sz w:val="28"/>
          <w:szCs w:val="28"/>
          <w:lang w:val="uk-UA" w:eastAsia="en-US"/>
        </w:rPr>
        <w:br/>
        <w:t>2021 року було створено 1 електронний каталог в Іларіонівській селищній бібліотеці.</w:t>
      </w:r>
      <w:r w:rsidRPr="001B5DE3">
        <w:rPr>
          <w:rFonts w:ascii="Times New Roman" w:hAnsi="Times New Roman" w:cs="Times New Roman"/>
          <w:sz w:val="28"/>
          <w:szCs w:val="28"/>
          <w:lang w:val="uk-UA"/>
        </w:rPr>
        <w:t xml:space="preserve"> </w:t>
      </w:r>
    </w:p>
    <w:p w:rsidR="006E527F" w:rsidRPr="001B5DE3" w:rsidRDefault="006E527F" w:rsidP="00532D5E">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З метою ефективного використання вже створених каталогів бібліографічно-аналітичної інформації продовжувалась робота з онлайн-консультування щодо наповнення та використання</w:t>
      </w:r>
      <w:r w:rsidR="00AB5319" w:rsidRPr="001B5DE3">
        <w:rPr>
          <w:rFonts w:ascii="Times New Roman" w:hAnsi="Times New Roman" w:cs="Times New Roman"/>
          <w:sz w:val="28"/>
          <w:szCs w:val="28"/>
          <w:lang w:val="uk-UA"/>
        </w:rPr>
        <w:t xml:space="preserve"> електронних каталогів в межах </w:t>
      </w:r>
      <w:r w:rsidRPr="001B5DE3">
        <w:rPr>
          <w:rFonts w:ascii="Times New Roman" w:hAnsi="Times New Roman" w:cs="Times New Roman"/>
          <w:sz w:val="28"/>
          <w:szCs w:val="28"/>
          <w:lang w:val="uk-UA"/>
        </w:rPr>
        <w:t>Регіонального корпоративного бібліотечного проєкту “Електронний каталог: можливості ефективного використання”. Консультації отримали бібліотекарі Перещепинської центральної бібліотеки Новомоск</w:t>
      </w:r>
      <w:r w:rsidR="00AB5319" w:rsidRPr="001B5DE3">
        <w:rPr>
          <w:rFonts w:ascii="Times New Roman" w:hAnsi="Times New Roman" w:cs="Times New Roman"/>
          <w:sz w:val="28"/>
          <w:szCs w:val="28"/>
          <w:lang w:val="uk-UA"/>
        </w:rPr>
        <w:t xml:space="preserve">овського району (12 учасників) та </w:t>
      </w:r>
      <w:r w:rsidRPr="001B5DE3">
        <w:rPr>
          <w:rFonts w:ascii="Times New Roman" w:hAnsi="Times New Roman" w:cs="Times New Roman"/>
          <w:sz w:val="28"/>
          <w:szCs w:val="28"/>
          <w:lang w:val="uk-UA"/>
        </w:rPr>
        <w:t>Томаківської центральної бібліотеки (12 учасників).</w:t>
      </w:r>
    </w:p>
    <w:p w:rsidR="006E527F" w:rsidRPr="001B5DE3" w:rsidRDefault="006E527F" w:rsidP="00532D5E">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У музейних закладах області відбулося 247 музейних вистав</w:t>
      </w:r>
      <w:r w:rsidR="00993A9A" w:rsidRPr="001B5DE3">
        <w:rPr>
          <w:rFonts w:ascii="Times New Roman" w:hAnsi="Times New Roman" w:cs="Times New Roman"/>
          <w:sz w:val="28"/>
          <w:szCs w:val="28"/>
          <w:lang w:val="uk-UA"/>
        </w:rPr>
        <w:t>ок</w:t>
      </w:r>
      <w:r w:rsidRPr="001B5DE3">
        <w:rPr>
          <w:rFonts w:ascii="Times New Roman" w:hAnsi="Times New Roman" w:cs="Times New Roman"/>
          <w:sz w:val="28"/>
          <w:szCs w:val="28"/>
          <w:lang w:val="uk-UA"/>
        </w:rPr>
        <w:t xml:space="preserve"> дл</w:t>
      </w:r>
      <w:r w:rsidR="00993A9A" w:rsidRPr="001B5DE3">
        <w:rPr>
          <w:rFonts w:ascii="Times New Roman" w:hAnsi="Times New Roman" w:cs="Times New Roman"/>
          <w:sz w:val="28"/>
          <w:szCs w:val="28"/>
          <w:lang w:val="uk-UA"/>
        </w:rPr>
        <w:t>я цільових аудиторій, 59 музейних</w:t>
      </w:r>
      <w:r w:rsidRPr="001B5DE3">
        <w:rPr>
          <w:rFonts w:ascii="Times New Roman" w:hAnsi="Times New Roman" w:cs="Times New Roman"/>
          <w:sz w:val="28"/>
          <w:szCs w:val="28"/>
          <w:lang w:val="uk-UA"/>
        </w:rPr>
        <w:t xml:space="preserve"> заход</w:t>
      </w:r>
      <w:r w:rsidR="00993A9A" w:rsidRPr="001B5DE3">
        <w:rPr>
          <w:rFonts w:ascii="Times New Roman" w:hAnsi="Times New Roman" w:cs="Times New Roman"/>
          <w:sz w:val="28"/>
          <w:szCs w:val="28"/>
          <w:lang w:val="uk-UA"/>
        </w:rPr>
        <w:t>ів</w:t>
      </w:r>
      <w:r w:rsidRPr="001B5DE3">
        <w:rPr>
          <w:rFonts w:ascii="Times New Roman" w:hAnsi="Times New Roman" w:cs="Times New Roman"/>
          <w:sz w:val="28"/>
          <w:szCs w:val="28"/>
          <w:lang w:val="uk-UA"/>
        </w:rPr>
        <w:t xml:space="preserve"> (онлайн-заходи, онлайн-проєкти, відеопрезентації, онлайн-лекції, онлайн-майстер-класи, тематичні вечори та ін.) та 21 інтерактивна виставка.</w:t>
      </w:r>
    </w:p>
    <w:p w:rsidR="006E527F" w:rsidRPr="001B5DE3" w:rsidRDefault="006E527F" w:rsidP="00532D5E">
      <w:pPr>
        <w:spacing w:after="0" w:line="245" w:lineRule="auto"/>
        <w:ind w:firstLine="708"/>
        <w:jc w:val="both"/>
        <w:rPr>
          <w:rFonts w:ascii="Times New Roman" w:hAnsi="Times New Roman" w:cs="Times New Roman"/>
          <w:lang w:val="uk-UA"/>
        </w:rPr>
      </w:pPr>
      <w:r w:rsidRPr="001B5DE3">
        <w:rPr>
          <w:rFonts w:ascii="Times New Roman" w:hAnsi="Times New Roman" w:cs="Times New Roman"/>
          <w:sz w:val="28"/>
          <w:szCs w:val="28"/>
          <w:shd w:val="clear" w:color="auto" w:fill="FFFFFF"/>
          <w:lang w:val="uk-UA"/>
        </w:rPr>
        <w:t>У І півріччі 2021 року</w:t>
      </w:r>
      <w:r w:rsidR="007003A8" w:rsidRPr="001B5DE3">
        <w:rPr>
          <w:rFonts w:ascii="Times New Roman" w:hAnsi="Times New Roman" w:cs="Times New Roman"/>
          <w:sz w:val="28"/>
          <w:szCs w:val="28"/>
          <w:shd w:val="clear" w:color="auto" w:fill="FFFFFF"/>
          <w:lang w:val="uk-UA"/>
        </w:rPr>
        <w:t xml:space="preserve"> </w:t>
      </w:r>
      <w:r w:rsidRPr="001B5DE3">
        <w:rPr>
          <w:rFonts w:ascii="Times New Roman" w:hAnsi="Times New Roman" w:cs="Times New Roman"/>
          <w:bCs/>
          <w:sz w:val="28"/>
          <w:szCs w:val="28"/>
          <w:lang w:val="uk-UA"/>
        </w:rPr>
        <w:t xml:space="preserve">забезпечено реалізацію </w:t>
      </w:r>
      <w:r w:rsidRPr="001B5DE3">
        <w:rPr>
          <w:rFonts w:ascii="Times New Roman" w:hAnsi="Times New Roman" w:cs="Times New Roman"/>
          <w:sz w:val="28"/>
          <w:szCs w:val="28"/>
          <w:shd w:val="clear" w:color="auto" w:fill="FFFFFF"/>
          <w:lang w:val="uk-UA"/>
        </w:rPr>
        <w:t>заходів з охорони культурної спадщини:</w:t>
      </w:r>
    </w:p>
    <w:p w:rsidR="006E527F" w:rsidRPr="001B5DE3" w:rsidRDefault="006E527F" w:rsidP="00532D5E">
      <w:pPr>
        <w:spacing w:after="0" w:line="245" w:lineRule="auto"/>
        <w:ind w:firstLine="708"/>
        <w:jc w:val="both"/>
        <w:rPr>
          <w:rFonts w:ascii="Times New Roman" w:hAnsi="Times New Roman" w:cs="Times New Roman"/>
          <w:bCs/>
          <w:i/>
          <w:sz w:val="28"/>
          <w:szCs w:val="28"/>
          <w:lang w:val="uk-UA"/>
        </w:rPr>
      </w:pPr>
      <w:r w:rsidRPr="001B5DE3">
        <w:rPr>
          <w:rFonts w:ascii="Times New Roman" w:hAnsi="Times New Roman" w:cs="Times New Roman"/>
          <w:bCs/>
          <w:sz w:val="28"/>
          <w:szCs w:val="28"/>
          <w:lang w:val="uk-UA"/>
        </w:rPr>
        <w:t>проведена підготовча робота з вивчення картографічних та інших наукових і архівних матеріалів. Підготовлено тендерну документацію та визначено виконавця послуги (через систему електронних закупівель) з визначення меж територій 450 пам’яток археології;</w:t>
      </w:r>
    </w:p>
    <w:p w:rsidR="006E527F" w:rsidRPr="001B5DE3" w:rsidRDefault="006E527F" w:rsidP="00532D5E">
      <w:pPr>
        <w:spacing w:after="0" w:line="245" w:lineRule="auto"/>
        <w:ind w:firstLine="708"/>
        <w:jc w:val="both"/>
        <w:rPr>
          <w:rFonts w:ascii="Times New Roman" w:hAnsi="Times New Roman" w:cs="Times New Roman"/>
          <w:bCs/>
          <w:sz w:val="28"/>
          <w:szCs w:val="28"/>
          <w:lang w:val="uk-UA"/>
        </w:rPr>
      </w:pPr>
      <w:r w:rsidRPr="001B5DE3">
        <w:rPr>
          <w:rFonts w:ascii="Times New Roman" w:hAnsi="Times New Roman" w:cs="Times New Roman"/>
          <w:sz w:val="28"/>
          <w:szCs w:val="28"/>
          <w:lang w:val="uk-UA"/>
        </w:rPr>
        <w:t>проводиться робота з авторами</w:t>
      </w:r>
      <w:r w:rsidRPr="001B5DE3">
        <w:rPr>
          <w:rFonts w:ascii="Times New Roman" w:hAnsi="Times New Roman" w:cs="Times New Roman"/>
          <w:bCs/>
          <w:sz w:val="28"/>
          <w:szCs w:val="28"/>
          <w:lang w:val="uk-UA"/>
        </w:rPr>
        <w:t xml:space="preserve"> матеріалів тому “Звід пам’яток історії та культури України. Дніпропетровська область”</w:t>
      </w:r>
      <w:r w:rsidRPr="001B5DE3">
        <w:rPr>
          <w:rFonts w:ascii="Times New Roman" w:hAnsi="Times New Roman" w:cs="Times New Roman"/>
          <w:sz w:val="28"/>
          <w:szCs w:val="28"/>
          <w:lang w:val="uk-UA"/>
        </w:rPr>
        <w:t xml:space="preserve">: формуються завдання, надаються консультації та опрацьовуються подані матеріали (наукові статті, картографічні матеріали, поверхові плани) – 253 матеріали;  </w:t>
      </w:r>
    </w:p>
    <w:p w:rsidR="006E527F" w:rsidRPr="001B5DE3" w:rsidRDefault="006E527F" w:rsidP="00532D5E">
      <w:pPr>
        <w:spacing w:after="0" w:line="245" w:lineRule="auto"/>
        <w:ind w:firstLine="567"/>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проводиться робота з упорядкування матеріалів та підготовки до друку збірки “Пам’ятки історії та культури” (в межах колишнього Криничанського району), яку планується видати у 2021 році.</w:t>
      </w:r>
    </w:p>
    <w:p w:rsidR="003F6293" w:rsidRPr="001B5DE3" w:rsidRDefault="003F6293" w:rsidP="004F4048">
      <w:pPr>
        <w:spacing w:after="0" w:line="240" w:lineRule="auto"/>
        <w:rPr>
          <w:rFonts w:ascii="Times New Roman" w:hAnsi="Times New Roman" w:cs="Times New Roman"/>
          <w:b/>
          <w:sz w:val="16"/>
          <w:szCs w:val="16"/>
          <w:lang w:val="uk-UA"/>
        </w:rPr>
      </w:pPr>
    </w:p>
    <w:p w:rsidR="00CC3037" w:rsidRPr="001B5DE3" w:rsidRDefault="00CC3037" w:rsidP="004F4048">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lastRenderedPageBreak/>
        <w:t>Фізичне виховання та спорт</w:t>
      </w:r>
    </w:p>
    <w:p w:rsidR="00CC3037" w:rsidRPr="001B5DE3" w:rsidRDefault="00CC3037" w:rsidP="004F4048">
      <w:pPr>
        <w:spacing w:after="0" w:line="240" w:lineRule="auto"/>
        <w:rPr>
          <w:rFonts w:ascii="Times New Roman" w:hAnsi="Times New Roman" w:cs="Times New Roman"/>
          <w:sz w:val="16"/>
          <w:szCs w:val="16"/>
          <w:lang w:val="uk-UA"/>
        </w:rPr>
      </w:pPr>
    </w:p>
    <w:p w:rsidR="00AA6D8E" w:rsidRPr="001B5DE3" w:rsidRDefault="00AA6D8E" w:rsidP="00AA6D8E">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В області реалізовується план заходів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на 2021 рік. Проведено 240 спортивних заходів, взяли участь більше 15 тис. осіб</w:t>
      </w:r>
      <w:r w:rsidR="00993A9A" w:rsidRPr="001B5DE3">
        <w:rPr>
          <w:rFonts w:ascii="Times New Roman" w:hAnsi="Times New Roman" w:cs="Times New Roman"/>
          <w:sz w:val="28"/>
          <w:szCs w:val="28"/>
          <w:lang w:val="uk-UA"/>
        </w:rPr>
        <w:t>.</w:t>
      </w:r>
    </w:p>
    <w:p w:rsidR="00AA6D8E" w:rsidRPr="001B5DE3" w:rsidRDefault="00AA6D8E" w:rsidP="00AA6D8E">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bCs/>
          <w:sz w:val="28"/>
          <w:szCs w:val="28"/>
          <w:lang w:val="uk-UA"/>
        </w:rPr>
        <w:t xml:space="preserve">Протягом звітного періоду </w:t>
      </w:r>
      <w:r w:rsidRPr="001B5DE3">
        <w:rPr>
          <w:rFonts w:ascii="Times New Roman" w:hAnsi="Times New Roman" w:cs="Times New Roman"/>
          <w:sz w:val="28"/>
          <w:szCs w:val="28"/>
          <w:lang w:val="uk-UA"/>
        </w:rPr>
        <w:t>Комунальним закладом “Дніпропетровський обласний центр фізичного здоров’я населення “Спорт для всіх”</w:t>
      </w:r>
      <w:r w:rsidR="00993A9A"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було проведено 22 заход</w:t>
      </w:r>
      <w:r w:rsidR="00993A9A" w:rsidRPr="001B5DE3">
        <w:rPr>
          <w:rFonts w:ascii="Times New Roman" w:hAnsi="Times New Roman" w:cs="Times New Roman"/>
          <w:sz w:val="28"/>
          <w:szCs w:val="28"/>
          <w:lang w:val="uk-UA"/>
        </w:rPr>
        <w:t>и</w:t>
      </w:r>
      <w:r w:rsidRPr="001B5DE3">
        <w:rPr>
          <w:rFonts w:ascii="Times New Roman" w:hAnsi="Times New Roman" w:cs="Times New Roman"/>
          <w:sz w:val="28"/>
          <w:szCs w:val="28"/>
          <w:lang w:val="uk-UA"/>
        </w:rPr>
        <w:t>, в яких взяли участь 2600 осіб.</w:t>
      </w:r>
    </w:p>
    <w:p w:rsidR="00AA6D8E" w:rsidRPr="001B5DE3" w:rsidRDefault="00AA6D8E" w:rsidP="00AA6D8E">
      <w:pPr>
        <w:spacing w:after="0" w:line="240" w:lineRule="auto"/>
        <w:ind w:firstLine="709"/>
        <w:jc w:val="both"/>
        <w:rPr>
          <w:rFonts w:ascii="Times New Roman" w:hAnsi="Times New Roman" w:cs="Times New Roman"/>
          <w:bCs/>
          <w:sz w:val="28"/>
          <w:szCs w:val="28"/>
          <w:lang w:val="uk-UA"/>
        </w:rPr>
      </w:pPr>
      <w:r w:rsidRPr="001B5DE3">
        <w:rPr>
          <w:rFonts w:ascii="Times New Roman" w:hAnsi="Times New Roman" w:cs="Times New Roman"/>
          <w:sz w:val="28"/>
          <w:szCs w:val="28"/>
          <w:lang w:val="uk-UA"/>
        </w:rPr>
        <w:t>Відділенням національного олімпійського комітету (далі – НОК) України Дніпропетровської області</w:t>
      </w:r>
      <w:r w:rsidRPr="001B5DE3">
        <w:rPr>
          <w:rFonts w:ascii="Times New Roman" w:hAnsi="Times New Roman" w:cs="Times New Roman"/>
          <w:bCs/>
          <w:sz w:val="28"/>
          <w:szCs w:val="28"/>
          <w:lang w:val="uk-UA"/>
        </w:rPr>
        <w:t xml:space="preserve"> у І півріччі 2021 року проведено</w:t>
      </w:r>
      <w:r w:rsidR="003F6293" w:rsidRPr="001B5DE3">
        <w:rPr>
          <w:rFonts w:ascii="Times New Roman" w:hAnsi="Times New Roman" w:cs="Times New Roman"/>
          <w:bCs/>
          <w:sz w:val="28"/>
          <w:szCs w:val="28"/>
          <w:lang w:val="uk-UA"/>
        </w:rPr>
        <w:t xml:space="preserve"> </w:t>
      </w:r>
      <w:r w:rsidRPr="001B5DE3">
        <w:rPr>
          <w:rFonts w:ascii="Times New Roman" w:hAnsi="Times New Roman" w:cs="Times New Roman"/>
          <w:bCs/>
          <w:sz w:val="28"/>
          <w:szCs w:val="28"/>
          <w:lang w:val="uk-UA"/>
        </w:rPr>
        <w:t>53 заходи, в яких взяли участь 2045 учасників.</w:t>
      </w:r>
    </w:p>
    <w:p w:rsidR="00AA6D8E" w:rsidRPr="001B5DE3" w:rsidRDefault="00AA6D8E" w:rsidP="00AA6D8E">
      <w:pPr>
        <w:spacing w:after="0" w:line="240" w:lineRule="auto"/>
        <w:ind w:firstLine="708"/>
        <w:jc w:val="both"/>
        <w:rPr>
          <w:rFonts w:ascii="Times New Roman" w:hAnsi="Times New Roman" w:cs="Times New Roman"/>
          <w:bCs/>
          <w:sz w:val="28"/>
          <w:szCs w:val="28"/>
          <w:lang w:val="uk-UA"/>
        </w:rPr>
      </w:pPr>
      <w:r w:rsidRPr="001B5DE3">
        <w:rPr>
          <w:rFonts w:ascii="Times New Roman" w:hAnsi="Times New Roman" w:cs="Times New Roman"/>
          <w:bCs/>
          <w:sz w:val="28"/>
          <w:szCs w:val="28"/>
          <w:lang w:val="uk-UA"/>
        </w:rPr>
        <w:t>Громадською організацією “</w:t>
      </w:r>
      <w:r w:rsidRPr="001B5DE3">
        <w:rPr>
          <w:rFonts w:ascii="Times New Roman" w:hAnsi="Times New Roman" w:cs="Times New Roman"/>
          <w:sz w:val="28"/>
          <w:szCs w:val="28"/>
          <w:shd w:val="clear" w:color="auto" w:fill="FFFFFF"/>
          <w:lang w:val="uk-UA"/>
        </w:rPr>
        <w:t>Дніпропетровська обласна організація фізкультурно-спортивного товариства</w:t>
      </w:r>
      <w:r w:rsidRPr="001B5DE3">
        <w:rPr>
          <w:rFonts w:ascii="Times New Roman" w:hAnsi="Times New Roman" w:cs="Times New Roman"/>
          <w:sz w:val="28"/>
          <w:szCs w:val="28"/>
          <w:lang w:val="uk-UA"/>
        </w:rPr>
        <w:t xml:space="preserve"> “Динамо” України”</w:t>
      </w:r>
      <w:r w:rsidRPr="001B5DE3">
        <w:rPr>
          <w:rFonts w:ascii="Times New Roman" w:hAnsi="Times New Roman" w:cs="Times New Roman"/>
          <w:bCs/>
          <w:sz w:val="28"/>
          <w:szCs w:val="28"/>
          <w:lang w:val="uk-UA"/>
        </w:rPr>
        <w:t xml:space="preserve"> (далі – </w:t>
      </w:r>
      <w:r w:rsidRPr="001B5DE3">
        <w:rPr>
          <w:rFonts w:ascii="Times New Roman" w:hAnsi="Times New Roman" w:cs="Times New Roman"/>
          <w:sz w:val="28"/>
          <w:szCs w:val="28"/>
          <w:lang w:val="uk-UA"/>
        </w:rPr>
        <w:t>ГО “ДОО ФСТ “Динамо” України”</w:t>
      </w:r>
      <w:r w:rsidRPr="001B5DE3">
        <w:rPr>
          <w:rFonts w:ascii="Times New Roman" w:hAnsi="Times New Roman" w:cs="Times New Roman"/>
          <w:bCs/>
          <w:sz w:val="28"/>
          <w:szCs w:val="28"/>
          <w:lang w:val="uk-UA"/>
        </w:rPr>
        <w:t xml:space="preserve">) проведено 69 спортивних заходів серед працівників правоохоронних органів, рятувальних та інших спеціальних служб області та членів їх сімей </w:t>
      </w:r>
      <w:r w:rsidR="00993A9A" w:rsidRPr="001B5DE3">
        <w:rPr>
          <w:rFonts w:ascii="Times New Roman" w:hAnsi="Times New Roman" w:cs="Times New Roman"/>
          <w:sz w:val="28"/>
          <w:szCs w:val="28"/>
          <w:lang w:val="uk-UA" w:eastAsia="uk-UA"/>
        </w:rPr>
        <w:t>(2927 учасників).</w:t>
      </w:r>
    </w:p>
    <w:p w:rsidR="00AA6D8E" w:rsidRPr="001B5DE3" w:rsidRDefault="00AA6D8E" w:rsidP="00AA6D8E">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shd w:val="clear" w:color="auto" w:fill="FFFFFF"/>
          <w:lang w:val="uk-UA"/>
        </w:rPr>
        <w:t>Дніпропетровською обласною організацією фізкультурно-спортивного товариства “</w:t>
      </w:r>
      <w:r w:rsidRPr="001B5DE3">
        <w:rPr>
          <w:rFonts w:ascii="Times New Roman" w:hAnsi="Times New Roman" w:cs="Times New Roman"/>
          <w:iCs/>
          <w:sz w:val="28"/>
          <w:szCs w:val="28"/>
          <w:lang w:val="uk-UA"/>
        </w:rPr>
        <w:t>Спартак</w:t>
      </w:r>
      <w:r w:rsidRPr="001B5DE3">
        <w:rPr>
          <w:rFonts w:ascii="Times New Roman" w:hAnsi="Times New Roman" w:cs="Times New Roman"/>
          <w:sz w:val="28"/>
          <w:szCs w:val="28"/>
          <w:shd w:val="clear" w:color="auto" w:fill="FFFFFF"/>
          <w:lang w:val="uk-UA"/>
        </w:rPr>
        <w:t>”</w:t>
      </w:r>
      <w:r w:rsidR="00EE2801" w:rsidRPr="001B5DE3">
        <w:rPr>
          <w:rFonts w:ascii="Times New Roman" w:hAnsi="Times New Roman" w:cs="Times New Roman"/>
          <w:sz w:val="28"/>
          <w:szCs w:val="28"/>
          <w:shd w:val="clear" w:color="auto" w:fill="FFFFFF"/>
          <w:lang w:val="uk-UA"/>
        </w:rPr>
        <w:t xml:space="preserve"> </w:t>
      </w:r>
      <w:r w:rsidRPr="001B5DE3">
        <w:rPr>
          <w:rFonts w:ascii="Times New Roman" w:hAnsi="Times New Roman" w:cs="Times New Roman"/>
          <w:sz w:val="28"/>
          <w:szCs w:val="28"/>
          <w:shd w:val="clear" w:color="auto" w:fill="FFFFFF"/>
          <w:lang w:val="uk-UA"/>
        </w:rPr>
        <w:t xml:space="preserve">(далі – </w:t>
      </w:r>
      <w:r w:rsidRPr="001B5DE3">
        <w:rPr>
          <w:rFonts w:ascii="Times New Roman" w:hAnsi="Times New Roman" w:cs="Times New Roman"/>
          <w:sz w:val="28"/>
          <w:szCs w:val="28"/>
          <w:lang w:val="uk-UA" w:eastAsia="uk-UA"/>
        </w:rPr>
        <w:t xml:space="preserve">ДООФСТ “Спартак”) </w:t>
      </w:r>
      <w:r w:rsidRPr="001B5DE3">
        <w:rPr>
          <w:rFonts w:ascii="Times New Roman" w:hAnsi="Times New Roman" w:cs="Times New Roman"/>
          <w:sz w:val="28"/>
          <w:szCs w:val="28"/>
          <w:lang w:val="uk-UA"/>
        </w:rPr>
        <w:t xml:space="preserve">проведено 20 спортивних заходів із загальною кількістю 1541 спортсмен. </w:t>
      </w:r>
    </w:p>
    <w:p w:rsidR="00AA6D8E" w:rsidRPr="001B5DE3" w:rsidRDefault="00AA6D8E" w:rsidP="00AA6D8E">
      <w:pPr>
        <w:spacing w:after="0" w:line="240" w:lineRule="auto"/>
        <w:ind w:firstLine="708"/>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Г</w:t>
      </w:r>
      <w:r w:rsidRPr="001B5DE3">
        <w:rPr>
          <w:rFonts w:ascii="Times New Roman" w:hAnsi="Times New Roman" w:cs="Times New Roman"/>
          <w:sz w:val="28"/>
          <w:szCs w:val="28"/>
          <w:shd w:val="clear" w:color="auto" w:fill="FFFFFF"/>
          <w:lang w:val="uk-UA"/>
        </w:rPr>
        <w:t xml:space="preserve">ромадською організацією “Дніпропетровська обласна організація фізкультурно-спортивного товариства </w:t>
      </w:r>
      <w:r w:rsidRPr="001B5DE3">
        <w:rPr>
          <w:rFonts w:ascii="Times New Roman" w:hAnsi="Times New Roman" w:cs="Times New Roman"/>
          <w:sz w:val="28"/>
          <w:szCs w:val="28"/>
          <w:lang w:val="uk-UA"/>
        </w:rPr>
        <w:t>“Україна” проведено 228 змагань серед робітників промислової сфери із загальною кількістю</w:t>
      </w:r>
      <w:r w:rsidR="003F6293"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3400 спортсменів.</w:t>
      </w:r>
    </w:p>
    <w:p w:rsidR="00AA6D8E" w:rsidRPr="001B5DE3" w:rsidRDefault="00AA6D8E" w:rsidP="00AA6D8E">
      <w:pPr>
        <w:spacing w:after="0" w:line="240" w:lineRule="auto"/>
        <w:ind w:firstLine="708"/>
        <w:jc w:val="both"/>
        <w:rPr>
          <w:rFonts w:ascii="Times New Roman" w:hAnsi="Times New Roman" w:cs="Times New Roman"/>
          <w:sz w:val="28"/>
          <w:szCs w:val="28"/>
          <w:lang w:val="uk-UA"/>
        </w:rPr>
      </w:pPr>
      <w:r w:rsidRPr="001B5DE3">
        <w:rPr>
          <w:rFonts w:ascii="Times New Roman" w:eastAsia="Calibri" w:hAnsi="Times New Roman" w:cs="Times New Roman"/>
          <w:sz w:val="28"/>
          <w:szCs w:val="28"/>
          <w:lang w:val="uk-UA"/>
        </w:rPr>
        <w:t>Г</w:t>
      </w:r>
      <w:r w:rsidRPr="001B5DE3">
        <w:rPr>
          <w:rFonts w:ascii="Times New Roman" w:hAnsi="Times New Roman" w:cs="Times New Roman"/>
          <w:sz w:val="28"/>
          <w:szCs w:val="28"/>
          <w:shd w:val="clear" w:color="auto" w:fill="FFFFFF"/>
          <w:lang w:val="uk-UA"/>
        </w:rPr>
        <w:t>ромадською організацією “Дніпропетровська територіальна організація всеукраїнського фізкультурно-спортивного товариства “Колос”</w:t>
      </w:r>
      <w:r w:rsidR="00EE2801" w:rsidRPr="001B5DE3">
        <w:rPr>
          <w:rFonts w:ascii="Times New Roman" w:hAnsi="Times New Roman" w:cs="Times New Roman"/>
          <w:sz w:val="28"/>
          <w:szCs w:val="28"/>
          <w:shd w:val="clear" w:color="auto" w:fill="FFFFFF"/>
          <w:lang w:val="uk-UA"/>
        </w:rPr>
        <w:t xml:space="preserve"> </w:t>
      </w:r>
      <w:r w:rsidRPr="001B5DE3">
        <w:rPr>
          <w:rFonts w:ascii="Times New Roman" w:eastAsia="Calibri" w:hAnsi="Times New Roman" w:cs="Times New Roman"/>
          <w:sz w:val="28"/>
          <w:szCs w:val="28"/>
          <w:lang w:val="uk-UA" w:eastAsia="en-US"/>
        </w:rPr>
        <w:t>та районними осередками було п</w:t>
      </w:r>
      <w:r w:rsidRPr="001B5DE3">
        <w:rPr>
          <w:rFonts w:ascii="Times New Roman" w:hAnsi="Times New Roman" w:cs="Times New Roman"/>
          <w:sz w:val="28"/>
          <w:szCs w:val="28"/>
          <w:lang w:val="uk-UA"/>
        </w:rPr>
        <w:t xml:space="preserve">роведено 240 обласних та районних змагань, в яких взяли участь понад 34000 осіб. </w:t>
      </w:r>
    </w:p>
    <w:p w:rsidR="00AA6D8E" w:rsidRPr="001B5DE3" w:rsidRDefault="00AA6D8E" w:rsidP="00AA6D8E">
      <w:pPr>
        <w:pStyle w:val="a7"/>
        <w:spacing w:after="0"/>
        <w:ind w:firstLine="709"/>
        <w:jc w:val="both"/>
        <w:rPr>
          <w:sz w:val="28"/>
          <w:szCs w:val="28"/>
        </w:rPr>
      </w:pPr>
      <w:r w:rsidRPr="001B5DE3">
        <w:rPr>
          <w:sz w:val="28"/>
          <w:szCs w:val="28"/>
        </w:rPr>
        <w:t>94 спортсмен</w:t>
      </w:r>
      <w:r w:rsidR="00EE2801" w:rsidRPr="001B5DE3">
        <w:rPr>
          <w:sz w:val="28"/>
          <w:szCs w:val="28"/>
          <w:lang w:val="uk-UA"/>
        </w:rPr>
        <w:t>и</w:t>
      </w:r>
      <w:r w:rsidRPr="001B5DE3">
        <w:rPr>
          <w:sz w:val="28"/>
          <w:szCs w:val="28"/>
        </w:rPr>
        <w:t xml:space="preserve"> </w:t>
      </w:r>
      <w:r w:rsidR="00EE2801" w:rsidRPr="001B5DE3">
        <w:rPr>
          <w:sz w:val="28"/>
          <w:szCs w:val="28"/>
          <w:lang w:val="uk-UA"/>
        </w:rPr>
        <w:t>К</w:t>
      </w:r>
      <w:r w:rsidRPr="001B5DE3">
        <w:rPr>
          <w:sz w:val="28"/>
          <w:szCs w:val="28"/>
          <w:lang w:val="uk-UA"/>
        </w:rPr>
        <w:t>омунального позашкільного закладу освіти</w:t>
      </w:r>
      <w:r w:rsidRPr="001B5DE3">
        <w:rPr>
          <w:sz w:val="28"/>
          <w:szCs w:val="28"/>
        </w:rPr>
        <w:t xml:space="preserve"> </w:t>
      </w:r>
      <w:r w:rsidRPr="001B5DE3">
        <w:rPr>
          <w:sz w:val="28"/>
          <w:szCs w:val="28"/>
          <w:lang w:val="uk-UA"/>
        </w:rPr>
        <w:t>“</w:t>
      </w:r>
      <w:r w:rsidRPr="001B5DE3">
        <w:rPr>
          <w:sz w:val="28"/>
          <w:szCs w:val="28"/>
        </w:rPr>
        <w:t>Д</w:t>
      </w:r>
      <w:r w:rsidRPr="001B5DE3">
        <w:rPr>
          <w:sz w:val="28"/>
          <w:szCs w:val="28"/>
          <w:lang w:val="uk-UA"/>
        </w:rPr>
        <w:t>ніпропетровська обласна спеціалізована</w:t>
      </w:r>
      <w:r w:rsidRPr="001B5DE3">
        <w:rPr>
          <w:sz w:val="28"/>
          <w:szCs w:val="28"/>
        </w:rPr>
        <w:t xml:space="preserve"> </w:t>
      </w:r>
      <w:r w:rsidRPr="001B5DE3">
        <w:rPr>
          <w:sz w:val="28"/>
          <w:szCs w:val="28"/>
          <w:lang w:val="uk-UA"/>
        </w:rPr>
        <w:t>дитячо-юнацька спортивна школа”</w:t>
      </w:r>
      <w:r w:rsidRPr="001B5DE3">
        <w:rPr>
          <w:sz w:val="28"/>
          <w:szCs w:val="28"/>
        </w:rPr>
        <w:t xml:space="preserve"> Д</w:t>
      </w:r>
      <w:r w:rsidRPr="001B5DE3">
        <w:rPr>
          <w:sz w:val="28"/>
          <w:szCs w:val="28"/>
          <w:lang w:val="uk-UA"/>
        </w:rPr>
        <w:t>ніпропетровської обласної ради”</w:t>
      </w:r>
      <w:r w:rsidRPr="001B5DE3">
        <w:rPr>
          <w:sz w:val="28"/>
          <w:szCs w:val="28"/>
        </w:rPr>
        <w:t xml:space="preserve"> </w:t>
      </w:r>
      <w:r w:rsidR="00EE2801" w:rsidRPr="001B5DE3">
        <w:rPr>
          <w:sz w:val="28"/>
          <w:szCs w:val="28"/>
          <w:lang w:val="uk-UA"/>
        </w:rPr>
        <w:t>взяли</w:t>
      </w:r>
      <w:r w:rsidRPr="001B5DE3">
        <w:rPr>
          <w:sz w:val="28"/>
          <w:szCs w:val="28"/>
        </w:rPr>
        <w:t xml:space="preserve"> участь у</w:t>
      </w:r>
      <w:r w:rsidR="005D1D45" w:rsidRPr="001B5DE3">
        <w:rPr>
          <w:sz w:val="28"/>
          <w:szCs w:val="28"/>
          <w:lang w:val="uk-UA"/>
        </w:rPr>
        <w:t xml:space="preserve"> </w:t>
      </w:r>
      <w:r w:rsidRPr="001B5DE3">
        <w:rPr>
          <w:sz w:val="28"/>
          <w:szCs w:val="28"/>
        </w:rPr>
        <w:t xml:space="preserve">8 Всеукраїнських змаганнях (спортсмени з вадами слуху, опорно-рухового апарату, зору, вадами розумового та фізичного розвитку </w:t>
      </w:r>
      <w:r w:rsidRPr="001B5DE3">
        <w:rPr>
          <w:sz w:val="28"/>
          <w:szCs w:val="28"/>
          <w:lang w:val="uk-UA"/>
        </w:rPr>
        <w:t>(</w:t>
      </w:r>
      <w:r w:rsidRPr="001B5DE3">
        <w:rPr>
          <w:sz w:val="28"/>
          <w:szCs w:val="28"/>
        </w:rPr>
        <w:t>ВРФР).</w:t>
      </w:r>
    </w:p>
    <w:p w:rsidR="00AA6D8E" w:rsidRPr="001B5DE3" w:rsidRDefault="00AA6D8E" w:rsidP="00AA6D8E">
      <w:pPr>
        <w:pStyle w:val="a7"/>
        <w:spacing w:after="0"/>
        <w:ind w:firstLine="709"/>
        <w:jc w:val="both"/>
        <w:rPr>
          <w:sz w:val="28"/>
          <w:szCs w:val="28"/>
        </w:rPr>
      </w:pPr>
      <w:r w:rsidRPr="001B5DE3">
        <w:rPr>
          <w:sz w:val="28"/>
          <w:szCs w:val="28"/>
        </w:rPr>
        <w:t>Забезпечується ефективна діяльність мережі спортивних закладів та установ, яка складається з 87 дитячо-юнацьких спортивних шкіл, обласної школи вищої спортивної майстерності, фахового коледжу спорту, державного коледжу та інституту фізичної культури і спорту.</w:t>
      </w:r>
    </w:p>
    <w:p w:rsidR="00AA6D8E" w:rsidRPr="001B5DE3" w:rsidRDefault="00AA6D8E" w:rsidP="00AA6D8E">
      <w:pPr>
        <w:pStyle w:val="afc"/>
        <w:ind w:firstLine="708"/>
        <w:jc w:val="both"/>
        <w:rPr>
          <w:rFonts w:ascii="Times New Roman" w:hAnsi="Times New Roman"/>
          <w:sz w:val="28"/>
          <w:szCs w:val="28"/>
        </w:rPr>
      </w:pPr>
      <w:r w:rsidRPr="001B5DE3">
        <w:rPr>
          <w:rFonts w:ascii="Times New Roman" w:hAnsi="Times New Roman"/>
          <w:sz w:val="28"/>
          <w:szCs w:val="28"/>
        </w:rPr>
        <w:t xml:space="preserve">Згідно </w:t>
      </w:r>
      <w:r w:rsidR="00EE2801" w:rsidRPr="001B5DE3">
        <w:rPr>
          <w:rFonts w:ascii="Times New Roman" w:hAnsi="Times New Roman"/>
          <w:sz w:val="28"/>
          <w:szCs w:val="28"/>
          <w:lang w:val="uk-UA"/>
        </w:rPr>
        <w:t xml:space="preserve">з </w:t>
      </w:r>
      <w:r w:rsidRPr="001B5DE3">
        <w:rPr>
          <w:rFonts w:ascii="Times New Roman" w:hAnsi="Times New Roman"/>
          <w:sz w:val="28"/>
          <w:szCs w:val="28"/>
        </w:rPr>
        <w:t>календарн</w:t>
      </w:r>
      <w:r w:rsidR="00EE2801" w:rsidRPr="001B5DE3">
        <w:rPr>
          <w:rFonts w:ascii="Times New Roman" w:hAnsi="Times New Roman"/>
          <w:sz w:val="28"/>
          <w:szCs w:val="28"/>
          <w:lang w:val="uk-UA"/>
        </w:rPr>
        <w:t>им</w:t>
      </w:r>
      <w:r w:rsidRPr="001B5DE3">
        <w:rPr>
          <w:rFonts w:ascii="Times New Roman" w:hAnsi="Times New Roman"/>
          <w:sz w:val="28"/>
          <w:szCs w:val="28"/>
        </w:rPr>
        <w:t xml:space="preserve"> план</w:t>
      </w:r>
      <w:r w:rsidR="0092431F" w:rsidRPr="001B5DE3">
        <w:rPr>
          <w:rFonts w:ascii="Times New Roman" w:hAnsi="Times New Roman"/>
          <w:sz w:val="28"/>
          <w:szCs w:val="28"/>
          <w:lang w:val="uk-UA"/>
        </w:rPr>
        <w:t>ом</w:t>
      </w:r>
      <w:r w:rsidRPr="001B5DE3">
        <w:rPr>
          <w:rFonts w:ascii="Times New Roman" w:hAnsi="Times New Roman"/>
          <w:sz w:val="28"/>
          <w:szCs w:val="28"/>
        </w:rPr>
        <w:t xml:space="preserve"> фізкультурно-оздоровчих та спортивних змагань за І півріччя 2021 року в області проведено: 87 обласних змагань з олімпійських видів спорту</w:t>
      </w:r>
      <w:r w:rsidR="0092431F" w:rsidRPr="001B5DE3">
        <w:rPr>
          <w:rFonts w:ascii="Times New Roman" w:hAnsi="Times New Roman"/>
          <w:sz w:val="28"/>
          <w:szCs w:val="28"/>
          <w:lang w:val="uk-UA"/>
        </w:rPr>
        <w:t>,</w:t>
      </w:r>
      <w:r w:rsidRPr="001B5DE3">
        <w:rPr>
          <w:rFonts w:ascii="Times New Roman" w:hAnsi="Times New Roman"/>
          <w:sz w:val="28"/>
          <w:szCs w:val="28"/>
        </w:rPr>
        <w:t xml:space="preserve"> в яких </w:t>
      </w:r>
      <w:r w:rsidR="0092431F" w:rsidRPr="001B5DE3">
        <w:rPr>
          <w:rFonts w:ascii="Times New Roman" w:hAnsi="Times New Roman"/>
          <w:sz w:val="28"/>
          <w:szCs w:val="28"/>
          <w:lang w:val="uk-UA"/>
        </w:rPr>
        <w:t>взяли</w:t>
      </w:r>
      <w:r w:rsidRPr="001B5DE3">
        <w:rPr>
          <w:rFonts w:ascii="Times New Roman" w:hAnsi="Times New Roman"/>
          <w:sz w:val="28"/>
          <w:szCs w:val="28"/>
        </w:rPr>
        <w:t xml:space="preserve"> участь 16442 спортсмен</w:t>
      </w:r>
      <w:r w:rsidR="0092431F" w:rsidRPr="001B5DE3">
        <w:rPr>
          <w:rFonts w:ascii="Times New Roman" w:hAnsi="Times New Roman"/>
          <w:sz w:val="28"/>
          <w:szCs w:val="28"/>
          <w:lang w:val="uk-UA"/>
        </w:rPr>
        <w:t>и,</w:t>
      </w:r>
      <w:r w:rsidRPr="001B5DE3">
        <w:rPr>
          <w:rFonts w:ascii="Times New Roman" w:hAnsi="Times New Roman"/>
          <w:sz w:val="28"/>
          <w:szCs w:val="28"/>
        </w:rPr>
        <w:t xml:space="preserve"> та </w:t>
      </w:r>
      <w:r w:rsidRPr="001B5DE3">
        <w:rPr>
          <w:rFonts w:ascii="Times New Roman" w:hAnsi="Times New Roman"/>
          <w:sz w:val="28"/>
          <w:szCs w:val="28"/>
          <w:lang w:val="uk-UA"/>
        </w:rPr>
        <w:br/>
      </w:r>
      <w:r w:rsidRPr="001B5DE3">
        <w:rPr>
          <w:rFonts w:ascii="Times New Roman" w:hAnsi="Times New Roman"/>
          <w:sz w:val="28"/>
          <w:szCs w:val="28"/>
        </w:rPr>
        <w:t>84 неолімпійських вид</w:t>
      </w:r>
      <w:r w:rsidR="0092431F" w:rsidRPr="001B5DE3">
        <w:rPr>
          <w:rFonts w:ascii="Times New Roman" w:hAnsi="Times New Roman"/>
          <w:sz w:val="28"/>
          <w:szCs w:val="28"/>
          <w:lang w:val="uk-UA"/>
        </w:rPr>
        <w:t>и</w:t>
      </w:r>
      <w:r w:rsidRPr="001B5DE3">
        <w:rPr>
          <w:rFonts w:ascii="Times New Roman" w:hAnsi="Times New Roman"/>
          <w:sz w:val="28"/>
          <w:szCs w:val="28"/>
        </w:rPr>
        <w:t xml:space="preserve"> спорту</w:t>
      </w:r>
      <w:r w:rsidR="0092431F" w:rsidRPr="001B5DE3">
        <w:rPr>
          <w:rFonts w:ascii="Times New Roman" w:hAnsi="Times New Roman"/>
          <w:sz w:val="28"/>
          <w:szCs w:val="28"/>
          <w:lang w:val="uk-UA"/>
        </w:rPr>
        <w:t>,</w:t>
      </w:r>
      <w:r w:rsidRPr="001B5DE3">
        <w:rPr>
          <w:rFonts w:ascii="Times New Roman" w:hAnsi="Times New Roman"/>
          <w:sz w:val="28"/>
          <w:szCs w:val="28"/>
        </w:rPr>
        <w:t xml:space="preserve"> в яких </w:t>
      </w:r>
      <w:r w:rsidR="0092431F" w:rsidRPr="001B5DE3">
        <w:rPr>
          <w:rFonts w:ascii="Times New Roman" w:hAnsi="Times New Roman"/>
          <w:sz w:val="28"/>
          <w:szCs w:val="28"/>
          <w:lang w:val="uk-UA"/>
        </w:rPr>
        <w:t>взяли</w:t>
      </w:r>
      <w:r w:rsidRPr="001B5DE3">
        <w:rPr>
          <w:rFonts w:ascii="Times New Roman" w:hAnsi="Times New Roman"/>
          <w:sz w:val="28"/>
          <w:szCs w:val="28"/>
        </w:rPr>
        <w:t xml:space="preserve"> участь 1096 спортсмен</w:t>
      </w:r>
      <w:r w:rsidR="0092431F" w:rsidRPr="001B5DE3">
        <w:rPr>
          <w:rFonts w:ascii="Times New Roman" w:hAnsi="Times New Roman"/>
          <w:sz w:val="28"/>
          <w:szCs w:val="28"/>
          <w:lang w:val="uk-UA"/>
        </w:rPr>
        <w:t>ів</w:t>
      </w:r>
      <w:r w:rsidRPr="001B5DE3">
        <w:rPr>
          <w:rFonts w:ascii="Times New Roman" w:hAnsi="Times New Roman"/>
          <w:sz w:val="28"/>
          <w:szCs w:val="28"/>
        </w:rPr>
        <w:t xml:space="preserve">.  </w:t>
      </w:r>
    </w:p>
    <w:p w:rsidR="00AA6D8E" w:rsidRPr="001B5DE3" w:rsidRDefault="00AA6D8E" w:rsidP="00AA6D8E">
      <w:pPr>
        <w:pStyle w:val="afc"/>
        <w:ind w:firstLine="708"/>
        <w:jc w:val="both"/>
        <w:rPr>
          <w:rFonts w:ascii="Times New Roman" w:hAnsi="Times New Roman"/>
          <w:sz w:val="28"/>
          <w:szCs w:val="28"/>
        </w:rPr>
      </w:pPr>
      <w:r w:rsidRPr="001B5DE3">
        <w:rPr>
          <w:rFonts w:ascii="Times New Roman" w:hAnsi="Times New Roman"/>
          <w:sz w:val="28"/>
          <w:szCs w:val="28"/>
        </w:rPr>
        <w:t xml:space="preserve">За рахунок обласного бюджету, згідно </w:t>
      </w:r>
      <w:r w:rsidR="000728C0" w:rsidRPr="001B5DE3">
        <w:rPr>
          <w:rFonts w:ascii="Times New Roman" w:hAnsi="Times New Roman"/>
          <w:sz w:val="28"/>
          <w:szCs w:val="28"/>
          <w:lang w:val="uk-UA"/>
        </w:rPr>
        <w:t xml:space="preserve">з </w:t>
      </w:r>
      <w:r w:rsidRPr="001B5DE3">
        <w:rPr>
          <w:rFonts w:ascii="Times New Roman" w:hAnsi="Times New Roman"/>
          <w:sz w:val="28"/>
          <w:szCs w:val="28"/>
        </w:rPr>
        <w:t>Єдин</w:t>
      </w:r>
      <w:r w:rsidR="000728C0" w:rsidRPr="001B5DE3">
        <w:rPr>
          <w:rFonts w:ascii="Times New Roman" w:hAnsi="Times New Roman"/>
          <w:sz w:val="28"/>
          <w:szCs w:val="28"/>
          <w:lang w:val="uk-UA"/>
        </w:rPr>
        <w:t>им</w:t>
      </w:r>
      <w:r w:rsidRPr="001B5DE3">
        <w:rPr>
          <w:rFonts w:ascii="Times New Roman" w:hAnsi="Times New Roman"/>
          <w:sz w:val="28"/>
          <w:szCs w:val="28"/>
        </w:rPr>
        <w:t xml:space="preserve"> календарн</w:t>
      </w:r>
      <w:r w:rsidR="000728C0" w:rsidRPr="001B5DE3">
        <w:rPr>
          <w:rFonts w:ascii="Times New Roman" w:hAnsi="Times New Roman"/>
          <w:sz w:val="28"/>
          <w:szCs w:val="28"/>
          <w:lang w:val="uk-UA"/>
        </w:rPr>
        <w:t>им</w:t>
      </w:r>
      <w:r w:rsidRPr="001B5DE3">
        <w:rPr>
          <w:rFonts w:ascii="Times New Roman" w:hAnsi="Times New Roman"/>
          <w:sz w:val="28"/>
          <w:szCs w:val="28"/>
        </w:rPr>
        <w:t xml:space="preserve"> план</w:t>
      </w:r>
      <w:r w:rsidR="000728C0" w:rsidRPr="001B5DE3">
        <w:rPr>
          <w:rFonts w:ascii="Times New Roman" w:hAnsi="Times New Roman"/>
          <w:sz w:val="28"/>
          <w:szCs w:val="28"/>
          <w:lang w:val="uk-UA"/>
        </w:rPr>
        <w:t>ом</w:t>
      </w:r>
      <w:r w:rsidRPr="001B5DE3">
        <w:rPr>
          <w:rFonts w:ascii="Times New Roman" w:hAnsi="Times New Roman"/>
          <w:sz w:val="28"/>
          <w:szCs w:val="28"/>
        </w:rPr>
        <w:t xml:space="preserve"> спортивних змагань України, спортсмен</w:t>
      </w:r>
      <w:r w:rsidR="000C2232" w:rsidRPr="001B5DE3">
        <w:rPr>
          <w:rFonts w:ascii="Times New Roman" w:hAnsi="Times New Roman"/>
          <w:sz w:val="28"/>
          <w:szCs w:val="28"/>
          <w:lang w:val="uk-UA"/>
        </w:rPr>
        <w:t>и</w:t>
      </w:r>
      <w:r w:rsidRPr="001B5DE3">
        <w:rPr>
          <w:rFonts w:ascii="Times New Roman" w:hAnsi="Times New Roman"/>
          <w:sz w:val="28"/>
          <w:szCs w:val="28"/>
        </w:rPr>
        <w:t xml:space="preserve"> області взя</w:t>
      </w:r>
      <w:r w:rsidR="00C70821" w:rsidRPr="001B5DE3">
        <w:rPr>
          <w:rFonts w:ascii="Times New Roman" w:hAnsi="Times New Roman"/>
          <w:sz w:val="28"/>
          <w:szCs w:val="28"/>
          <w:lang w:val="uk-UA"/>
        </w:rPr>
        <w:t>ли</w:t>
      </w:r>
      <w:r w:rsidRPr="001B5DE3">
        <w:rPr>
          <w:rFonts w:ascii="Times New Roman" w:hAnsi="Times New Roman"/>
          <w:sz w:val="28"/>
          <w:szCs w:val="28"/>
        </w:rPr>
        <w:t xml:space="preserve"> участь у </w:t>
      </w:r>
      <w:r w:rsidRPr="001B5DE3">
        <w:rPr>
          <w:rFonts w:ascii="Times New Roman" w:hAnsi="Times New Roman"/>
          <w:sz w:val="28"/>
          <w:szCs w:val="28"/>
          <w:lang w:val="uk-UA"/>
        </w:rPr>
        <w:br/>
      </w:r>
      <w:r w:rsidRPr="001B5DE3">
        <w:rPr>
          <w:rFonts w:ascii="Times New Roman" w:hAnsi="Times New Roman"/>
          <w:sz w:val="28"/>
          <w:szCs w:val="28"/>
        </w:rPr>
        <w:t xml:space="preserve">168 змаганнях з олімпійських видів спорту </w:t>
      </w:r>
      <w:r w:rsidR="00C70821" w:rsidRPr="001B5DE3">
        <w:rPr>
          <w:rFonts w:ascii="Times New Roman" w:hAnsi="Times New Roman"/>
          <w:sz w:val="28"/>
          <w:szCs w:val="28"/>
          <w:lang w:val="uk-UA"/>
        </w:rPr>
        <w:t>(</w:t>
      </w:r>
      <w:r w:rsidRPr="001B5DE3">
        <w:rPr>
          <w:rFonts w:ascii="Times New Roman" w:hAnsi="Times New Roman"/>
          <w:sz w:val="28"/>
          <w:szCs w:val="28"/>
        </w:rPr>
        <w:t>2154 ос</w:t>
      </w:r>
      <w:r w:rsidR="00C70821" w:rsidRPr="001B5DE3">
        <w:rPr>
          <w:rFonts w:ascii="Times New Roman" w:hAnsi="Times New Roman"/>
          <w:sz w:val="28"/>
          <w:szCs w:val="28"/>
          <w:lang w:val="uk-UA"/>
        </w:rPr>
        <w:t>оби</w:t>
      </w:r>
      <w:r w:rsidR="000C2232" w:rsidRPr="001B5DE3">
        <w:rPr>
          <w:rFonts w:ascii="Times New Roman" w:hAnsi="Times New Roman"/>
          <w:sz w:val="28"/>
          <w:szCs w:val="28"/>
          <w:lang w:val="uk-UA"/>
        </w:rPr>
        <w:t>)</w:t>
      </w:r>
      <w:r w:rsidRPr="001B5DE3">
        <w:rPr>
          <w:rFonts w:ascii="Times New Roman" w:hAnsi="Times New Roman"/>
          <w:sz w:val="28"/>
          <w:szCs w:val="28"/>
        </w:rPr>
        <w:t xml:space="preserve"> та у 57 змаганнях з неолімпійських видів спорту у кількості 741 ос</w:t>
      </w:r>
      <w:r w:rsidR="00C70821" w:rsidRPr="001B5DE3">
        <w:rPr>
          <w:rFonts w:ascii="Times New Roman" w:hAnsi="Times New Roman"/>
          <w:sz w:val="28"/>
          <w:szCs w:val="28"/>
          <w:lang w:val="uk-UA"/>
        </w:rPr>
        <w:t>оба</w:t>
      </w:r>
      <w:r w:rsidRPr="001B5DE3">
        <w:rPr>
          <w:rFonts w:ascii="Times New Roman" w:hAnsi="Times New Roman"/>
          <w:sz w:val="28"/>
          <w:szCs w:val="28"/>
        </w:rPr>
        <w:t>.</w:t>
      </w:r>
    </w:p>
    <w:p w:rsidR="00AA6D8E" w:rsidRDefault="00AA6D8E" w:rsidP="00513DF5">
      <w:pPr>
        <w:pStyle w:val="afc"/>
        <w:spacing w:line="252" w:lineRule="auto"/>
        <w:ind w:firstLine="708"/>
        <w:jc w:val="both"/>
        <w:rPr>
          <w:rFonts w:ascii="Times New Roman" w:hAnsi="Times New Roman"/>
          <w:sz w:val="28"/>
          <w:szCs w:val="28"/>
          <w:lang w:val="uk-UA"/>
        </w:rPr>
      </w:pPr>
      <w:r w:rsidRPr="001B5DE3">
        <w:rPr>
          <w:rFonts w:ascii="Times New Roman" w:hAnsi="Times New Roman"/>
          <w:sz w:val="28"/>
          <w:szCs w:val="28"/>
        </w:rPr>
        <w:lastRenderedPageBreak/>
        <w:t>Для забезпечення підготовки до Олімпійсь</w:t>
      </w:r>
      <w:r w:rsidR="00C70821" w:rsidRPr="001B5DE3">
        <w:rPr>
          <w:rFonts w:ascii="Times New Roman" w:hAnsi="Times New Roman"/>
          <w:sz w:val="28"/>
          <w:szCs w:val="28"/>
        </w:rPr>
        <w:t>ких ігор з січня 2020 року</w:t>
      </w:r>
      <w:r w:rsidR="00C70821" w:rsidRPr="001B5DE3">
        <w:rPr>
          <w:rFonts w:ascii="Times New Roman" w:hAnsi="Times New Roman"/>
          <w:sz w:val="28"/>
          <w:szCs w:val="28"/>
        </w:rPr>
        <w:br/>
        <w:t>25</w:t>
      </w:r>
      <w:r w:rsidRPr="001B5DE3">
        <w:rPr>
          <w:rFonts w:ascii="Times New Roman" w:hAnsi="Times New Roman"/>
          <w:sz w:val="28"/>
          <w:szCs w:val="28"/>
        </w:rPr>
        <w:t xml:space="preserve"> провідним спортсменам та тренерам області встановлені щомісячні стипендії від 4 до 15 тис. грн.</w:t>
      </w:r>
    </w:p>
    <w:p w:rsidR="00513DF5" w:rsidRPr="00513DF5" w:rsidRDefault="00513DF5" w:rsidP="00513DF5">
      <w:pPr>
        <w:pStyle w:val="afc"/>
        <w:spacing w:line="252" w:lineRule="auto"/>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409"/>
      </w:tblGrid>
      <w:tr w:rsidR="001B5DE3" w:rsidRPr="001B5DE3" w:rsidTr="00513DF5">
        <w:tc>
          <w:tcPr>
            <w:tcW w:w="439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p>
        </w:tc>
        <w:tc>
          <w:tcPr>
            <w:tcW w:w="283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І півріччя 2020 року</w:t>
            </w:r>
          </w:p>
        </w:tc>
        <w:tc>
          <w:tcPr>
            <w:tcW w:w="2409" w:type="dxa"/>
          </w:tcPr>
          <w:p w:rsidR="00AA6D8E"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І півріччя 2021 року</w:t>
            </w:r>
          </w:p>
          <w:p w:rsidR="00513DF5" w:rsidRPr="00513DF5" w:rsidRDefault="00513DF5" w:rsidP="00513DF5">
            <w:pPr>
              <w:pStyle w:val="afe"/>
              <w:spacing w:after="0" w:line="252" w:lineRule="auto"/>
              <w:ind w:left="0"/>
              <w:jc w:val="center"/>
              <w:rPr>
                <w:rFonts w:ascii="Times New Roman" w:hAnsi="Times New Roman"/>
                <w:sz w:val="10"/>
                <w:szCs w:val="10"/>
                <w:lang w:val="uk-UA"/>
              </w:rPr>
            </w:pPr>
          </w:p>
        </w:tc>
      </w:tr>
      <w:tr w:rsidR="001B5DE3" w:rsidRPr="001B5DE3" w:rsidTr="00513DF5">
        <w:tc>
          <w:tcPr>
            <w:tcW w:w="4395" w:type="dxa"/>
          </w:tcPr>
          <w:p w:rsidR="00AA6D8E" w:rsidRPr="001B5DE3" w:rsidRDefault="00AA6D8E" w:rsidP="00513DF5">
            <w:pPr>
              <w:pStyle w:val="afe"/>
              <w:spacing w:after="0" w:line="252" w:lineRule="auto"/>
              <w:ind w:left="0"/>
              <w:rPr>
                <w:rFonts w:ascii="Times New Roman" w:hAnsi="Times New Roman"/>
                <w:sz w:val="24"/>
                <w:szCs w:val="24"/>
                <w:lang w:val="uk-UA"/>
              </w:rPr>
            </w:pPr>
            <w:r w:rsidRPr="001B5DE3">
              <w:rPr>
                <w:rFonts w:ascii="Times New Roman" w:hAnsi="Times New Roman"/>
                <w:sz w:val="24"/>
                <w:szCs w:val="24"/>
                <w:lang w:val="uk-UA"/>
              </w:rPr>
              <w:t>Кількість обласних спортивно-масових заходів</w:t>
            </w:r>
          </w:p>
        </w:tc>
        <w:tc>
          <w:tcPr>
            <w:tcW w:w="283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356</w:t>
            </w:r>
          </w:p>
        </w:tc>
        <w:tc>
          <w:tcPr>
            <w:tcW w:w="2409"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398</w:t>
            </w:r>
          </w:p>
        </w:tc>
      </w:tr>
      <w:tr w:rsidR="001B5DE3" w:rsidRPr="001B5DE3" w:rsidTr="00513DF5">
        <w:tc>
          <w:tcPr>
            <w:tcW w:w="4395" w:type="dxa"/>
          </w:tcPr>
          <w:p w:rsidR="00AA6D8E" w:rsidRPr="001B5DE3" w:rsidRDefault="00AA6D8E" w:rsidP="00513DF5">
            <w:pPr>
              <w:pStyle w:val="afe"/>
              <w:spacing w:after="0" w:line="252" w:lineRule="auto"/>
              <w:ind w:left="0"/>
              <w:rPr>
                <w:rFonts w:ascii="Times New Roman" w:hAnsi="Times New Roman"/>
                <w:sz w:val="24"/>
                <w:szCs w:val="24"/>
                <w:lang w:val="uk-UA"/>
              </w:rPr>
            </w:pPr>
            <w:r w:rsidRPr="001B5DE3">
              <w:rPr>
                <w:rFonts w:ascii="Times New Roman" w:hAnsi="Times New Roman"/>
                <w:sz w:val="24"/>
                <w:szCs w:val="24"/>
                <w:lang w:val="uk-UA"/>
              </w:rPr>
              <w:t>Кількість учасників</w:t>
            </w:r>
          </w:p>
        </w:tc>
        <w:tc>
          <w:tcPr>
            <w:tcW w:w="283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67350</w:t>
            </w:r>
          </w:p>
        </w:tc>
        <w:tc>
          <w:tcPr>
            <w:tcW w:w="2409"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35820</w:t>
            </w:r>
          </w:p>
        </w:tc>
      </w:tr>
      <w:tr w:rsidR="001B5DE3" w:rsidRPr="001B5DE3" w:rsidTr="00513DF5">
        <w:tc>
          <w:tcPr>
            <w:tcW w:w="4395" w:type="dxa"/>
          </w:tcPr>
          <w:p w:rsidR="00AA6D8E" w:rsidRPr="001B5DE3" w:rsidRDefault="00AA6D8E" w:rsidP="00513DF5">
            <w:pPr>
              <w:pStyle w:val="afe"/>
              <w:spacing w:after="0" w:line="252" w:lineRule="auto"/>
              <w:ind w:left="0"/>
              <w:rPr>
                <w:rFonts w:ascii="Times New Roman" w:hAnsi="Times New Roman"/>
                <w:sz w:val="24"/>
                <w:szCs w:val="24"/>
                <w:lang w:val="uk-UA"/>
              </w:rPr>
            </w:pPr>
            <w:r w:rsidRPr="001B5DE3">
              <w:rPr>
                <w:rFonts w:ascii="Times New Roman" w:hAnsi="Times New Roman"/>
                <w:sz w:val="24"/>
                <w:szCs w:val="24"/>
                <w:lang w:val="uk-UA"/>
              </w:rPr>
              <w:t>Кількість спортивних змагань з різних видів спорту на обласному рівні</w:t>
            </w:r>
          </w:p>
        </w:tc>
        <w:tc>
          <w:tcPr>
            <w:tcW w:w="283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272</w:t>
            </w:r>
          </w:p>
        </w:tc>
        <w:tc>
          <w:tcPr>
            <w:tcW w:w="2409"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171</w:t>
            </w:r>
          </w:p>
        </w:tc>
      </w:tr>
      <w:tr w:rsidR="00AA6D8E" w:rsidRPr="001B5DE3" w:rsidTr="00513DF5">
        <w:tc>
          <w:tcPr>
            <w:tcW w:w="4395" w:type="dxa"/>
          </w:tcPr>
          <w:p w:rsidR="00AA6D8E" w:rsidRPr="001B5DE3" w:rsidRDefault="00AA6D8E" w:rsidP="00513DF5">
            <w:pPr>
              <w:pStyle w:val="afe"/>
              <w:spacing w:after="0" w:line="252" w:lineRule="auto"/>
              <w:ind w:left="0"/>
              <w:rPr>
                <w:rFonts w:ascii="Times New Roman" w:hAnsi="Times New Roman"/>
                <w:sz w:val="24"/>
                <w:szCs w:val="24"/>
                <w:lang w:val="uk-UA"/>
              </w:rPr>
            </w:pPr>
            <w:r w:rsidRPr="001B5DE3">
              <w:rPr>
                <w:rFonts w:ascii="Times New Roman" w:hAnsi="Times New Roman"/>
                <w:sz w:val="24"/>
                <w:szCs w:val="24"/>
                <w:lang w:val="uk-UA"/>
              </w:rPr>
              <w:t>Кількість учасників</w:t>
            </w:r>
          </w:p>
        </w:tc>
        <w:tc>
          <w:tcPr>
            <w:tcW w:w="2835"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40551</w:t>
            </w:r>
          </w:p>
        </w:tc>
        <w:tc>
          <w:tcPr>
            <w:tcW w:w="2409" w:type="dxa"/>
          </w:tcPr>
          <w:p w:rsidR="00AA6D8E" w:rsidRPr="001B5DE3" w:rsidRDefault="00AA6D8E" w:rsidP="00513DF5">
            <w:pPr>
              <w:pStyle w:val="afe"/>
              <w:spacing w:after="0" w:line="252" w:lineRule="auto"/>
              <w:ind w:left="0"/>
              <w:jc w:val="center"/>
              <w:rPr>
                <w:rFonts w:ascii="Times New Roman" w:hAnsi="Times New Roman"/>
                <w:sz w:val="24"/>
                <w:szCs w:val="24"/>
                <w:lang w:val="uk-UA"/>
              </w:rPr>
            </w:pPr>
            <w:r w:rsidRPr="001B5DE3">
              <w:rPr>
                <w:rFonts w:ascii="Times New Roman" w:hAnsi="Times New Roman"/>
                <w:sz w:val="24"/>
                <w:szCs w:val="24"/>
                <w:lang w:val="uk-UA"/>
              </w:rPr>
              <w:t>17538</w:t>
            </w:r>
          </w:p>
        </w:tc>
      </w:tr>
    </w:tbl>
    <w:p w:rsidR="00AA6D8E" w:rsidRPr="001B5DE3" w:rsidRDefault="00AA6D8E" w:rsidP="00513DF5">
      <w:pPr>
        <w:pStyle w:val="afc"/>
        <w:spacing w:line="252" w:lineRule="auto"/>
        <w:ind w:firstLine="709"/>
        <w:jc w:val="both"/>
        <w:rPr>
          <w:rFonts w:ascii="Times New Roman" w:hAnsi="Times New Roman"/>
          <w:bCs/>
          <w:sz w:val="28"/>
          <w:szCs w:val="28"/>
          <w:lang w:val="uk-UA"/>
        </w:rPr>
      </w:pP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На території області реалізується програма розвитку спортивної інфраструктури. У поточному </w:t>
      </w:r>
      <w:r w:rsidR="00C70821" w:rsidRPr="001B5DE3">
        <w:rPr>
          <w:rFonts w:ascii="Times New Roman" w:hAnsi="Times New Roman"/>
          <w:bCs/>
          <w:sz w:val="28"/>
          <w:szCs w:val="28"/>
          <w:lang w:val="uk-UA"/>
        </w:rPr>
        <w:t>році вже завершено будівництво Олімпійського дому</w:t>
      </w:r>
      <w:r w:rsidRPr="001B5DE3">
        <w:rPr>
          <w:rFonts w:ascii="Times New Roman" w:hAnsi="Times New Roman"/>
          <w:bCs/>
          <w:sz w:val="28"/>
          <w:szCs w:val="28"/>
          <w:lang w:val="uk-UA"/>
        </w:rPr>
        <w:t>, в якому відкрито музей спорту на базі спорткомплексу “Олімпійські резерви”. Закінчено реконструкцію стадіону в с. Придн</w:t>
      </w:r>
      <w:r w:rsidR="00FE3FEB" w:rsidRPr="001B5DE3">
        <w:rPr>
          <w:rFonts w:ascii="Times New Roman" w:hAnsi="Times New Roman"/>
          <w:bCs/>
          <w:sz w:val="28"/>
          <w:szCs w:val="28"/>
          <w:lang w:val="uk-UA"/>
        </w:rPr>
        <w:t>іпровське Нікопольського району,</w:t>
      </w:r>
      <w:r w:rsidRPr="001B5DE3">
        <w:rPr>
          <w:rFonts w:ascii="Times New Roman" w:hAnsi="Times New Roman"/>
          <w:bCs/>
          <w:sz w:val="28"/>
          <w:szCs w:val="28"/>
          <w:lang w:val="uk-UA"/>
        </w:rPr>
        <w:t xml:space="preserve"> спорткомплексу “Дніпровець” </w:t>
      </w:r>
      <w:r w:rsidR="00FE3FEB" w:rsidRPr="001B5DE3">
        <w:rPr>
          <w:rFonts w:ascii="Times New Roman" w:hAnsi="Times New Roman"/>
          <w:bCs/>
          <w:sz w:val="28"/>
          <w:szCs w:val="28"/>
          <w:lang w:val="uk-UA"/>
        </w:rPr>
        <w:t>у смт Дніпровське.</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Ведуться роботи </w:t>
      </w:r>
      <w:r w:rsidR="00DF04D5" w:rsidRPr="001B5DE3">
        <w:rPr>
          <w:rFonts w:ascii="Times New Roman" w:hAnsi="Times New Roman"/>
          <w:bCs/>
          <w:sz w:val="28"/>
          <w:szCs w:val="28"/>
          <w:lang w:val="uk-UA"/>
        </w:rPr>
        <w:t>з</w:t>
      </w:r>
      <w:r w:rsidRPr="001B5DE3">
        <w:rPr>
          <w:rFonts w:ascii="Times New Roman" w:hAnsi="Times New Roman"/>
          <w:bCs/>
          <w:sz w:val="28"/>
          <w:szCs w:val="28"/>
          <w:lang w:val="uk-UA"/>
        </w:rPr>
        <w:t xml:space="preserve"> будівництв</w:t>
      </w:r>
      <w:r w:rsidR="00DF04D5" w:rsidRPr="001B5DE3">
        <w:rPr>
          <w:rFonts w:ascii="Times New Roman" w:hAnsi="Times New Roman"/>
          <w:bCs/>
          <w:sz w:val="28"/>
          <w:szCs w:val="28"/>
          <w:lang w:val="uk-UA"/>
        </w:rPr>
        <w:t>а</w:t>
      </w:r>
      <w:r w:rsidRPr="001B5DE3">
        <w:rPr>
          <w:rFonts w:ascii="Times New Roman" w:hAnsi="Times New Roman"/>
          <w:bCs/>
          <w:sz w:val="28"/>
          <w:szCs w:val="28"/>
          <w:lang w:val="uk-UA"/>
        </w:rPr>
        <w:t xml:space="preserve"> та реконструкції спортивних об’єктів:</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 спортивно-оздоровчий комплекс (басейн)  на території парку Перемоги в м. Нікополь;</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плавальний басейн </w:t>
      </w:r>
      <w:r w:rsidR="00DF04D5" w:rsidRPr="001B5DE3">
        <w:rPr>
          <w:rFonts w:ascii="Times New Roman" w:hAnsi="Times New Roman"/>
          <w:bCs/>
          <w:sz w:val="28"/>
          <w:szCs w:val="28"/>
          <w:lang w:val="uk-UA"/>
        </w:rPr>
        <w:t>у</w:t>
      </w:r>
      <w:r w:rsidRPr="001B5DE3">
        <w:rPr>
          <w:rFonts w:ascii="Times New Roman" w:hAnsi="Times New Roman"/>
          <w:bCs/>
          <w:sz w:val="28"/>
          <w:szCs w:val="28"/>
          <w:lang w:val="uk-UA"/>
        </w:rPr>
        <w:t xml:space="preserve"> смт Слобожанське;</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спортивн</w:t>
      </w:r>
      <w:r w:rsidR="00DF04D5" w:rsidRPr="001B5DE3">
        <w:rPr>
          <w:rFonts w:ascii="Times New Roman" w:hAnsi="Times New Roman"/>
          <w:bCs/>
          <w:sz w:val="28"/>
          <w:szCs w:val="28"/>
          <w:lang w:val="uk-UA"/>
        </w:rPr>
        <w:t>ий комплекс</w:t>
      </w:r>
      <w:r w:rsidRPr="001B5DE3">
        <w:rPr>
          <w:rFonts w:ascii="Times New Roman" w:hAnsi="Times New Roman"/>
          <w:bCs/>
          <w:sz w:val="28"/>
          <w:szCs w:val="28"/>
          <w:lang w:val="uk-UA"/>
        </w:rPr>
        <w:t xml:space="preserve"> “Металург” у</w:t>
      </w:r>
      <w:r w:rsidR="00DF04D5" w:rsidRPr="001B5DE3">
        <w:rPr>
          <w:rFonts w:ascii="Times New Roman" w:hAnsi="Times New Roman"/>
          <w:bCs/>
          <w:sz w:val="28"/>
          <w:szCs w:val="28"/>
          <w:lang w:val="uk-UA"/>
        </w:rPr>
        <w:t xml:space="preserve"> м.</w:t>
      </w:r>
      <w:r w:rsidR="0039590E" w:rsidRPr="001B5DE3">
        <w:rPr>
          <w:rFonts w:ascii="Times New Roman" w:hAnsi="Times New Roman"/>
          <w:bCs/>
          <w:sz w:val="28"/>
          <w:szCs w:val="28"/>
          <w:lang w:val="uk-UA"/>
        </w:rPr>
        <w:t xml:space="preserve"> </w:t>
      </w:r>
      <w:r w:rsidRPr="001B5DE3">
        <w:rPr>
          <w:rFonts w:ascii="Times New Roman" w:hAnsi="Times New Roman"/>
          <w:bCs/>
          <w:sz w:val="28"/>
          <w:szCs w:val="28"/>
          <w:lang w:val="uk-UA"/>
        </w:rPr>
        <w:t>Кривому Розі;</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реконструкція стадіону “Спартак” у </w:t>
      </w:r>
      <w:r w:rsidR="0039590E" w:rsidRPr="001B5DE3">
        <w:rPr>
          <w:rFonts w:ascii="Times New Roman" w:hAnsi="Times New Roman"/>
          <w:bCs/>
          <w:sz w:val="28"/>
          <w:szCs w:val="28"/>
          <w:lang w:val="uk-UA"/>
        </w:rPr>
        <w:t xml:space="preserve">м. </w:t>
      </w:r>
      <w:r w:rsidRPr="001B5DE3">
        <w:rPr>
          <w:rFonts w:ascii="Times New Roman" w:hAnsi="Times New Roman"/>
          <w:bCs/>
          <w:sz w:val="28"/>
          <w:szCs w:val="28"/>
          <w:lang w:val="uk-UA"/>
        </w:rPr>
        <w:t>Кривому Розі</w:t>
      </w:r>
      <w:r w:rsidR="0039590E" w:rsidRPr="001B5DE3">
        <w:rPr>
          <w:rFonts w:ascii="Times New Roman" w:hAnsi="Times New Roman"/>
          <w:bCs/>
          <w:sz w:val="28"/>
          <w:szCs w:val="28"/>
          <w:lang w:val="uk-UA"/>
        </w:rPr>
        <w:t>;</w:t>
      </w:r>
      <w:r w:rsidRPr="001B5DE3">
        <w:rPr>
          <w:rFonts w:ascii="Times New Roman" w:hAnsi="Times New Roman"/>
          <w:bCs/>
          <w:sz w:val="28"/>
          <w:szCs w:val="28"/>
          <w:lang w:val="uk-UA"/>
        </w:rPr>
        <w:t xml:space="preserve"> </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реконст</w:t>
      </w:r>
      <w:r w:rsidR="0039590E" w:rsidRPr="001B5DE3">
        <w:rPr>
          <w:rFonts w:ascii="Times New Roman" w:hAnsi="Times New Roman"/>
          <w:bCs/>
          <w:sz w:val="28"/>
          <w:szCs w:val="28"/>
          <w:lang w:val="uk-UA"/>
        </w:rPr>
        <w:t xml:space="preserve">рукція стадіону “Металург” у м. </w:t>
      </w:r>
      <w:r w:rsidRPr="001B5DE3">
        <w:rPr>
          <w:rFonts w:ascii="Times New Roman" w:hAnsi="Times New Roman"/>
          <w:bCs/>
          <w:sz w:val="28"/>
          <w:szCs w:val="28"/>
          <w:lang w:val="uk-UA"/>
        </w:rPr>
        <w:t>Новомосковськ та інші.</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Так</w:t>
      </w:r>
      <w:r w:rsidR="0039590E" w:rsidRPr="001B5DE3">
        <w:rPr>
          <w:rFonts w:ascii="Times New Roman" w:hAnsi="Times New Roman"/>
          <w:bCs/>
          <w:sz w:val="28"/>
          <w:szCs w:val="28"/>
          <w:lang w:val="uk-UA"/>
        </w:rPr>
        <w:t>ож для проведення реконструкції</w:t>
      </w:r>
      <w:r w:rsidRPr="001B5DE3">
        <w:rPr>
          <w:rFonts w:ascii="Times New Roman" w:hAnsi="Times New Roman"/>
          <w:bCs/>
          <w:sz w:val="28"/>
          <w:szCs w:val="28"/>
          <w:lang w:val="uk-UA"/>
        </w:rPr>
        <w:t xml:space="preserve"> знакового для Дніпропетровщини спортивного об’єкт</w:t>
      </w:r>
      <w:r w:rsidR="0039590E" w:rsidRPr="001B5DE3">
        <w:rPr>
          <w:rFonts w:ascii="Times New Roman" w:hAnsi="Times New Roman"/>
          <w:bCs/>
          <w:sz w:val="28"/>
          <w:szCs w:val="28"/>
          <w:lang w:val="uk-UA"/>
        </w:rPr>
        <w:t>а</w:t>
      </w:r>
      <w:r w:rsidRPr="001B5DE3">
        <w:rPr>
          <w:rFonts w:ascii="Times New Roman" w:hAnsi="Times New Roman"/>
          <w:bCs/>
          <w:sz w:val="28"/>
          <w:szCs w:val="28"/>
          <w:lang w:val="uk-UA"/>
        </w:rPr>
        <w:t xml:space="preserve"> – універсального видови</w:t>
      </w:r>
      <w:r w:rsidR="0039590E" w:rsidRPr="001B5DE3">
        <w:rPr>
          <w:rFonts w:ascii="Times New Roman" w:hAnsi="Times New Roman"/>
          <w:bCs/>
          <w:sz w:val="28"/>
          <w:szCs w:val="28"/>
          <w:lang w:val="uk-UA"/>
        </w:rPr>
        <w:t xml:space="preserve">щно-спортивного палацу “Метеор” – </w:t>
      </w:r>
      <w:r w:rsidRPr="001B5DE3">
        <w:rPr>
          <w:rFonts w:ascii="Times New Roman" w:hAnsi="Times New Roman"/>
          <w:bCs/>
          <w:sz w:val="28"/>
          <w:szCs w:val="28"/>
          <w:lang w:val="uk-UA"/>
        </w:rPr>
        <w:t>на розробку проєктно-кошторисної документації в обласному бюджеті</w:t>
      </w:r>
      <w:r w:rsidR="00DD10B7" w:rsidRPr="001B5DE3">
        <w:rPr>
          <w:rFonts w:ascii="Times New Roman" w:hAnsi="Times New Roman"/>
          <w:bCs/>
          <w:sz w:val="28"/>
          <w:szCs w:val="28"/>
          <w:lang w:val="uk-UA"/>
        </w:rPr>
        <w:t xml:space="preserve"> виділені видатки у сумі 10 млн</w:t>
      </w:r>
      <w:r w:rsidRPr="001B5DE3">
        <w:rPr>
          <w:rFonts w:ascii="Times New Roman" w:hAnsi="Times New Roman"/>
          <w:bCs/>
          <w:sz w:val="28"/>
          <w:szCs w:val="28"/>
          <w:lang w:val="uk-UA"/>
        </w:rPr>
        <w:t xml:space="preserve"> грн.</w:t>
      </w:r>
    </w:p>
    <w:p w:rsidR="00AA6D8E" w:rsidRPr="001B5DE3" w:rsidRDefault="00AA6D8E" w:rsidP="00513DF5">
      <w:pPr>
        <w:pStyle w:val="afc"/>
        <w:spacing w:line="252" w:lineRule="auto"/>
        <w:ind w:firstLine="709"/>
        <w:jc w:val="both"/>
        <w:rPr>
          <w:rFonts w:ascii="Times New Roman" w:hAnsi="Times New Roman"/>
          <w:bCs/>
          <w:sz w:val="28"/>
          <w:szCs w:val="28"/>
          <w:lang w:val="uk-UA"/>
        </w:rPr>
      </w:pPr>
      <w:r w:rsidRPr="001B5DE3">
        <w:rPr>
          <w:rFonts w:ascii="Times New Roman" w:hAnsi="Times New Roman"/>
          <w:bCs/>
          <w:sz w:val="28"/>
          <w:szCs w:val="28"/>
          <w:lang w:val="uk-UA"/>
        </w:rPr>
        <w:t xml:space="preserve">Протягом звітного періоду присвоєно звання: </w:t>
      </w:r>
      <w:r w:rsidRPr="001B5DE3">
        <w:rPr>
          <w:rFonts w:ascii="Times New Roman" w:hAnsi="Times New Roman"/>
          <w:sz w:val="28"/>
          <w:szCs w:val="28"/>
        </w:rPr>
        <w:t>1 спортсмену</w:t>
      </w:r>
      <w:r w:rsidRPr="001B5DE3">
        <w:rPr>
          <w:rFonts w:ascii="Times New Roman" w:hAnsi="Times New Roman"/>
          <w:bCs/>
          <w:sz w:val="28"/>
          <w:szCs w:val="28"/>
          <w:lang w:val="uk-UA"/>
        </w:rPr>
        <w:t xml:space="preserve"> –</w:t>
      </w:r>
      <w:r w:rsidR="00DD10B7" w:rsidRPr="001B5DE3">
        <w:rPr>
          <w:rFonts w:ascii="Times New Roman" w:hAnsi="Times New Roman"/>
          <w:bCs/>
          <w:sz w:val="28"/>
          <w:szCs w:val="28"/>
          <w:lang w:val="uk-UA"/>
        </w:rPr>
        <w:t xml:space="preserve"> </w:t>
      </w:r>
      <w:r w:rsidRPr="001B5DE3">
        <w:rPr>
          <w:rFonts w:ascii="Times New Roman" w:hAnsi="Times New Roman"/>
          <w:sz w:val="28"/>
          <w:szCs w:val="28"/>
        </w:rPr>
        <w:t xml:space="preserve">Заслужений </w:t>
      </w:r>
      <w:r w:rsidR="00DD10B7" w:rsidRPr="001B5DE3">
        <w:rPr>
          <w:rFonts w:ascii="Times New Roman" w:hAnsi="Times New Roman"/>
          <w:sz w:val="28"/>
          <w:szCs w:val="28"/>
          <w:lang w:val="uk-UA"/>
        </w:rPr>
        <w:t>м</w:t>
      </w:r>
      <w:r w:rsidRPr="001B5DE3">
        <w:rPr>
          <w:rFonts w:ascii="Times New Roman" w:hAnsi="Times New Roman"/>
          <w:sz w:val="28"/>
          <w:szCs w:val="28"/>
        </w:rPr>
        <w:t>айстер спорту України</w:t>
      </w:r>
      <w:r w:rsidRPr="001B5DE3">
        <w:rPr>
          <w:rFonts w:ascii="Times New Roman" w:hAnsi="Times New Roman"/>
          <w:sz w:val="28"/>
          <w:szCs w:val="28"/>
          <w:lang w:val="uk-UA"/>
        </w:rPr>
        <w:t xml:space="preserve">, </w:t>
      </w:r>
      <w:r w:rsidR="00DD10B7" w:rsidRPr="001B5DE3">
        <w:rPr>
          <w:rFonts w:ascii="Times New Roman" w:hAnsi="Times New Roman"/>
          <w:bCs/>
          <w:sz w:val="28"/>
          <w:szCs w:val="28"/>
          <w:lang w:val="uk-UA"/>
        </w:rPr>
        <w:t xml:space="preserve">4 спортсменам – </w:t>
      </w:r>
      <w:r w:rsidRPr="001B5DE3">
        <w:rPr>
          <w:rFonts w:ascii="Times New Roman" w:hAnsi="Times New Roman"/>
          <w:bCs/>
          <w:sz w:val="28"/>
          <w:szCs w:val="28"/>
          <w:lang w:val="uk-UA"/>
        </w:rPr>
        <w:t>Майстер сп</w:t>
      </w:r>
      <w:r w:rsidR="00DD10B7" w:rsidRPr="001B5DE3">
        <w:rPr>
          <w:rFonts w:ascii="Times New Roman" w:hAnsi="Times New Roman"/>
          <w:bCs/>
          <w:sz w:val="28"/>
          <w:szCs w:val="28"/>
          <w:lang w:val="uk-UA"/>
        </w:rPr>
        <w:t>орту України міжнародного класу, 85 спортсменам – Майстер спорту України</w:t>
      </w:r>
      <w:r w:rsidRPr="001B5DE3">
        <w:rPr>
          <w:rFonts w:ascii="Times New Roman" w:hAnsi="Times New Roman"/>
          <w:bCs/>
          <w:sz w:val="28"/>
          <w:szCs w:val="28"/>
          <w:lang w:val="uk-UA"/>
        </w:rPr>
        <w:t>,</w:t>
      </w:r>
      <w:r w:rsidR="00DD10B7" w:rsidRPr="001B5DE3">
        <w:rPr>
          <w:rFonts w:ascii="Times New Roman" w:hAnsi="Times New Roman"/>
          <w:bCs/>
          <w:sz w:val="28"/>
          <w:szCs w:val="28"/>
          <w:lang w:val="uk-UA"/>
        </w:rPr>
        <w:br/>
      </w:r>
      <w:r w:rsidRPr="001B5DE3">
        <w:rPr>
          <w:rFonts w:ascii="Times New Roman" w:hAnsi="Times New Roman"/>
          <w:bCs/>
          <w:sz w:val="28"/>
          <w:szCs w:val="28"/>
          <w:lang w:val="uk-UA"/>
        </w:rPr>
        <w:t>801 спортсмен</w:t>
      </w:r>
      <w:r w:rsidR="00DD10B7" w:rsidRPr="001B5DE3">
        <w:rPr>
          <w:rFonts w:ascii="Times New Roman" w:hAnsi="Times New Roman"/>
          <w:bCs/>
          <w:sz w:val="28"/>
          <w:szCs w:val="28"/>
          <w:lang w:val="uk-UA"/>
        </w:rPr>
        <w:t>у</w:t>
      </w:r>
      <w:r w:rsidR="008D25A0" w:rsidRPr="001B5DE3">
        <w:rPr>
          <w:rFonts w:ascii="Times New Roman" w:hAnsi="Times New Roman"/>
          <w:bCs/>
          <w:sz w:val="28"/>
          <w:szCs w:val="28"/>
          <w:lang w:val="uk-UA"/>
        </w:rPr>
        <w:t xml:space="preserve"> – </w:t>
      </w:r>
      <w:r w:rsidRPr="001B5DE3">
        <w:rPr>
          <w:rFonts w:ascii="Times New Roman" w:hAnsi="Times New Roman"/>
          <w:bCs/>
          <w:sz w:val="28"/>
          <w:szCs w:val="28"/>
          <w:lang w:val="uk-UA"/>
        </w:rPr>
        <w:t>Ка</w:t>
      </w:r>
      <w:r w:rsidR="008D25A0" w:rsidRPr="001B5DE3">
        <w:rPr>
          <w:rFonts w:ascii="Times New Roman" w:hAnsi="Times New Roman"/>
          <w:bCs/>
          <w:sz w:val="28"/>
          <w:szCs w:val="28"/>
          <w:lang w:val="uk-UA"/>
        </w:rPr>
        <w:t>ндидат у Майстри спорту України</w:t>
      </w:r>
      <w:r w:rsidRPr="001B5DE3">
        <w:rPr>
          <w:rFonts w:ascii="Times New Roman" w:hAnsi="Times New Roman"/>
          <w:bCs/>
          <w:sz w:val="28"/>
          <w:szCs w:val="28"/>
          <w:lang w:val="uk-UA"/>
        </w:rPr>
        <w:t>, 807 спортсменам присвоєно І розряд.</w:t>
      </w:r>
    </w:p>
    <w:p w:rsidR="00AA6D8E" w:rsidRPr="001B5DE3" w:rsidRDefault="00AA6D8E" w:rsidP="00513DF5">
      <w:pPr>
        <w:spacing w:after="0" w:line="252" w:lineRule="auto"/>
        <w:ind w:firstLine="709"/>
        <w:jc w:val="both"/>
        <w:rPr>
          <w:rFonts w:ascii="Times New Roman" w:hAnsi="Times New Roman" w:cs="Times New Roman"/>
          <w:bCs/>
          <w:sz w:val="28"/>
          <w:szCs w:val="28"/>
          <w:lang w:val="uk-UA"/>
        </w:rPr>
      </w:pPr>
      <w:r w:rsidRPr="001B5DE3">
        <w:rPr>
          <w:rFonts w:ascii="Times New Roman" w:hAnsi="Times New Roman" w:cs="Times New Roman"/>
          <w:sz w:val="28"/>
          <w:szCs w:val="28"/>
          <w:lang w:val="uk-UA"/>
        </w:rPr>
        <w:t xml:space="preserve">За </w:t>
      </w:r>
      <w:r w:rsidR="008D25A0" w:rsidRPr="001B5DE3">
        <w:rPr>
          <w:rFonts w:ascii="Times New Roman" w:hAnsi="Times New Roman" w:cs="Times New Roman"/>
          <w:sz w:val="28"/>
          <w:szCs w:val="28"/>
          <w:lang w:val="uk-UA"/>
        </w:rPr>
        <w:t xml:space="preserve">І </w:t>
      </w:r>
      <w:r w:rsidRPr="001B5DE3">
        <w:rPr>
          <w:rFonts w:ascii="Times New Roman" w:hAnsi="Times New Roman" w:cs="Times New Roman"/>
          <w:sz w:val="28"/>
          <w:szCs w:val="28"/>
          <w:lang w:val="uk-UA"/>
        </w:rPr>
        <w:t xml:space="preserve">півріччя 2021 року </w:t>
      </w:r>
      <w:r w:rsidRPr="001B5DE3">
        <w:rPr>
          <w:rFonts w:ascii="Times New Roman" w:hAnsi="Times New Roman" w:cs="Times New Roman"/>
          <w:bCs/>
          <w:sz w:val="28"/>
          <w:szCs w:val="28"/>
          <w:lang w:val="uk-UA"/>
        </w:rPr>
        <w:t>3 тренерам присвоєно звання “Заслужений тренер України”. Присвоєно 115 кваліфікаційних категорій тренерам-викладачам з видів спорту, з них: вищу – 29 тренерам-викладачам,</w:t>
      </w:r>
      <w:r w:rsidR="00CB13F2" w:rsidRPr="001B5DE3">
        <w:rPr>
          <w:rFonts w:ascii="Times New Roman" w:hAnsi="Times New Roman" w:cs="Times New Roman"/>
          <w:bCs/>
          <w:sz w:val="28"/>
          <w:szCs w:val="28"/>
          <w:lang w:val="uk-UA"/>
        </w:rPr>
        <w:t xml:space="preserve"> </w:t>
      </w:r>
      <w:r w:rsidRPr="001B5DE3">
        <w:rPr>
          <w:rFonts w:ascii="Times New Roman" w:hAnsi="Times New Roman" w:cs="Times New Roman"/>
          <w:bCs/>
          <w:sz w:val="28"/>
          <w:szCs w:val="28"/>
          <w:lang w:val="uk-UA"/>
        </w:rPr>
        <w:t xml:space="preserve">І – 32 тренерам-викладачам, ІІ – 54 тренерам-викладачам. </w:t>
      </w:r>
    </w:p>
    <w:p w:rsidR="00AA6D8E" w:rsidRPr="001B5DE3" w:rsidRDefault="00AA6D8E" w:rsidP="00513DF5">
      <w:pPr>
        <w:tabs>
          <w:tab w:val="left" w:pos="10206"/>
        </w:tabs>
        <w:spacing w:after="0" w:line="252" w:lineRule="auto"/>
        <w:ind w:firstLine="709"/>
        <w:jc w:val="both"/>
        <w:rPr>
          <w:rStyle w:val="rvts23"/>
          <w:rFonts w:ascii="Times New Roman" w:hAnsi="Times New Roman" w:cs="Times New Roman"/>
          <w:bCs/>
          <w:sz w:val="28"/>
          <w:szCs w:val="28"/>
          <w:lang w:val="uk-UA"/>
        </w:rPr>
      </w:pPr>
      <w:r w:rsidRPr="001B5DE3">
        <w:rPr>
          <w:rFonts w:ascii="Times New Roman" w:hAnsi="Times New Roman" w:cs="Times New Roman"/>
          <w:bCs/>
          <w:sz w:val="28"/>
          <w:szCs w:val="28"/>
          <w:lang w:val="uk-UA"/>
        </w:rPr>
        <w:t>Як підсумок збалансованої роботи всіх ланок фізкультурно-спортивного руху в регіоні всіма видами фізкультурно-оздоровчої та спортивної роботи охоплено 24,3% населення. Завдяки цим досягненням Дніпропетровщина знаходиться серед лідерів з фізкультурно-оздоровчої та спортивної роботи в Україні.</w:t>
      </w:r>
    </w:p>
    <w:bookmarkStart w:id="6" w:name="_MON_1682930281"/>
    <w:bookmarkEnd w:id="6"/>
    <w:p w:rsidR="00AA6D8E" w:rsidRPr="001B5DE3" w:rsidRDefault="00FD6FA1" w:rsidP="00AA6D8E">
      <w:pPr>
        <w:spacing w:after="0" w:line="240" w:lineRule="auto"/>
        <w:ind w:left="709"/>
        <w:jc w:val="center"/>
        <w:rPr>
          <w:rFonts w:ascii="Times New Roman" w:hAnsi="Times New Roman" w:cs="Times New Roman"/>
          <w:lang w:val="uk-UA"/>
        </w:rPr>
      </w:pPr>
      <w:r w:rsidRPr="001B5DE3">
        <w:rPr>
          <w:rFonts w:ascii="Times New Roman" w:hAnsi="Times New Roman" w:cs="Times New Roman"/>
          <w:bCs/>
          <w:lang w:val="uk-UA"/>
        </w:rPr>
        <w:object w:dxaOrig="6767" w:dyaOrig="3842">
          <v:shape id="_x0000_i1029" type="#_x0000_t75" style="width:339pt;height:151.5pt" o:ole="">
            <v:imagedata r:id="rId44" o:title=""/>
          </v:shape>
          <o:OLEObject Type="Embed" ProgID="Excel.Sheet.12" ShapeID="_x0000_i1029" DrawAspect="Content" ObjectID="_1693833405" r:id="rId45"/>
        </w:object>
      </w:r>
    </w:p>
    <w:p w:rsidR="00AA6D8E" w:rsidRPr="001B5DE3" w:rsidRDefault="00AA6D8E" w:rsidP="00AA6D8E">
      <w:pPr>
        <w:spacing w:after="0" w:line="240" w:lineRule="auto"/>
        <w:ind w:left="709"/>
        <w:rPr>
          <w:rFonts w:ascii="Times New Roman" w:hAnsi="Times New Roman" w:cs="Times New Roman"/>
          <w:b/>
          <w:lang w:val="uk-UA"/>
        </w:rPr>
      </w:pPr>
    </w:p>
    <w:p w:rsidR="00CC3037" w:rsidRPr="001B5DE3" w:rsidRDefault="00CC3037" w:rsidP="004F4048">
      <w:pPr>
        <w:pStyle w:val="af3"/>
        <w:spacing w:before="0" w:beforeAutospacing="0" w:after="0" w:afterAutospacing="0"/>
        <w:ind w:firstLine="709"/>
        <w:jc w:val="center"/>
        <w:rPr>
          <w:color w:val="auto"/>
          <w:sz w:val="2"/>
          <w:szCs w:val="2"/>
          <w:lang w:val="uk-UA"/>
        </w:rPr>
      </w:pPr>
      <w:bookmarkStart w:id="7" w:name="o37"/>
      <w:bookmarkEnd w:id="7"/>
    </w:p>
    <w:p w:rsidR="00CC3037" w:rsidRPr="001B5DE3" w:rsidRDefault="00CC3037" w:rsidP="008B77CF">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Науково-технічна та інноваційна діяльність</w:t>
      </w:r>
    </w:p>
    <w:p w:rsidR="00CC3037" w:rsidRPr="001B5DE3" w:rsidRDefault="00CC3037" w:rsidP="008B77CF">
      <w:pPr>
        <w:spacing w:after="0" w:line="240" w:lineRule="auto"/>
        <w:rPr>
          <w:rFonts w:ascii="Times New Roman" w:hAnsi="Times New Roman" w:cs="Times New Roman"/>
          <w:sz w:val="28"/>
          <w:szCs w:val="28"/>
          <w:lang w:val="uk-UA"/>
        </w:rPr>
      </w:pP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eastAsia="Calibri" w:hAnsi="Times New Roman" w:cs="Times New Roman"/>
          <w:sz w:val="28"/>
          <w:szCs w:val="28"/>
          <w:lang w:val="uk-UA" w:eastAsia="en-US"/>
        </w:rPr>
        <w:t xml:space="preserve">Для стимулювання наукової діяльності в регіоні систематично проводяться наукові, науково-практичні конференції, наради, круглі столи, видається науково-технічна продукція. У зв’язку з чинними карантинними обмеженнями заходи у 2021 року проводяться в онлайн-форматі. Так, за </w:t>
      </w:r>
      <w:r w:rsidRPr="001B5DE3">
        <w:rPr>
          <w:rFonts w:ascii="Times New Roman" w:hAnsi="Times New Roman" w:cs="Times New Roman"/>
          <w:sz w:val="28"/>
          <w:szCs w:val="28"/>
          <w:lang w:val="uk-UA"/>
        </w:rPr>
        <w:t>звітний період у регіоні проведено:</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протягом І кварталу 2021 року:</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20 січня в Національному технічному університеті “Дніпровська політехніка” – Міжнародна наукова конференція студентів і молодих вчених “Виклики міжнародного маркетингу і публічних фінансів в умовах глобальної пандемії”, яка відбулася в рамках циклу Студентський </w:t>
      </w:r>
      <w:r w:rsidR="00FE0C22" w:rsidRPr="001B5DE3">
        <w:rPr>
          <w:rFonts w:ascii="Times New Roman" w:hAnsi="Times New Roman" w:cs="Times New Roman"/>
          <w:sz w:val="28"/>
          <w:szCs w:val="28"/>
          <w:lang w:val="uk-UA"/>
        </w:rPr>
        <w:t>б</w:t>
      </w:r>
      <w:r w:rsidRPr="001B5DE3">
        <w:rPr>
          <w:rFonts w:ascii="Times New Roman" w:hAnsi="Times New Roman" w:cs="Times New Roman"/>
          <w:sz w:val="28"/>
          <w:szCs w:val="28"/>
          <w:lang w:val="uk-UA"/>
        </w:rPr>
        <w:t>ридж “Виклики публічних фінансів”;</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10 лютого в Комунальному закладі вищої освіти “Дніпровська академія неперервної освіти” Дніпропетровської обласної ради” – науково-практична конференція закладів загальної середньої освіти, учасників міжнародного проєкту “Демократична школа”;</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16 лютого у Вищому навчальному приватному закладі “Дніпровський гуманітарний</w:t>
      </w:r>
      <w:r w:rsidR="00FE0C22" w:rsidRPr="001B5DE3">
        <w:rPr>
          <w:rFonts w:ascii="Times New Roman" w:hAnsi="Times New Roman" w:cs="Times New Roman"/>
          <w:sz w:val="28"/>
          <w:szCs w:val="28"/>
          <w:lang w:val="uk-UA"/>
        </w:rPr>
        <w:t xml:space="preserve"> університет” – онлайн-зустріч </w:t>
      </w:r>
      <w:r w:rsidRPr="001B5DE3">
        <w:rPr>
          <w:rFonts w:ascii="Times New Roman" w:hAnsi="Times New Roman" w:cs="Times New Roman"/>
          <w:sz w:val="28"/>
          <w:szCs w:val="28"/>
          <w:lang w:val="uk-UA"/>
        </w:rPr>
        <w:t>з Чіома Окойо (Федеративна Республіка Нігерія) на тему: “Емоційний інтелект, особистий брендінг, корпоративна культура, публічні виступи і бізнес етикет”;</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24 лютого в Криворізькому національному університеті та в Криворізькому державному педагогічному університеті – регіональний науково-практичний семінар “Міжнародні та державні гранти й дослідницькі проєкти від ідеї до реалізації: практика, досвід, перспективи”;</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26 лютого у</w:t>
      </w:r>
      <w:r w:rsidR="00FE0C2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Дніпропетровському державному університеті внутрішніх справ – Міжнародна науково-практична конференція “Верховенство права: доктрина і практика в умовах сучасних світових викликів”;</w:t>
      </w:r>
    </w:p>
    <w:p w:rsidR="00497309" w:rsidRPr="001B5DE3" w:rsidRDefault="00497309" w:rsidP="00B96AB6">
      <w:pPr>
        <w:spacing w:after="0" w:line="252"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02 – 03 березня у Дніпровському державному аграрно-економічному університеті – IV Міжнародна науково-практична конференція “Фінанси, банківська система та страхування в Україні: стан, проблеми та перспективи розвитку в кризовій економіці”;</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03 березня у Дніпровському державному аграрно-економічному університеті – Міжнародна науково-практична конференція “Рослини та урбанізація”;</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11 – 12 березня у Вищому навчальному закладі</w:t>
      </w:r>
      <w:r w:rsidR="00FE0C2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“Університет імені Альфреда Нобеля” –</w:t>
      </w:r>
      <w:r w:rsidR="00FE0C2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перша Міжнародна конференція з міграційних та гендерних досліджень;</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12 березня у</w:t>
      </w:r>
      <w:r w:rsidR="00FE0C2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Дніпропетровському державному університеті внутрішніх справ – Міжнародна науково-практична конференція “Міжнародна та національна безпека: теоретичні та прикладні аспекти”, у Національному технічному університеті “Дніпровська політехніка” – зустріч освітян </w:t>
      </w:r>
      <w:r w:rsidRPr="001B5DE3">
        <w:rPr>
          <w:rFonts w:ascii="Times New Roman" w:hAnsi="Times New Roman" w:cs="Times New Roman"/>
          <w:sz w:val="28"/>
          <w:szCs w:val="28"/>
          <w:lang w:val="uk-UA"/>
        </w:rPr>
        <w:br/>
        <w:t>м. Дніпро з президентом Міжнародного фонду досліджень освітніх програм, професором Варшавського університету Тарасом Фініковим на тему: “Результати аналітичного дослідження стану розвитку системи внутрішнього забезпечення якості освіти в українських університетах (проведеного на замовлення ОБСЄ)”;</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17 березня у Комунальному закладі вищої освіти “Дніпровська академія неперервної освіти” Дніпропетровської обласної ради” – Всеукраїнська науково-практична конференція з міжнародною участю “Трансформація публічного управління освітою в умовах модернізації”, в Університеті митної справи та фінансів – круглий стіл на тему: “Шляхи співпраці Університету митної справи та фінансів та іноземних країн” за участю представників дипломатичних місій іноземних держав у м. Дніпро;</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18 березня у Національному технічному університеті “Дніпровська політехніка” – Міжнародна науков</w:t>
      </w:r>
      <w:r w:rsidR="00CA1D65" w:rsidRPr="001B5DE3">
        <w:rPr>
          <w:rFonts w:ascii="Times New Roman" w:hAnsi="Times New Roman" w:cs="Times New Roman"/>
          <w:sz w:val="28"/>
          <w:szCs w:val="28"/>
          <w:lang w:val="uk-UA"/>
        </w:rPr>
        <w:t xml:space="preserve">о-практична інтернет-конференція </w:t>
      </w:r>
      <w:r w:rsidRPr="001B5DE3">
        <w:rPr>
          <w:rFonts w:ascii="Times New Roman" w:hAnsi="Times New Roman" w:cs="Times New Roman"/>
          <w:sz w:val="28"/>
          <w:szCs w:val="28"/>
          <w:lang w:val="uk-UA"/>
        </w:rPr>
        <w:t>“Правова освіта та наука в умовах євроінтеграції”;</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22 березня у Вищому навчальному закладі “Університет імені Альфреда Нобеля” – IV Міжнародна науково-практична конференція “Проблеми та перспективи сучасного розвитку фінансів, обліку та банківської діяльності”;</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23 березня у Вищому навчальному закладі “Університет імені Альфреда Нобеля” – XII Міжнародна науково-практична конференція студентів і науковців “Психологія у сучасному вимірі”;</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25 березня у</w:t>
      </w:r>
      <w:r w:rsidR="00FE0C22"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Дніпропетровському державному університеті внутрішніх справ – міжнародний круглий стіл на тему: “Україна – Греція: особливості регіонального розвитку та міжкультурної комунікації”, у Вищому навчальному закладі “Університет імені Альфреда Нобеля” – XII Міжнародна науково-практична інтернет-конференція молодих вчених та студентів “Формування механізмів управління якістю та підвищення конкурентоспроможності підприємств”;</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29 березня в Дніпровському національному університеті залізничного транспорту імені академіка В. Лазаряна – Всеукраїнська науково-технічна конференція молодих учених, магістрантів та студентів “Науково-технічний прогрес на транспорті”;</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30 березня у Національному технічному університеті “Дніпровська політехніка” – семінар Національного експерта Еразмус+ (HERE team) “Інтернаціоналізація вищої освіти: поєднуємо глобальне та локальне”;</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протягом ІІ кварталу 2021 року:</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02 квітня у Вищому навчальному закладі “Університет імені Альфреда Нобеля” – II Міжнародна науково-практична конференція студентів, аспірантів та науковців “Сучасна вища освіта: перспективні та пріоритетні напрями наукових досліджень” (онлайн-формат);</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09 – 10 квітня у</w:t>
      </w:r>
      <w:r w:rsidR="0047003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Дніпропетровському державному університеті внутрішніх справ – Міжнародний семінар-тренінг “Використання сучасних технологій у тактичній і вогневій підготовці сил безпеки України” в рамках програми Республіки Болгарія “Допомога з метою розвитку”;</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12 – 19 квітня в Державному університеті економіки і технологій – </w:t>
      </w:r>
      <w:r w:rsidRPr="001B5DE3">
        <w:rPr>
          <w:rFonts w:ascii="Times New Roman" w:hAnsi="Times New Roman" w:cs="Times New Roman"/>
          <w:sz w:val="28"/>
          <w:szCs w:val="28"/>
          <w:lang w:val="uk-UA"/>
        </w:rPr>
        <w:br/>
        <w:t>ІV Міжнародний науковий конгрес “Суспільство штучного інтелекту”;</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14 квітня у Вищому навчальному закладі “Університет імені Альфреда Нобеля” – VII Міжнародна науково-практична конференція молодих вчених та студентів “Сучасний менеджмент: тенденції, проблеми та перспективи розвитку” (онлайн-формат);</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14 – 16 квітня в Університеті митної справи та фінансів – ІІ Міжнародна наукова конференція “Інноваційні технології, моделі управління кібербезпекою”;</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15 квітня у Вищому навчальному закладі “Університет імені Альфреда Нобеля” – VII</w:t>
      </w:r>
      <w:r w:rsidRPr="001B5DE3">
        <w:rPr>
          <w:rFonts w:ascii="Times New Roman" w:hAnsi="Times New Roman" w:cs="Times New Roman"/>
          <w:lang w:val="uk-UA"/>
        </w:rPr>
        <w:t> </w:t>
      </w:r>
      <w:r w:rsidRPr="001B5DE3">
        <w:rPr>
          <w:rFonts w:ascii="Times New Roman" w:hAnsi="Times New Roman" w:cs="Times New Roman"/>
          <w:sz w:val="28"/>
          <w:szCs w:val="28"/>
          <w:lang w:val="uk-UA"/>
        </w:rPr>
        <w:t>Міжнародна науково-практична конференція “Молодь України у контексті міжкультурної комунікації”, у</w:t>
      </w:r>
      <w:r w:rsidR="0047003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Дніпропетровському державному університеті внутрішніх справ – ІІІ Всеукраїнськ</w:t>
      </w:r>
      <w:r w:rsidR="00470035"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англомовн</w:t>
      </w:r>
      <w:r w:rsidR="00470035" w:rsidRPr="001B5DE3">
        <w:rPr>
          <w:rFonts w:ascii="Times New Roman" w:hAnsi="Times New Roman" w:cs="Times New Roman"/>
          <w:sz w:val="28"/>
          <w:szCs w:val="28"/>
          <w:lang w:val="uk-UA"/>
        </w:rPr>
        <w:t>а науково-практична</w:t>
      </w:r>
      <w:r w:rsidRPr="001B5DE3">
        <w:rPr>
          <w:rFonts w:ascii="Times New Roman" w:hAnsi="Times New Roman" w:cs="Times New Roman"/>
          <w:sz w:val="28"/>
          <w:szCs w:val="28"/>
          <w:lang w:val="uk-UA"/>
        </w:rPr>
        <w:t xml:space="preserve"> конференці</w:t>
      </w:r>
      <w:r w:rsidR="00470035" w:rsidRPr="001B5DE3">
        <w:rPr>
          <w:rFonts w:ascii="Times New Roman" w:hAnsi="Times New Roman" w:cs="Times New Roman"/>
          <w:sz w:val="28"/>
          <w:szCs w:val="28"/>
          <w:lang w:val="uk-UA"/>
        </w:rPr>
        <w:t>я</w:t>
      </w:r>
      <w:r w:rsidRPr="001B5DE3">
        <w:rPr>
          <w:rFonts w:ascii="Times New Roman" w:hAnsi="Times New Roman" w:cs="Times New Roman"/>
          <w:sz w:val="28"/>
          <w:szCs w:val="28"/>
          <w:lang w:val="uk-UA"/>
        </w:rPr>
        <w:t xml:space="preserve"> здобувачів вищої освіти “Молодь і світова співпраця”;</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15 – 16 квітня в Дніпровському національному університеті імені</w:t>
      </w:r>
      <w:r w:rsidR="0047003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Олеся Гончара – Х Міжнародна наукова конференція “Лексико-граматичні інновації в сучасних слов’янських мовах”;</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16 квітня в Університеті митної справи та фінансів – Міжнародна науково-практична інтернет-конференція “Інноваційні рішення в економіці, бізнесі, суспільних комунікаціях та міжнародних відносинах”, у</w:t>
      </w:r>
      <w:r w:rsidR="00470035"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 xml:space="preserve">Дніпропетровському державному університеті внутрішніх справ – </w:t>
      </w:r>
      <w:r w:rsidRPr="001B5DE3">
        <w:rPr>
          <w:rFonts w:ascii="Times New Roman" w:hAnsi="Times New Roman" w:cs="Times New Roman"/>
          <w:sz w:val="28"/>
          <w:lang w:val="uk-UA"/>
        </w:rPr>
        <w:t>науково-практичний семінар “Показники публікаційної активності вченого: корисні поради для тих, хто впевнений, що все знає”</w:t>
      </w:r>
      <w:r w:rsidR="00470035" w:rsidRPr="001B5DE3">
        <w:rPr>
          <w:rFonts w:ascii="Times New Roman" w:hAnsi="Times New Roman" w:cs="Times New Roman"/>
          <w:sz w:val="28"/>
          <w:lang w:val="uk-UA"/>
        </w:rPr>
        <w:t xml:space="preserve"> </w:t>
      </w:r>
      <w:r w:rsidRPr="001B5DE3">
        <w:rPr>
          <w:rFonts w:ascii="Times New Roman" w:hAnsi="Times New Roman" w:cs="Times New Roman"/>
          <w:sz w:val="28"/>
          <w:szCs w:val="28"/>
          <w:lang w:val="uk-UA"/>
        </w:rPr>
        <w:t>та к</w:t>
      </w:r>
      <w:r w:rsidRPr="001B5DE3">
        <w:rPr>
          <w:rFonts w:ascii="Times New Roman" w:hAnsi="Times New Roman" w:cs="Times New Roman"/>
          <w:sz w:val="28"/>
          <w:lang w:val="uk-UA"/>
        </w:rPr>
        <w:t xml:space="preserve">руглий стіл “Молоді лідери: </w:t>
      </w:r>
      <w:r w:rsidRPr="001B5DE3">
        <w:rPr>
          <w:rFonts w:ascii="Times New Roman" w:hAnsi="Times New Roman" w:cs="Times New Roman"/>
          <w:sz w:val="28"/>
          <w:lang w:val="uk-UA"/>
        </w:rPr>
        <w:br/>
        <w:t>8 кроків до лідерства в часи змін”, при</w:t>
      </w:r>
      <w:r w:rsidR="00470035" w:rsidRPr="001B5DE3">
        <w:rPr>
          <w:rFonts w:ascii="Times New Roman" w:hAnsi="Times New Roman" w:cs="Times New Roman"/>
          <w:sz w:val="28"/>
          <w:lang w:val="uk-UA"/>
        </w:rPr>
        <w:t xml:space="preserve">свячені 55 </w:t>
      </w:r>
      <w:r w:rsidRPr="001B5DE3">
        <w:rPr>
          <w:rFonts w:ascii="Times New Roman" w:hAnsi="Times New Roman" w:cs="Times New Roman"/>
          <w:sz w:val="28"/>
          <w:lang w:val="uk-UA"/>
        </w:rPr>
        <w:t>річниці з дня заснування Дніпропетровського державного університету внутрішніх справ;</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20 – 21 квітня у Вищому навчальному закладі “Університет імені Альфреда Нобеля” –</w:t>
      </w:r>
      <w:r w:rsidR="00D0424C" w:rsidRPr="001B5DE3">
        <w:rPr>
          <w:rFonts w:ascii="Times New Roman" w:hAnsi="Times New Roman" w:cs="Times New Roman"/>
          <w:sz w:val="28"/>
          <w:szCs w:val="28"/>
          <w:lang w:val="uk-UA"/>
        </w:rPr>
        <w:t xml:space="preserve"> </w:t>
      </w:r>
      <w:r w:rsidRPr="001B5DE3">
        <w:rPr>
          <w:rFonts w:ascii="Times New Roman" w:hAnsi="Times New Roman" w:cs="Times New Roman"/>
          <w:sz w:val="28"/>
          <w:szCs w:val="28"/>
          <w:lang w:val="uk-UA"/>
        </w:rPr>
        <w:t>XXX Міжнародна науково-практична конференція “Трансформація економічних систем та інститутів у нових геостратегічних реаліях” (онлайн-формат);</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21 квітня у </w:t>
      </w:r>
      <w:r w:rsidR="00D0424C"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омунальному закладі вищої освіти “Дніпровська академія неперервної освіти” Дніпропетровської обласної ради” – ІІ Всеукраїнська науково-практична конференція з міжнародною участю “Актуальні питання соціально-гуманітарної середньої та вищої освіти”;</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22 – 23 квітня в Дніпровському національному університеті залізничного транспорту імені академіка В. Лазаряна – 81-а Міжнародна науково-практична конференція “Проблеми та перспективи розвитку залізничного транспорту”;</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27 – 29 квітня в Криворізькому національному університеті – Міжнародна науково-технічна конференція молодих вчених і студентів “Проблеми прикладної механіки, енергозбереження та механізації в гірничо-металургійному комплексі”;</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29 – 30 квітня у </w:t>
      </w:r>
      <w:r w:rsidR="00D0424C" w:rsidRPr="001B5DE3">
        <w:rPr>
          <w:rFonts w:ascii="Times New Roman" w:hAnsi="Times New Roman" w:cs="Times New Roman"/>
          <w:sz w:val="28"/>
          <w:szCs w:val="28"/>
          <w:lang w:val="uk-UA"/>
        </w:rPr>
        <w:t>К</w:t>
      </w:r>
      <w:r w:rsidRPr="001B5DE3">
        <w:rPr>
          <w:rFonts w:ascii="Times New Roman" w:hAnsi="Times New Roman" w:cs="Times New Roman"/>
          <w:sz w:val="28"/>
          <w:szCs w:val="28"/>
          <w:lang w:val="uk-UA"/>
        </w:rPr>
        <w:t xml:space="preserve">омунальному закладі вищої освіти “Дніпровська академія неперервної освіти” Дніпропетровської обласної ради” – </w:t>
      </w:r>
      <w:r w:rsidR="00D0424C" w:rsidRPr="001B5DE3">
        <w:rPr>
          <w:rFonts w:ascii="Times New Roman" w:hAnsi="Times New Roman" w:cs="Times New Roman"/>
          <w:sz w:val="28"/>
          <w:szCs w:val="28"/>
          <w:lang w:val="uk-UA"/>
        </w:rPr>
        <w:br/>
      </w:r>
      <w:r w:rsidRPr="001B5DE3">
        <w:rPr>
          <w:rFonts w:ascii="Times New Roman" w:hAnsi="Times New Roman" w:cs="Times New Roman"/>
          <w:sz w:val="28"/>
          <w:szCs w:val="28"/>
          <w:lang w:val="uk-UA"/>
        </w:rPr>
        <w:t>ІІІ Міжнародна науково-практична конференція “Філософсько-світоглядні та культурологічні контексти неперервної освіта” та обласний науково-практичний семінар “Інтегрований освітній простір в інтересах сталого розвитку: зміст та перспективи становлення”;</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30 квітня у Дніпропетровському державному університеті внутрішніх справ – регіональний науково-практичний семінар: “Національна економіка та інфраструктурні проєкти” та Всеукраїнська науково-практична конференція “Соціально-гуманітарні виміри правової держави”;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12 травня у Вищому навчальному закладі “Університет імені Альфреда Нобеля” – Міжнародний семінар за темою “Європейські стандарти якості вищої освіти у контексті проходження міжнародної акредитації”, у Національному технічному університеті “Дніпровська політехніка” – І Міжнародна науково-практична інтернет-конференція “Туризм в умовах невизначеності: від теорії до практики”;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13 травня в Дніпровському національному університеті залізничного транспорту імені академіка В. Лазаряна – XX Міжнародна студентська наукова конференція “Інженер III тисячоліття”;</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19 травня в Державному вищому навчальному закладі “Український державний хіміко-технологічний університет” – </w:t>
      </w:r>
      <w:r w:rsidRPr="001B5DE3">
        <w:rPr>
          <w:rFonts w:ascii="Times New Roman" w:hAnsi="Times New Roman" w:cs="Times New Roman"/>
          <w:sz w:val="28"/>
          <w:szCs w:val="28"/>
          <w:lang w:val="en-US"/>
        </w:rPr>
        <w:t>V</w:t>
      </w:r>
      <w:r w:rsidRPr="001B5DE3">
        <w:rPr>
          <w:rFonts w:ascii="Times New Roman" w:hAnsi="Times New Roman" w:cs="Times New Roman"/>
          <w:sz w:val="28"/>
          <w:szCs w:val="28"/>
          <w:lang w:val="uk-UA"/>
        </w:rPr>
        <w:t xml:space="preserve"> Міжнародн</w:t>
      </w:r>
      <w:r w:rsidR="00D0424C"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інтернет-конференці</w:t>
      </w:r>
      <w:r w:rsidR="00D0424C" w:rsidRPr="001B5DE3">
        <w:rPr>
          <w:rFonts w:ascii="Times New Roman" w:hAnsi="Times New Roman" w:cs="Times New Roman"/>
          <w:sz w:val="28"/>
          <w:szCs w:val="28"/>
          <w:lang w:val="uk-UA"/>
        </w:rPr>
        <w:t>я</w:t>
      </w:r>
      <w:r w:rsidRPr="001B5DE3">
        <w:rPr>
          <w:rFonts w:ascii="Times New Roman" w:hAnsi="Times New Roman" w:cs="Times New Roman"/>
          <w:sz w:val="28"/>
          <w:szCs w:val="28"/>
          <w:lang w:val="uk-UA"/>
        </w:rPr>
        <w:t xml:space="preserve"> здобувачів вищої освіти і молодих вчених “Україна-світ: діалог культур”, присвячен</w:t>
      </w:r>
      <w:r w:rsidR="00964DE3"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25-ій річниці Конституції Укр</w:t>
      </w:r>
      <w:r w:rsidR="00F301D2"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їни та круглий стіл здобувачів вищої освіти і молодих вчених “Формування сучасного європейського конституціалізму в Україні: досвід, проблеми, перспективи”;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10 че</w:t>
      </w:r>
      <w:r w:rsidR="00611F21" w:rsidRPr="001B5DE3">
        <w:rPr>
          <w:rFonts w:ascii="Times New Roman" w:hAnsi="Times New Roman" w:cs="Times New Roman"/>
          <w:sz w:val="28"/>
          <w:szCs w:val="28"/>
          <w:lang w:val="uk-UA"/>
        </w:rPr>
        <w:t>р</w:t>
      </w:r>
      <w:r w:rsidRPr="001B5DE3">
        <w:rPr>
          <w:rFonts w:ascii="Times New Roman" w:hAnsi="Times New Roman" w:cs="Times New Roman"/>
          <w:sz w:val="28"/>
          <w:szCs w:val="28"/>
          <w:lang w:val="uk-UA"/>
        </w:rPr>
        <w:t xml:space="preserve">вня в </w:t>
      </w:r>
      <w:r w:rsidR="00611F21" w:rsidRPr="001B5DE3">
        <w:rPr>
          <w:rFonts w:ascii="Times New Roman" w:hAnsi="Times New Roman" w:cs="Times New Roman"/>
          <w:sz w:val="28"/>
          <w:szCs w:val="28"/>
          <w:lang w:val="uk-UA"/>
        </w:rPr>
        <w:t>У</w:t>
      </w:r>
      <w:r w:rsidRPr="001B5DE3">
        <w:rPr>
          <w:rFonts w:ascii="Times New Roman" w:hAnsi="Times New Roman" w:cs="Times New Roman"/>
          <w:sz w:val="28"/>
          <w:szCs w:val="28"/>
          <w:lang w:val="uk-UA"/>
        </w:rPr>
        <w:t>ніверситеті митної справи та фінансів – відкриття експозиції “Валюти та монети країн світу”, яка прикрасила фінансовий факультет та круглий стіл “Актуальні питання розвитку банківської системи України”;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10 – 11 червня у Дніпропетровському державному університеті внутрішніх справ – Міжнародн</w:t>
      </w:r>
      <w:r w:rsidR="00611F21"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науково-практичн</w:t>
      </w:r>
      <w:r w:rsidR="00B20C5F"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конференці</w:t>
      </w:r>
      <w:r w:rsidR="00B20C5F" w:rsidRPr="001B5DE3">
        <w:rPr>
          <w:rFonts w:ascii="Times New Roman" w:hAnsi="Times New Roman" w:cs="Times New Roman"/>
          <w:sz w:val="28"/>
          <w:szCs w:val="28"/>
          <w:lang w:val="uk-UA"/>
        </w:rPr>
        <w:t>я</w:t>
      </w:r>
      <w:r w:rsidRPr="001B5DE3">
        <w:rPr>
          <w:rFonts w:ascii="Times New Roman" w:hAnsi="Times New Roman" w:cs="Times New Roman"/>
          <w:sz w:val="28"/>
          <w:szCs w:val="28"/>
          <w:lang w:val="uk-UA"/>
        </w:rPr>
        <w:t xml:space="preserve"> “Забезепечення рівних прав та можливостей жінок і чоловіків в Україні: сучасні досягнення та перспективи”, присвячен</w:t>
      </w:r>
      <w:r w:rsidR="00B20C5F" w:rsidRPr="001B5DE3">
        <w:rPr>
          <w:rFonts w:ascii="Times New Roman" w:hAnsi="Times New Roman" w:cs="Times New Roman"/>
          <w:sz w:val="28"/>
          <w:szCs w:val="28"/>
          <w:lang w:val="uk-UA"/>
        </w:rPr>
        <w:t>а</w:t>
      </w:r>
      <w:r w:rsidRPr="001B5DE3">
        <w:rPr>
          <w:rFonts w:ascii="Times New Roman" w:hAnsi="Times New Roman" w:cs="Times New Roman"/>
          <w:sz w:val="28"/>
          <w:szCs w:val="28"/>
          <w:lang w:val="uk-UA"/>
        </w:rPr>
        <w:t xml:space="preserve"> 25-й річниці з дня прийняття Конституції України та 30-річчю </w:t>
      </w:r>
      <w:r w:rsidR="00B20C5F" w:rsidRPr="001B5DE3">
        <w:rPr>
          <w:rFonts w:ascii="Times New Roman" w:hAnsi="Times New Roman" w:cs="Times New Roman"/>
          <w:sz w:val="28"/>
          <w:szCs w:val="28"/>
          <w:lang w:val="uk-UA"/>
        </w:rPr>
        <w:t>н</w:t>
      </w:r>
      <w:r w:rsidRPr="001B5DE3">
        <w:rPr>
          <w:rFonts w:ascii="Times New Roman" w:hAnsi="Times New Roman" w:cs="Times New Roman"/>
          <w:sz w:val="28"/>
          <w:szCs w:val="28"/>
          <w:lang w:val="uk-UA"/>
        </w:rPr>
        <w:t>езалежності України.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23 червня у Дніпропетровському державному університеті внутрішніх справ – круглий стіл “Державно-громадське партнерство у формуванні та реалізації публічної політики”.</w:t>
      </w:r>
    </w:p>
    <w:p w:rsidR="00497309" w:rsidRPr="001B5DE3" w:rsidRDefault="00497309" w:rsidP="00B96AB6">
      <w:pPr>
        <w:spacing w:after="0" w:line="245"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Крім того, науковці області мають значні здобутки, отримують гранти на виконання наукових досліджень, відзначаються державними нагородами в галузі науки і техніки.</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lastRenderedPageBreak/>
        <w:t xml:space="preserve">Відповідно до </w:t>
      </w:r>
      <w:r w:rsidR="00B20C5F" w:rsidRPr="001B5DE3">
        <w:rPr>
          <w:rFonts w:ascii="Times New Roman" w:hAnsi="Times New Roman" w:cs="Times New Roman"/>
          <w:sz w:val="28"/>
          <w:szCs w:val="28"/>
          <w:lang w:val="uk-UA"/>
        </w:rPr>
        <w:t>п</w:t>
      </w:r>
      <w:r w:rsidRPr="001B5DE3">
        <w:rPr>
          <w:rFonts w:ascii="Times New Roman" w:hAnsi="Times New Roman" w:cs="Times New Roman"/>
          <w:sz w:val="28"/>
          <w:szCs w:val="28"/>
          <w:lang w:val="uk-UA"/>
        </w:rPr>
        <w:t xml:space="preserve">останови президії Комітету з Державних премій України в галузі науки і техніки від 29 квітня 2021 року № 1 “Про призначення стипендій Президента України та Кабінету Міністрів України для молодих вчених” 31 молодому вченому Дніпропетровської області призначено та продовжено виплату стипендій Кабінету Міністрів України для молодих вчених. </w:t>
      </w:r>
    </w:p>
    <w:p w:rsidR="00497309" w:rsidRPr="001B5DE3" w:rsidRDefault="00497309" w:rsidP="00B96AB6">
      <w:pPr>
        <w:spacing w:after="0" w:line="240" w:lineRule="auto"/>
        <w:ind w:firstLine="709"/>
        <w:jc w:val="both"/>
        <w:rPr>
          <w:rFonts w:ascii="Times New Roman" w:hAnsi="Times New Roman" w:cs="Times New Roman"/>
          <w:sz w:val="28"/>
          <w:szCs w:val="28"/>
          <w:lang w:val="uk-UA"/>
        </w:rPr>
      </w:pPr>
      <w:r w:rsidRPr="001B5DE3">
        <w:rPr>
          <w:rFonts w:ascii="Times New Roman" w:hAnsi="Times New Roman" w:cs="Times New Roman"/>
          <w:sz w:val="28"/>
          <w:szCs w:val="28"/>
          <w:lang w:val="uk-UA"/>
        </w:rPr>
        <w:t xml:space="preserve">Також студенти та науковий склад закладів вищої освіти області постійно беруть участь у різноманітних наукових конкурсах міжнародного рівня, наукових хакатонах, стажуються у провідних навчальних закладах країн Європейського Союзу, зокрема Франції, Італії, Німеччини, Іспанії, Швеції, Польщі, а також інших країн світу, зокрема Бразилії, Китаю тощо. </w:t>
      </w:r>
    </w:p>
    <w:p w:rsidR="00497309" w:rsidRPr="001B5DE3" w:rsidRDefault="00497309" w:rsidP="008B77CF">
      <w:pPr>
        <w:spacing w:after="0" w:line="240" w:lineRule="auto"/>
        <w:jc w:val="both"/>
        <w:rPr>
          <w:rFonts w:ascii="Times New Roman" w:hAnsi="Times New Roman" w:cs="Times New Roman"/>
          <w:sz w:val="28"/>
          <w:szCs w:val="28"/>
          <w:lang w:val="uk-UA"/>
        </w:rPr>
      </w:pPr>
    </w:p>
    <w:p w:rsidR="00CC3037" w:rsidRPr="001B5DE3" w:rsidRDefault="00CC3037" w:rsidP="008B77CF">
      <w:pPr>
        <w:spacing w:after="0" w:line="240" w:lineRule="auto"/>
        <w:rPr>
          <w:rFonts w:ascii="Times New Roman" w:hAnsi="Times New Roman" w:cs="Times New Roman"/>
          <w:b/>
          <w:sz w:val="28"/>
          <w:szCs w:val="28"/>
          <w:lang w:val="uk-UA"/>
        </w:rPr>
      </w:pPr>
      <w:r w:rsidRPr="001B5DE3">
        <w:rPr>
          <w:rFonts w:ascii="Times New Roman" w:hAnsi="Times New Roman" w:cs="Times New Roman"/>
          <w:b/>
          <w:sz w:val="28"/>
          <w:szCs w:val="28"/>
          <w:lang w:val="uk-UA"/>
        </w:rPr>
        <w:t>Розвиток громад</w:t>
      </w:r>
    </w:p>
    <w:p w:rsidR="00CC3037" w:rsidRPr="001B5DE3" w:rsidRDefault="00CC3037" w:rsidP="008B77CF">
      <w:pPr>
        <w:spacing w:after="0" w:line="240" w:lineRule="auto"/>
        <w:rPr>
          <w:rFonts w:ascii="Times New Roman" w:hAnsi="Times New Roman" w:cs="Times New Roman"/>
          <w:sz w:val="28"/>
          <w:szCs w:val="28"/>
          <w:lang w:val="uk-UA"/>
        </w:rPr>
      </w:pPr>
    </w:p>
    <w:p w:rsidR="00CC3037" w:rsidRPr="001B5DE3" w:rsidRDefault="00CC3037" w:rsidP="00B87054">
      <w:pPr>
        <w:tabs>
          <w:tab w:val="left" w:pos="-4440"/>
        </w:tabs>
        <w:suppressAutoHyphens/>
        <w:spacing w:after="0" w:line="240" w:lineRule="auto"/>
        <w:ind w:firstLine="709"/>
        <w:jc w:val="both"/>
        <w:rPr>
          <w:rFonts w:ascii="Times New Roman" w:hAnsi="Times New Roman" w:cs="Times New Roman"/>
          <w:sz w:val="28"/>
          <w:szCs w:val="28"/>
          <w:lang w:val="uk-UA" w:eastAsia="ar-SA"/>
        </w:rPr>
      </w:pPr>
      <w:r w:rsidRPr="001B5DE3">
        <w:rPr>
          <w:rFonts w:ascii="Times New Roman" w:hAnsi="Times New Roman" w:cs="Times New Roman"/>
          <w:sz w:val="28"/>
          <w:szCs w:val="28"/>
          <w:lang w:val="uk-UA" w:eastAsia="ar-SA"/>
        </w:rPr>
        <w:t xml:space="preserve">У Дніпропетровській області відповідно до постанови Верховної Ради України від 17 липня 2020 року № 807-IX </w:t>
      </w:r>
      <w:r w:rsidR="002D4C49" w:rsidRPr="001B5DE3">
        <w:rPr>
          <w:rFonts w:ascii="Times New Roman" w:hAnsi="Times New Roman" w:cs="Times New Roman"/>
          <w:sz w:val="28"/>
          <w:szCs w:val="28"/>
          <w:lang w:val="uk-UA" w:eastAsia="ar-SA"/>
        </w:rPr>
        <w:t>“</w:t>
      </w:r>
      <w:bookmarkStart w:id="8" w:name="n205"/>
      <w:bookmarkEnd w:id="8"/>
      <w:r w:rsidR="002D4C49" w:rsidRPr="001B5DE3">
        <w:rPr>
          <w:rFonts w:ascii="Times New Roman" w:hAnsi="Times New Roman" w:cs="Times New Roman"/>
          <w:sz w:val="28"/>
          <w:szCs w:val="28"/>
          <w:lang w:val="uk-UA" w:eastAsia="ar-SA"/>
        </w:rPr>
        <w:t xml:space="preserve">Про утворення та ліквідацію районів” </w:t>
      </w:r>
      <w:r w:rsidRPr="001B5DE3">
        <w:rPr>
          <w:rFonts w:ascii="Times New Roman" w:hAnsi="Times New Roman" w:cs="Times New Roman"/>
          <w:sz w:val="28"/>
          <w:szCs w:val="28"/>
          <w:lang w:val="uk-UA" w:eastAsia="ar-SA"/>
        </w:rPr>
        <w:t xml:space="preserve">утворено 7 районів: Дніпровський, </w:t>
      </w:r>
      <w:bookmarkStart w:id="9" w:name="n30"/>
      <w:bookmarkEnd w:id="9"/>
      <w:r w:rsidRPr="001B5DE3">
        <w:rPr>
          <w:rFonts w:ascii="Times New Roman" w:hAnsi="Times New Roman" w:cs="Times New Roman"/>
          <w:sz w:val="28"/>
          <w:szCs w:val="28"/>
          <w:lang w:val="uk-UA" w:eastAsia="ar-SA"/>
        </w:rPr>
        <w:t xml:space="preserve">Кам’янський, </w:t>
      </w:r>
      <w:bookmarkStart w:id="10" w:name="n31"/>
      <w:bookmarkEnd w:id="10"/>
      <w:r w:rsidRPr="001B5DE3">
        <w:rPr>
          <w:rFonts w:ascii="Times New Roman" w:hAnsi="Times New Roman" w:cs="Times New Roman"/>
          <w:sz w:val="28"/>
          <w:szCs w:val="28"/>
          <w:lang w:val="uk-UA" w:eastAsia="ar-SA"/>
        </w:rPr>
        <w:t xml:space="preserve">Криворізький, </w:t>
      </w:r>
      <w:bookmarkStart w:id="11" w:name="n32"/>
      <w:bookmarkEnd w:id="11"/>
      <w:r w:rsidRPr="001B5DE3">
        <w:rPr>
          <w:rFonts w:ascii="Times New Roman" w:hAnsi="Times New Roman" w:cs="Times New Roman"/>
          <w:sz w:val="28"/>
          <w:szCs w:val="28"/>
          <w:lang w:val="uk-UA" w:eastAsia="ar-SA"/>
        </w:rPr>
        <w:t>Нікопольський</w:t>
      </w:r>
      <w:bookmarkStart w:id="12" w:name="n33"/>
      <w:bookmarkEnd w:id="12"/>
      <w:r w:rsidRPr="001B5DE3">
        <w:rPr>
          <w:rFonts w:ascii="Times New Roman" w:hAnsi="Times New Roman" w:cs="Times New Roman"/>
          <w:sz w:val="28"/>
          <w:szCs w:val="28"/>
          <w:lang w:val="uk-UA" w:eastAsia="ar-SA"/>
        </w:rPr>
        <w:t>, Новомосковський</w:t>
      </w:r>
      <w:bookmarkStart w:id="13" w:name="n34"/>
      <w:bookmarkEnd w:id="13"/>
      <w:r w:rsidRPr="001B5DE3">
        <w:rPr>
          <w:rFonts w:ascii="Times New Roman" w:hAnsi="Times New Roman" w:cs="Times New Roman"/>
          <w:sz w:val="28"/>
          <w:szCs w:val="28"/>
          <w:lang w:val="uk-UA" w:eastAsia="ar-SA"/>
        </w:rPr>
        <w:t>, Павлоградський</w:t>
      </w:r>
      <w:bookmarkStart w:id="14" w:name="n35"/>
      <w:bookmarkEnd w:id="14"/>
      <w:r w:rsidRPr="001B5DE3">
        <w:rPr>
          <w:rFonts w:ascii="Times New Roman" w:hAnsi="Times New Roman" w:cs="Times New Roman"/>
          <w:sz w:val="28"/>
          <w:szCs w:val="28"/>
          <w:lang w:val="uk-UA" w:eastAsia="ar-SA"/>
        </w:rPr>
        <w:t xml:space="preserve"> та Синельниківський. </w:t>
      </w:r>
    </w:p>
    <w:p w:rsidR="00CC3037" w:rsidRPr="001B5DE3" w:rsidRDefault="00CC3037" w:rsidP="00B87054">
      <w:pPr>
        <w:tabs>
          <w:tab w:val="left" w:pos="-4440"/>
        </w:tabs>
        <w:suppressAutoHyphens/>
        <w:spacing w:after="0" w:line="240" w:lineRule="auto"/>
        <w:ind w:firstLine="709"/>
        <w:jc w:val="both"/>
        <w:rPr>
          <w:rFonts w:ascii="Times New Roman" w:hAnsi="Times New Roman" w:cs="Times New Roman"/>
          <w:sz w:val="28"/>
          <w:szCs w:val="28"/>
          <w:lang w:val="uk-UA" w:eastAsia="ar-SA"/>
        </w:rPr>
      </w:pPr>
      <w:r w:rsidRPr="001B5DE3">
        <w:rPr>
          <w:rFonts w:ascii="Times New Roman" w:hAnsi="Times New Roman" w:cs="Times New Roman"/>
          <w:sz w:val="28"/>
          <w:szCs w:val="28"/>
          <w:lang w:val="uk-UA" w:eastAsia="ar-SA"/>
        </w:rPr>
        <w:t>Сформовано 86 територіальних громад (один із найбільших показників в Україні) згідно з Перспективним планом формування територій громад Дніпропетровської області, затвердженим розпорядженням Кабінету Міністрів України від 20 травня 2020 року № 601-р та розпорядженням Кабінету Міністрів України від 12  червня 2020 року № 709-р “Про визначення адміністративних центрів та затвердження територій територіальних громад Дніпропетровської області”.</w:t>
      </w:r>
    </w:p>
    <w:p w:rsidR="00B47F75" w:rsidRPr="001B5DE3" w:rsidRDefault="00B47F75" w:rsidP="00B87054">
      <w:pPr>
        <w:tabs>
          <w:tab w:val="left" w:pos="-4440"/>
        </w:tabs>
        <w:suppressAutoHyphens/>
        <w:spacing w:after="0" w:line="240" w:lineRule="auto"/>
        <w:ind w:firstLine="709"/>
        <w:jc w:val="both"/>
        <w:rPr>
          <w:rFonts w:ascii="Times New Roman" w:hAnsi="Times New Roman" w:cs="Times New Roman"/>
          <w:sz w:val="28"/>
          <w:szCs w:val="28"/>
          <w:lang w:eastAsia="ar-SA"/>
        </w:rPr>
      </w:pPr>
      <w:r w:rsidRPr="001B5DE3">
        <w:rPr>
          <w:rFonts w:ascii="Times New Roman" w:hAnsi="Times New Roman" w:cs="Times New Roman"/>
          <w:sz w:val="28"/>
          <w:szCs w:val="28"/>
          <w:lang w:val="uk-UA" w:eastAsia="ar-SA"/>
        </w:rPr>
        <w:t>У 2021 році за рахунок усіх бюджетних джерел на розвиток інфраструктури територіальних громад спрямовано більш ніж 11,0 млрд грн, що дозволило впроваджувати на території громад області більш ніж 1000 інфраструктурних проєктів за рахунок коштів державного, обласного та місцевих бюджетів.</w:t>
      </w:r>
    </w:p>
    <w:p w:rsidR="00B47F75" w:rsidRPr="001B5DE3" w:rsidRDefault="00B47F75" w:rsidP="00B87054">
      <w:pPr>
        <w:tabs>
          <w:tab w:val="left" w:pos="-4440"/>
        </w:tabs>
        <w:suppressAutoHyphens/>
        <w:spacing w:after="0" w:line="240" w:lineRule="auto"/>
        <w:ind w:firstLine="709"/>
        <w:jc w:val="both"/>
        <w:rPr>
          <w:rFonts w:ascii="Times New Roman" w:hAnsi="Times New Roman" w:cs="Times New Roman"/>
          <w:sz w:val="28"/>
          <w:szCs w:val="28"/>
          <w:lang w:val="uk-UA" w:eastAsia="ar-SA"/>
        </w:rPr>
      </w:pPr>
      <w:r w:rsidRPr="001B5DE3">
        <w:rPr>
          <w:rFonts w:ascii="Times New Roman" w:hAnsi="Times New Roman" w:cs="Times New Roman"/>
          <w:sz w:val="28"/>
          <w:szCs w:val="28"/>
          <w:lang w:val="uk-UA" w:eastAsia="ar-SA"/>
        </w:rPr>
        <w:t>Основними напрямами використання цих коштів є освіта, культура, спорт, охорона здоров’я та житлово-комунальне господарство. Це проєкти будівництва, реконструкції та ремонту шкіл, дошкільних навчальних закладів, медичних закладів,</w:t>
      </w:r>
      <w:r w:rsidRPr="001B5DE3">
        <w:rPr>
          <w:rFonts w:ascii="Times New Roman" w:hAnsi="Times New Roman" w:cs="Times New Roman"/>
          <w:bCs/>
          <w:iCs/>
          <w:sz w:val="28"/>
          <w:szCs w:val="28"/>
          <w:lang w:val="uk-UA"/>
        </w:rPr>
        <w:t xml:space="preserve"> закладів фізичної культури та спорту</w:t>
      </w:r>
      <w:r w:rsidRPr="001B5DE3">
        <w:rPr>
          <w:rFonts w:ascii="Times New Roman" w:hAnsi="Times New Roman" w:cs="Times New Roman"/>
          <w:sz w:val="28"/>
          <w:szCs w:val="28"/>
          <w:lang w:val="uk-UA" w:eastAsia="ar-SA"/>
        </w:rPr>
        <w:t>. Крім того, це освітлення, водозабезпечення та водовідведення, поводження з відходами тощо.</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У поточному році продовжено роботу з вирішення проблем із забезпечення централізованим питним водопостачанням населення області, що користується привізною водою.</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Передбачено реалізацію 8 проєктів на територіях Дніпровського, Нікопольського, Новомосковського та Синельниківського районів, зокрема такі проєкти: “Реконструкція водогону від смт Гвардійське до смт Губиниха Новомосковського району Дніпропетровської області”, “Реконструкція водогону від м. Новомосковськ до с. Орлівщина Новомосковського району Дніпропетровської області”, “Нове будівництво системи водопостачання для с.Борисівка та с. Дмитрівка Нікопольського району Дніпропетровської області”.</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lastRenderedPageBreak/>
        <w:t>Пріоритетним напрямом залишається підтримка експлуатаційного стану доріг області на високому якісному рівні, забезпечення безпечних умов руху автотранспорту автомобільними дорогами області.</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Протягом І півріччя 2021 році по області здійснюються роботи з капітального ремонту автомобільних доріг загального користування місцевого значення загальною протяжністю 73,6 км, з капітального ремонту вулиць і доріг комунальної власності у населених пунктах області загальною протяжністю 1,54 км. Відремонтовано поточним ремонтом 24,02 км автомобільних доріг загального користування місцевого значення. Крім того, ведуться роботи на 5 об’єктах з експлуатаційного утримання.</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 xml:space="preserve">З метою поліпшення умов проживання незахищених верств населення протягом І піврічча 2021 року введено в дію малий груповий будинок для дітей-сиріт у с. Богданівка Павлоградського району, продовжуються роботи з будівництва малих групових житлових будинків для дітей-сиріт у місті Кам’янське та Глеюватській територіальній громаді області. </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З метою розвитку фізичної культури та спорту, створення сучасних умов для проведення дозвілля на території Слобожанської територіальної громади реалізується проєкт “Спортивно-оздоровчий комплекс в смт Слобожанське Дніпровського району Дніпропетровської області” (нове будівництво). Плавальний басейн” із залученням коштів державного фонду регіонального розвитку.</w:t>
      </w:r>
    </w:p>
    <w:p w:rsidR="002347BC" w:rsidRPr="001B5DE3" w:rsidRDefault="002347BC" w:rsidP="00B87054">
      <w:pPr>
        <w:spacing w:after="0" w:line="240" w:lineRule="auto"/>
        <w:ind w:firstLine="709"/>
        <w:jc w:val="both"/>
        <w:rPr>
          <w:rFonts w:ascii="Times New Roman" w:hAnsi="Times New Roman" w:cs="Times New Roman"/>
          <w:bCs/>
          <w:iCs/>
          <w:sz w:val="28"/>
          <w:szCs w:val="28"/>
          <w:lang w:val="uk-UA"/>
        </w:rPr>
      </w:pPr>
      <w:r w:rsidRPr="001B5DE3">
        <w:rPr>
          <w:rFonts w:ascii="Times New Roman" w:hAnsi="Times New Roman" w:cs="Times New Roman"/>
          <w:bCs/>
          <w:iCs/>
          <w:sz w:val="28"/>
          <w:szCs w:val="28"/>
          <w:lang w:val="uk-UA"/>
        </w:rPr>
        <w:t>Реалізуються проєкти, спрямовані на підвищення рівня надання медичних послуг населенню у сільській місцевості. Протягом І піврічч</w:t>
      </w:r>
      <w:r w:rsidR="00B20C5F" w:rsidRPr="001B5DE3">
        <w:rPr>
          <w:rFonts w:ascii="Times New Roman" w:hAnsi="Times New Roman" w:cs="Times New Roman"/>
          <w:bCs/>
          <w:iCs/>
          <w:sz w:val="28"/>
          <w:szCs w:val="28"/>
          <w:lang w:val="uk-UA"/>
        </w:rPr>
        <w:t>я</w:t>
      </w:r>
      <w:r w:rsidRPr="001B5DE3">
        <w:rPr>
          <w:rFonts w:ascii="Times New Roman" w:hAnsi="Times New Roman" w:cs="Times New Roman"/>
          <w:bCs/>
          <w:iCs/>
          <w:sz w:val="28"/>
          <w:szCs w:val="28"/>
          <w:lang w:val="uk-UA"/>
        </w:rPr>
        <w:t xml:space="preserve"> </w:t>
      </w:r>
      <w:r w:rsidR="00B20C5F" w:rsidRPr="001B5DE3">
        <w:rPr>
          <w:rFonts w:ascii="Times New Roman" w:hAnsi="Times New Roman" w:cs="Times New Roman"/>
          <w:bCs/>
          <w:iCs/>
          <w:sz w:val="28"/>
          <w:szCs w:val="28"/>
          <w:lang w:val="uk-UA"/>
        </w:rPr>
        <w:br/>
      </w:r>
      <w:r w:rsidRPr="001B5DE3">
        <w:rPr>
          <w:rFonts w:ascii="Times New Roman" w:hAnsi="Times New Roman" w:cs="Times New Roman"/>
          <w:bCs/>
          <w:iCs/>
          <w:sz w:val="28"/>
          <w:szCs w:val="28"/>
          <w:lang w:val="uk-UA"/>
        </w:rPr>
        <w:t>2021 року введено в експлуатацію: 9 амбулаторій у Богданівській, Девладівській, Могилівській, Першотравневській, Слов’янській, Чумаківській сільських територіальних громадах та Межівській, Петриківській та Покровській селищних територіальних громадах; 6 відділень екстреної медичної допомоги у Дніпровській, Першотравенській, Новомосковській та Марганецькій міських територіальних громадах.</w:t>
      </w:r>
    </w:p>
    <w:p w:rsidR="002347BC" w:rsidRDefault="002347BC" w:rsidP="00B87054">
      <w:pPr>
        <w:spacing w:after="0" w:line="240" w:lineRule="auto"/>
        <w:ind w:firstLine="709"/>
        <w:jc w:val="both"/>
        <w:rPr>
          <w:rFonts w:ascii="Times New Roman" w:hAnsi="Times New Roman" w:cs="Times New Roman"/>
          <w:bCs/>
          <w:iCs/>
          <w:sz w:val="28"/>
          <w:szCs w:val="28"/>
          <w:lang w:val="uk-UA"/>
        </w:rPr>
      </w:pPr>
    </w:p>
    <w:p w:rsidR="00B87054" w:rsidRDefault="00B87054" w:rsidP="00B87054">
      <w:pPr>
        <w:spacing w:after="0" w:line="240" w:lineRule="auto"/>
        <w:ind w:firstLine="709"/>
        <w:jc w:val="both"/>
        <w:rPr>
          <w:rFonts w:ascii="Times New Roman" w:hAnsi="Times New Roman" w:cs="Times New Roman"/>
          <w:bCs/>
          <w:iCs/>
          <w:sz w:val="28"/>
          <w:szCs w:val="28"/>
          <w:lang w:val="uk-UA"/>
        </w:rPr>
      </w:pPr>
    </w:p>
    <w:p w:rsidR="00B87054" w:rsidRPr="00B87054" w:rsidRDefault="00B87054" w:rsidP="00B87054">
      <w:pPr>
        <w:spacing w:after="0" w:line="240" w:lineRule="auto"/>
        <w:ind w:firstLine="709"/>
        <w:jc w:val="both"/>
        <w:rPr>
          <w:rFonts w:ascii="Times New Roman" w:hAnsi="Times New Roman" w:cs="Times New Roman"/>
          <w:bCs/>
          <w:iCs/>
          <w:sz w:val="28"/>
          <w:szCs w:val="28"/>
          <w:lang w:val="uk-UA"/>
        </w:rPr>
      </w:pPr>
    </w:p>
    <w:p w:rsidR="00B87054" w:rsidRPr="00B87054" w:rsidRDefault="00B87054" w:rsidP="00B87054">
      <w:pPr>
        <w:spacing w:after="0" w:line="240" w:lineRule="auto"/>
        <w:rPr>
          <w:rFonts w:ascii="Times New Roman" w:hAnsi="Times New Roman" w:cs="Times New Roman"/>
          <w:bCs/>
          <w:iCs/>
          <w:sz w:val="28"/>
          <w:szCs w:val="28"/>
          <w:lang w:val="uk-UA"/>
        </w:rPr>
      </w:pPr>
      <w:r w:rsidRPr="00B87054">
        <w:rPr>
          <w:rFonts w:ascii="Times New Roman" w:hAnsi="Times New Roman" w:cs="Times New Roman"/>
          <w:bCs/>
          <w:iCs/>
          <w:sz w:val="28"/>
          <w:szCs w:val="28"/>
          <w:lang w:val="uk-UA"/>
        </w:rPr>
        <w:t>Директор департаменту</w:t>
      </w:r>
    </w:p>
    <w:p w:rsidR="00B87054" w:rsidRPr="00B87054" w:rsidRDefault="00B87054" w:rsidP="00B87054">
      <w:pPr>
        <w:spacing w:after="0" w:line="240" w:lineRule="auto"/>
        <w:rPr>
          <w:rFonts w:ascii="Times New Roman" w:hAnsi="Times New Roman" w:cs="Times New Roman"/>
          <w:bCs/>
          <w:iCs/>
          <w:sz w:val="28"/>
          <w:szCs w:val="28"/>
          <w:lang w:val="uk-UA"/>
        </w:rPr>
      </w:pPr>
      <w:r w:rsidRPr="00B87054">
        <w:rPr>
          <w:rFonts w:ascii="Times New Roman" w:hAnsi="Times New Roman" w:cs="Times New Roman"/>
          <w:bCs/>
          <w:iCs/>
          <w:sz w:val="28"/>
          <w:szCs w:val="28"/>
          <w:lang w:val="uk-UA"/>
        </w:rPr>
        <w:t xml:space="preserve">економічного розвитку </w:t>
      </w:r>
    </w:p>
    <w:p w:rsidR="00ED7475" w:rsidRPr="00B87054" w:rsidRDefault="00B87054" w:rsidP="00B87054">
      <w:pPr>
        <w:spacing w:after="0" w:line="240" w:lineRule="auto"/>
        <w:rPr>
          <w:rFonts w:ascii="Times New Roman" w:hAnsi="Times New Roman" w:cs="Times New Roman"/>
          <w:bCs/>
          <w:iCs/>
          <w:sz w:val="28"/>
          <w:szCs w:val="28"/>
          <w:lang w:val="uk-UA"/>
        </w:rPr>
      </w:pPr>
      <w:r w:rsidRPr="00B87054">
        <w:rPr>
          <w:rFonts w:ascii="Times New Roman" w:hAnsi="Times New Roman" w:cs="Times New Roman"/>
          <w:bCs/>
          <w:iCs/>
          <w:sz w:val="28"/>
          <w:szCs w:val="28"/>
          <w:lang w:val="uk-UA"/>
        </w:rPr>
        <w:t xml:space="preserve">облдержадміністрації  </w:t>
      </w:r>
      <w:r>
        <w:rPr>
          <w:rFonts w:ascii="Times New Roman" w:hAnsi="Times New Roman" w:cs="Times New Roman"/>
          <w:bCs/>
          <w:iCs/>
          <w:sz w:val="28"/>
          <w:szCs w:val="28"/>
          <w:lang w:val="uk-UA"/>
        </w:rPr>
        <w:t xml:space="preserve">                                                                        </w:t>
      </w:r>
      <w:r w:rsidRPr="00B87054">
        <w:rPr>
          <w:rFonts w:ascii="Times New Roman" w:hAnsi="Times New Roman" w:cs="Times New Roman"/>
          <w:bCs/>
          <w:iCs/>
          <w:sz w:val="28"/>
          <w:szCs w:val="28"/>
          <w:lang w:val="uk-UA"/>
        </w:rPr>
        <w:t>Андрій РУБАН</w:t>
      </w:r>
    </w:p>
    <w:p w:rsidR="00797DE8" w:rsidRPr="00B87054" w:rsidRDefault="00797DE8" w:rsidP="00B87054">
      <w:pPr>
        <w:spacing w:after="0" w:line="240" w:lineRule="auto"/>
        <w:ind w:firstLine="709"/>
        <w:jc w:val="both"/>
        <w:rPr>
          <w:rFonts w:ascii="Times New Roman" w:hAnsi="Times New Roman" w:cs="Times New Roman"/>
          <w:bCs/>
          <w:iCs/>
          <w:sz w:val="28"/>
          <w:szCs w:val="28"/>
          <w:lang w:val="uk-UA"/>
        </w:rPr>
      </w:pPr>
    </w:p>
    <w:sectPr w:rsidR="00797DE8" w:rsidRPr="00B87054" w:rsidSect="000352A4">
      <w:headerReference w:type="even" r:id="rId46"/>
      <w:headerReference w:type="default" r:id="rId47"/>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FD" w:rsidRDefault="002502FD" w:rsidP="00731B77">
      <w:pPr>
        <w:spacing w:after="0" w:line="240" w:lineRule="auto"/>
      </w:pPr>
      <w:r>
        <w:separator/>
      </w:r>
    </w:p>
  </w:endnote>
  <w:endnote w:type="continuationSeparator" w:id="0">
    <w:p w:rsidR="002502FD" w:rsidRDefault="002502FD" w:rsidP="0073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FD" w:rsidRDefault="002502FD" w:rsidP="00731B77">
      <w:pPr>
        <w:spacing w:after="0" w:line="240" w:lineRule="auto"/>
      </w:pPr>
      <w:r>
        <w:separator/>
      </w:r>
    </w:p>
  </w:footnote>
  <w:footnote w:type="continuationSeparator" w:id="0">
    <w:p w:rsidR="002502FD" w:rsidRDefault="002502FD" w:rsidP="0073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D4" w:rsidRDefault="000710D4" w:rsidP="00B52B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10D4" w:rsidRDefault="000710D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2630"/>
      <w:docPartObj>
        <w:docPartGallery w:val="Page Numbers (Top of Page)"/>
        <w:docPartUnique/>
      </w:docPartObj>
    </w:sdtPr>
    <w:sdtEndPr>
      <w:rPr>
        <w:sz w:val="28"/>
        <w:szCs w:val="28"/>
      </w:rPr>
    </w:sdtEndPr>
    <w:sdtContent>
      <w:p w:rsidR="000710D4" w:rsidRPr="000450E4" w:rsidRDefault="002502FD">
        <w:pPr>
          <w:pStyle w:val="aa"/>
          <w:jc w:val="center"/>
          <w:rPr>
            <w:sz w:val="28"/>
            <w:szCs w:val="28"/>
          </w:rPr>
        </w:pPr>
        <w:r>
          <w:rPr>
            <w:noProof/>
            <w:sz w:val="28"/>
            <w:szCs w:val="28"/>
          </w:rPr>
          <w:pict>
            <v:shapetype id="_x0000_t202" coordsize="21600,21600" o:spt="202" path="m,l,21600r21600,l21600,xe">
              <v:stroke joinstyle="miter"/>
              <v:path gradientshapeok="t" o:connecttype="rect"/>
            </v:shapetype>
            <v:shape id="Поле 13" o:spid="_x0000_s2049" type="#_x0000_t202" style="position:absolute;left:0;text-align:left;margin-left:326.7pt;margin-top:-3.95pt;width:162pt;height:24.75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" fillcolor="white [3201]" stroked="f" strokeweight=".5pt">
              <v:textbox>
                <w:txbxContent>
                  <w:p w:rsidR="000710D4" w:rsidRPr="006466C5" w:rsidRDefault="000710D4" w:rsidP="006466C5">
                    <w:pPr>
                      <w:jc w:val="right"/>
                      <w:rPr>
                        <w:rFonts w:ascii="Times New Roman" w:hAnsi="Times New Roman" w:cs="Times New Roman"/>
                        <w:sz w:val="28"/>
                        <w:szCs w:val="28"/>
                        <w:lang w:val="uk-UA"/>
                      </w:rPr>
                    </w:pPr>
                    <w:r w:rsidRPr="006466C5">
                      <w:rPr>
                        <w:rFonts w:ascii="Times New Roman" w:hAnsi="Times New Roman" w:cs="Times New Roman"/>
                        <w:sz w:val="28"/>
                        <w:szCs w:val="28"/>
                        <w:lang w:val="uk-UA"/>
                      </w:rPr>
                      <w:t>Продовження додатка</w:t>
                    </w:r>
                  </w:p>
                </w:txbxContent>
              </v:textbox>
            </v:shape>
          </w:pict>
        </w:r>
        <w:r w:rsidR="000710D4" w:rsidRPr="000450E4">
          <w:rPr>
            <w:sz w:val="28"/>
            <w:szCs w:val="28"/>
          </w:rPr>
          <w:fldChar w:fldCharType="begin"/>
        </w:r>
        <w:r w:rsidR="000710D4" w:rsidRPr="000450E4">
          <w:rPr>
            <w:sz w:val="28"/>
            <w:szCs w:val="28"/>
          </w:rPr>
          <w:instrText>PAGE   \* MERGEFORMAT</w:instrText>
        </w:r>
        <w:r w:rsidR="000710D4" w:rsidRPr="000450E4">
          <w:rPr>
            <w:sz w:val="28"/>
            <w:szCs w:val="28"/>
          </w:rPr>
          <w:fldChar w:fldCharType="separate"/>
        </w:r>
        <w:r w:rsidR="00AD2C58">
          <w:rPr>
            <w:noProof/>
            <w:sz w:val="28"/>
            <w:szCs w:val="28"/>
          </w:rPr>
          <w:t>63</w:t>
        </w:r>
        <w:r w:rsidR="000710D4" w:rsidRPr="000450E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2D1"/>
    <w:multiLevelType w:val="hybridMultilevel"/>
    <w:tmpl w:val="4E103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F5B"/>
    <w:multiLevelType w:val="hybridMultilevel"/>
    <w:tmpl w:val="F07A15D6"/>
    <w:lvl w:ilvl="0" w:tplc="0422000D">
      <w:start w:val="1"/>
      <w:numFmt w:val="bullet"/>
      <w:lvlText w:val=""/>
      <w:lvlJc w:val="left"/>
      <w:pPr>
        <w:ind w:left="928" w:hanging="360"/>
      </w:pPr>
      <w:rPr>
        <w:rFonts w:ascii="Wingdings" w:hAnsi="Wingdings" w:hint="default"/>
      </w:rPr>
    </w:lvl>
    <w:lvl w:ilvl="1" w:tplc="0422000D">
      <w:start w:val="1"/>
      <w:numFmt w:val="bullet"/>
      <w:lvlText w:val=""/>
      <w:lvlJc w:val="left"/>
      <w:pPr>
        <w:ind w:left="1648" w:hanging="360"/>
      </w:pPr>
      <w:rPr>
        <w:rFonts w:ascii="Wingdings" w:hAnsi="Wingdings"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nsid w:val="1CF3413E"/>
    <w:multiLevelType w:val="hybridMultilevel"/>
    <w:tmpl w:val="90EE845C"/>
    <w:lvl w:ilvl="0" w:tplc="7A522A2E">
      <w:numFmt w:val="bullet"/>
      <w:lvlText w:val="-"/>
      <w:lvlJc w:val="left"/>
      <w:pPr>
        <w:tabs>
          <w:tab w:val="num" w:pos="2220"/>
        </w:tabs>
        <w:ind w:left="2220" w:hanging="1320"/>
      </w:pPr>
      <w:rPr>
        <w:rFonts w:ascii="Bookman Old Style" w:eastAsia="Times New Roman" w:hAnsi="Bookman Old Style"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743639F"/>
    <w:multiLevelType w:val="hybridMultilevel"/>
    <w:tmpl w:val="9C3E661E"/>
    <w:lvl w:ilvl="0" w:tplc="06E2579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C36D72"/>
    <w:multiLevelType w:val="hybridMultilevel"/>
    <w:tmpl w:val="FAB8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607DE"/>
    <w:multiLevelType w:val="hybridMultilevel"/>
    <w:tmpl w:val="0FCA0064"/>
    <w:lvl w:ilvl="0" w:tplc="F3A6D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225A4"/>
    <w:multiLevelType w:val="hybridMultilevel"/>
    <w:tmpl w:val="73AE7F8A"/>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D755B1"/>
    <w:multiLevelType w:val="hybridMultilevel"/>
    <w:tmpl w:val="49DE3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843089"/>
    <w:multiLevelType w:val="hybridMultilevel"/>
    <w:tmpl w:val="A2C87B7C"/>
    <w:lvl w:ilvl="0" w:tplc="8B0247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72A86"/>
    <w:multiLevelType w:val="hybridMultilevel"/>
    <w:tmpl w:val="A48E791E"/>
    <w:lvl w:ilvl="0" w:tplc="94C82E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4"/>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3037"/>
    <w:rsid w:val="000002B6"/>
    <w:rsid w:val="00001C6B"/>
    <w:rsid w:val="00013E19"/>
    <w:rsid w:val="00014F69"/>
    <w:rsid w:val="000209FF"/>
    <w:rsid w:val="00021BA7"/>
    <w:rsid w:val="00021EA5"/>
    <w:rsid w:val="00024095"/>
    <w:rsid w:val="0002625F"/>
    <w:rsid w:val="00030170"/>
    <w:rsid w:val="00033C34"/>
    <w:rsid w:val="000352A4"/>
    <w:rsid w:val="00036278"/>
    <w:rsid w:val="0003724C"/>
    <w:rsid w:val="00040F99"/>
    <w:rsid w:val="0004253F"/>
    <w:rsid w:val="00043694"/>
    <w:rsid w:val="000450E4"/>
    <w:rsid w:val="00046F31"/>
    <w:rsid w:val="00050B61"/>
    <w:rsid w:val="00052B26"/>
    <w:rsid w:val="00053805"/>
    <w:rsid w:val="00056E85"/>
    <w:rsid w:val="000575D2"/>
    <w:rsid w:val="0006042F"/>
    <w:rsid w:val="00062CFC"/>
    <w:rsid w:val="00067966"/>
    <w:rsid w:val="00070C72"/>
    <w:rsid w:val="000710D4"/>
    <w:rsid w:val="000712C4"/>
    <w:rsid w:val="00071492"/>
    <w:rsid w:val="0007251F"/>
    <w:rsid w:val="000728C0"/>
    <w:rsid w:val="00073B04"/>
    <w:rsid w:val="000748A1"/>
    <w:rsid w:val="000758F2"/>
    <w:rsid w:val="000846CA"/>
    <w:rsid w:val="00086054"/>
    <w:rsid w:val="00091853"/>
    <w:rsid w:val="00094039"/>
    <w:rsid w:val="0009423C"/>
    <w:rsid w:val="000975EB"/>
    <w:rsid w:val="000A1DE8"/>
    <w:rsid w:val="000A2B21"/>
    <w:rsid w:val="000A3D9F"/>
    <w:rsid w:val="000A636C"/>
    <w:rsid w:val="000B1FB1"/>
    <w:rsid w:val="000B4198"/>
    <w:rsid w:val="000B477A"/>
    <w:rsid w:val="000B6331"/>
    <w:rsid w:val="000B7F0E"/>
    <w:rsid w:val="000C19B8"/>
    <w:rsid w:val="000C2232"/>
    <w:rsid w:val="000C3651"/>
    <w:rsid w:val="000C3851"/>
    <w:rsid w:val="000C7B47"/>
    <w:rsid w:val="000D2D23"/>
    <w:rsid w:val="000D44C0"/>
    <w:rsid w:val="000D5818"/>
    <w:rsid w:val="000D68B6"/>
    <w:rsid w:val="000D6D28"/>
    <w:rsid w:val="000D7C8C"/>
    <w:rsid w:val="000E20F2"/>
    <w:rsid w:val="000E2B80"/>
    <w:rsid w:val="000E589E"/>
    <w:rsid w:val="000E6595"/>
    <w:rsid w:val="000F06DE"/>
    <w:rsid w:val="000F18AB"/>
    <w:rsid w:val="000F5315"/>
    <w:rsid w:val="000F6308"/>
    <w:rsid w:val="000F7A78"/>
    <w:rsid w:val="000F7E36"/>
    <w:rsid w:val="00102E01"/>
    <w:rsid w:val="00103545"/>
    <w:rsid w:val="00114B13"/>
    <w:rsid w:val="00121B55"/>
    <w:rsid w:val="00121DF1"/>
    <w:rsid w:val="00126215"/>
    <w:rsid w:val="00137CBA"/>
    <w:rsid w:val="00142569"/>
    <w:rsid w:val="00147DD3"/>
    <w:rsid w:val="00150095"/>
    <w:rsid w:val="001508F2"/>
    <w:rsid w:val="00150DCD"/>
    <w:rsid w:val="001539E2"/>
    <w:rsid w:val="00155876"/>
    <w:rsid w:val="001571B6"/>
    <w:rsid w:val="00157B61"/>
    <w:rsid w:val="00162E12"/>
    <w:rsid w:val="0016337D"/>
    <w:rsid w:val="001638A7"/>
    <w:rsid w:val="00163FF0"/>
    <w:rsid w:val="00171418"/>
    <w:rsid w:val="00171800"/>
    <w:rsid w:val="00175B81"/>
    <w:rsid w:val="001848BB"/>
    <w:rsid w:val="00184F5F"/>
    <w:rsid w:val="0018557E"/>
    <w:rsid w:val="001874F4"/>
    <w:rsid w:val="001875C2"/>
    <w:rsid w:val="001901AA"/>
    <w:rsid w:val="001A0398"/>
    <w:rsid w:val="001A06C9"/>
    <w:rsid w:val="001A112D"/>
    <w:rsid w:val="001A1643"/>
    <w:rsid w:val="001A18EF"/>
    <w:rsid w:val="001A27FD"/>
    <w:rsid w:val="001A3519"/>
    <w:rsid w:val="001A3BF2"/>
    <w:rsid w:val="001A5D42"/>
    <w:rsid w:val="001A6E01"/>
    <w:rsid w:val="001B28D9"/>
    <w:rsid w:val="001B3792"/>
    <w:rsid w:val="001B5DE3"/>
    <w:rsid w:val="001B60AE"/>
    <w:rsid w:val="001B79A2"/>
    <w:rsid w:val="001C4464"/>
    <w:rsid w:val="001C48B1"/>
    <w:rsid w:val="001C4B24"/>
    <w:rsid w:val="001C629B"/>
    <w:rsid w:val="001C7C95"/>
    <w:rsid w:val="001C7CF6"/>
    <w:rsid w:val="001D5DB1"/>
    <w:rsid w:val="001D67F8"/>
    <w:rsid w:val="001D6F4D"/>
    <w:rsid w:val="001D7019"/>
    <w:rsid w:val="001E20AC"/>
    <w:rsid w:val="001E44D8"/>
    <w:rsid w:val="001E4513"/>
    <w:rsid w:val="001F0C2B"/>
    <w:rsid w:val="001F181D"/>
    <w:rsid w:val="001F6E20"/>
    <w:rsid w:val="00201928"/>
    <w:rsid w:val="00205371"/>
    <w:rsid w:val="0020721E"/>
    <w:rsid w:val="0021204E"/>
    <w:rsid w:val="00216070"/>
    <w:rsid w:val="002164B4"/>
    <w:rsid w:val="002221DD"/>
    <w:rsid w:val="0022450D"/>
    <w:rsid w:val="00227EA6"/>
    <w:rsid w:val="00230B9D"/>
    <w:rsid w:val="00230BCD"/>
    <w:rsid w:val="002323BA"/>
    <w:rsid w:val="00232B4C"/>
    <w:rsid w:val="00233AC4"/>
    <w:rsid w:val="002347BC"/>
    <w:rsid w:val="00235481"/>
    <w:rsid w:val="00236422"/>
    <w:rsid w:val="0023679D"/>
    <w:rsid w:val="002400E1"/>
    <w:rsid w:val="00244DCA"/>
    <w:rsid w:val="0024519E"/>
    <w:rsid w:val="00246C8F"/>
    <w:rsid w:val="002502FD"/>
    <w:rsid w:val="002524F8"/>
    <w:rsid w:val="002579C9"/>
    <w:rsid w:val="002612A0"/>
    <w:rsid w:val="0026228E"/>
    <w:rsid w:val="00263334"/>
    <w:rsid w:val="0026337F"/>
    <w:rsid w:val="002633D0"/>
    <w:rsid w:val="00263E74"/>
    <w:rsid w:val="00265E91"/>
    <w:rsid w:val="00272542"/>
    <w:rsid w:val="00273110"/>
    <w:rsid w:val="00276FCC"/>
    <w:rsid w:val="0027765B"/>
    <w:rsid w:val="00280EB7"/>
    <w:rsid w:val="00281089"/>
    <w:rsid w:val="00283156"/>
    <w:rsid w:val="00283960"/>
    <w:rsid w:val="002859DB"/>
    <w:rsid w:val="00293745"/>
    <w:rsid w:val="00295CFB"/>
    <w:rsid w:val="00297034"/>
    <w:rsid w:val="00297080"/>
    <w:rsid w:val="002A4138"/>
    <w:rsid w:val="002A6E03"/>
    <w:rsid w:val="002B3888"/>
    <w:rsid w:val="002C0DEC"/>
    <w:rsid w:val="002C6A66"/>
    <w:rsid w:val="002C6EEE"/>
    <w:rsid w:val="002D4586"/>
    <w:rsid w:val="002D4937"/>
    <w:rsid w:val="002D4C49"/>
    <w:rsid w:val="002D5327"/>
    <w:rsid w:val="002E01A9"/>
    <w:rsid w:val="002E1712"/>
    <w:rsid w:val="002E2647"/>
    <w:rsid w:val="002E3B66"/>
    <w:rsid w:val="002E5E6B"/>
    <w:rsid w:val="002F11DA"/>
    <w:rsid w:val="002F154C"/>
    <w:rsid w:val="002F320E"/>
    <w:rsid w:val="00302F24"/>
    <w:rsid w:val="00303995"/>
    <w:rsid w:val="00305DEA"/>
    <w:rsid w:val="00311423"/>
    <w:rsid w:val="00315E69"/>
    <w:rsid w:val="003168B2"/>
    <w:rsid w:val="00320789"/>
    <w:rsid w:val="00321968"/>
    <w:rsid w:val="003232EA"/>
    <w:rsid w:val="0032525C"/>
    <w:rsid w:val="00331658"/>
    <w:rsid w:val="00333F82"/>
    <w:rsid w:val="003346EC"/>
    <w:rsid w:val="00334AC5"/>
    <w:rsid w:val="003357AE"/>
    <w:rsid w:val="00335EE2"/>
    <w:rsid w:val="0033616C"/>
    <w:rsid w:val="00342E13"/>
    <w:rsid w:val="003468A8"/>
    <w:rsid w:val="00346B55"/>
    <w:rsid w:val="003503A7"/>
    <w:rsid w:val="0035478B"/>
    <w:rsid w:val="00357BE9"/>
    <w:rsid w:val="00360453"/>
    <w:rsid w:val="0036102F"/>
    <w:rsid w:val="003622C8"/>
    <w:rsid w:val="0036458F"/>
    <w:rsid w:val="00364D7B"/>
    <w:rsid w:val="00365290"/>
    <w:rsid w:val="00365CC7"/>
    <w:rsid w:val="00366EB2"/>
    <w:rsid w:val="0036738D"/>
    <w:rsid w:val="00370113"/>
    <w:rsid w:val="0037557F"/>
    <w:rsid w:val="0037572C"/>
    <w:rsid w:val="00376A14"/>
    <w:rsid w:val="00377483"/>
    <w:rsid w:val="00380469"/>
    <w:rsid w:val="003808B8"/>
    <w:rsid w:val="00382F99"/>
    <w:rsid w:val="0039026F"/>
    <w:rsid w:val="0039590E"/>
    <w:rsid w:val="00395914"/>
    <w:rsid w:val="00395A6B"/>
    <w:rsid w:val="00397811"/>
    <w:rsid w:val="0039797E"/>
    <w:rsid w:val="003A257A"/>
    <w:rsid w:val="003A5268"/>
    <w:rsid w:val="003A6408"/>
    <w:rsid w:val="003B282E"/>
    <w:rsid w:val="003B3C1C"/>
    <w:rsid w:val="003B5F14"/>
    <w:rsid w:val="003C287F"/>
    <w:rsid w:val="003C3255"/>
    <w:rsid w:val="003C4168"/>
    <w:rsid w:val="003C4732"/>
    <w:rsid w:val="003C5607"/>
    <w:rsid w:val="003D20C9"/>
    <w:rsid w:val="003D2CBF"/>
    <w:rsid w:val="003D5C3F"/>
    <w:rsid w:val="003E3BBE"/>
    <w:rsid w:val="003F1741"/>
    <w:rsid w:val="003F2CFC"/>
    <w:rsid w:val="003F4773"/>
    <w:rsid w:val="003F49BA"/>
    <w:rsid w:val="003F4F75"/>
    <w:rsid w:val="003F6293"/>
    <w:rsid w:val="00404FE8"/>
    <w:rsid w:val="00405F56"/>
    <w:rsid w:val="0040760A"/>
    <w:rsid w:val="0041294C"/>
    <w:rsid w:val="00413D3B"/>
    <w:rsid w:val="0042260F"/>
    <w:rsid w:val="00431116"/>
    <w:rsid w:val="004314CA"/>
    <w:rsid w:val="004317BE"/>
    <w:rsid w:val="00432821"/>
    <w:rsid w:val="0043469F"/>
    <w:rsid w:val="00437826"/>
    <w:rsid w:val="00440CDB"/>
    <w:rsid w:val="004419F7"/>
    <w:rsid w:val="0044205C"/>
    <w:rsid w:val="00443300"/>
    <w:rsid w:val="00443407"/>
    <w:rsid w:val="00443E58"/>
    <w:rsid w:val="00444D74"/>
    <w:rsid w:val="0044752A"/>
    <w:rsid w:val="00447C61"/>
    <w:rsid w:val="00451E0B"/>
    <w:rsid w:val="00453EA1"/>
    <w:rsid w:val="00456034"/>
    <w:rsid w:val="00457CB8"/>
    <w:rsid w:val="00460923"/>
    <w:rsid w:val="004616B8"/>
    <w:rsid w:val="00462935"/>
    <w:rsid w:val="00462ECB"/>
    <w:rsid w:val="00463D8F"/>
    <w:rsid w:val="00470035"/>
    <w:rsid w:val="00471B49"/>
    <w:rsid w:val="00473233"/>
    <w:rsid w:val="00474C96"/>
    <w:rsid w:val="0047765C"/>
    <w:rsid w:val="004806B1"/>
    <w:rsid w:val="004901CD"/>
    <w:rsid w:val="00492AD3"/>
    <w:rsid w:val="004930B3"/>
    <w:rsid w:val="00495973"/>
    <w:rsid w:val="004961F3"/>
    <w:rsid w:val="00497309"/>
    <w:rsid w:val="004A125E"/>
    <w:rsid w:val="004A3C5E"/>
    <w:rsid w:val="004A7F8A"/>
    <w:rsid w:val="004B3866"/>
    <w:rsid w:val="004B4930"/>
    <w:rsid w:val="004B4C77"/>
    <w:rsid w:val="004B5A86"/>
    <w:rsid w:val="004C118A"/>
    <w:rsid w:val="004C1D1E"/>
    <w:rsid w:val="004C2BE5"/>
    <w:rsid w:val="004C33E1"/>
    <w:rsid w:val="004C3BA1"/>
    <w:rsid w:val="004C74BC"/>
    <w:rsid w:val="004D04A0"/>
    <w:rsid w:val="004D07AF"/>
    <w:rsid w:val="004D2399"/>
    <w:rsid w:val="004D2EA5"/>
    <w:rsid w:val="004D2FD1"/>
    <w:rsid w:val="004D3857"/>
    <w:rsid w:val="004D47AC"/>
    <w:rsid w:val="004D4B76"/>
    <w:rsid w:val="004D7643"/>
    <w:rsid w:val="004E1F53"/>
    <w:rsid w:val="004E2060"/>
    <w:rsid w:val="004E25D8"/>
    <w:rsid w:val="004E48CA"/>
    <w:rsid w:val="004E6C65"/>
    <w:rsid w:val="004F3B7A"/>
    <w:rsid w:val="004F4048"/>
    <w:rsid w:val="004F5FB4"/>
    <w:rsid w:val="00502019"/>
    <w:rsid w:val="00502767"/>
    <w:rsid w:val="00502F0D"/>
    <w:rsid w:val="005053EB"/>
    <w:rsid w:val="0051071B"/>
    <w:rsid w:val="0051139C"/>
    <w:rsid w:val="00511917"/>
    <w:rsid w:val="00512F06"/>
    <w:rsid w:val="005137A7"/>
    <w:rsid w:val="00513BA6"/>
    <w:rsid w:val="00513DF5"/>
    <w:rsid w:val="00514F9B"/>
    <w:rsid w:val="00516B1B"/>
    <w:rsid w:val="005172C3"/>
    <w:rsid w:val="0052042A"/>
    <w:rsid w:val="00524F24"/>
    <w:rsid w:val="005279CA"/>
    <w:rsid w:val="00530E7F"/>
    <w:rsid w:val="00531D50"/>
    <w:rsid w:val="00531F84"/>
    <w:rsid w:val="00532106"/>
    <w:rsid w:val="00532D5E"/>
    <w:rsid w:val="00534DA6"/>
    <w:rsid w:val="005353AD"/>
    <w:rsid w:val="00540812"/>
    <w:rsid w:val="00541255"/>
    <w:rsid w:val="00545702"/>
    <w:rsid w:val="00546C1A"/>
    <w:rsid w:val="00547DAB"/>
    <w:rsid w:val="00552971"/>
    <w:rsid w:val="00553B4A"/>
    <w:rsid w:val="00554476"/>
    <w:rsid w:val="005604E7"/>
    <w:rsid w:val="005619ED"/>
    <w:rsid w:val="005652AC"/>
    <w:rsid w:val="00565D03"/>
    <w:rsid w:val="005677A8"/>
    <w:rsid w:val="00567F0D"/>
    <w:rsid w:val="00570AB4"/>
    <w:rsid w:val="00572491"/>
    <w:rsid w:val="0057261F"/>
    <w:rsid w:val="00574FCE"/>
    <w:rsid w:val="00574FFC"/>
    <w:rsid w:val="00575B1D"/>
    <w:rsid w:val="00575DAC"/>
    <w:rsid w:val="005770D4"/>
    <w:rsid w:val="00580AD1"/>
    <w:rsid w:val="005813FC"/>
    <w:rsid w:val="00581864"/>
    <w:rsid w:val="00582143"/>
    <w:rsid w:val="00584D1D"/>
    <w:rsid w:val="005850EC"/>
    <w:rsid w:val="005858AD"/>
    <w:rsid w:val="00597E0C"/>
    <w:rsid w:val="005A1599"/>
    <w:rsid w:val="005A2418"/>
    <w:rsid w:val="005A4C81"/>
    <w:rsid w:val="005B2D63"/>
    <w:rsid w:val="005B5549"/>
    <w:rsid w:val="005B5C6E"/>
    <w:rsid w:val="005B7094"/>
    <w:rsid w:val="005B78A6"/>
    <w:rsid w:val="005C3C4A"/>
    <w:rsid w:val="005C487B"/>
    <w:rsid w:val="005C5F67"/>
    <w:rsid w:val="005C7C20"/>
    <w:rsid w:val="005D1D45"/>
    <w:rsid w:val="005D538B"/>
    <w:rsid w:val="005D6092"/>
    <w:rsid w:val="005E1F25"/>
    <w:rsid w:val="005E3895"/>
    <w:rsid w:val="005E5B66"/>
    <w:rsid w:val="005E6251"/>
    <w:rsid w:val="005E7E78"/>
    <w:rsid w:val="005F45F4"/>
    <w:rsid w:val="005F483B"/>
    <w:rsid w:val="0060326C"/>
    <w:rsid w:val="00603722"/>
    <w:rsid w:val="00603B6B"/>
    <w:rsid w:val="00605114"/>
    <w:rsid w:val="00606FD5"/>
    <w:rsid w:val="00611F21"/>
    <w:rsid w:val="00612063"/>
    <w:rsid w:val="00613858"/>
    <w:rsid w:val="00620FDA"/>
    <w:rsid w:val="00623FC2"/>
    <w:rsid w:val="00624F6E"/>
    <w:rsid w:val="00625C74"/>
    <w:rsid w:val="00627952"/>
    <w:rsid w:val="00627BA2"/>
    <w:rsid w:val="00631ED8"/>
    <w:rsid w:val="00635473"/>
    <w:rsid w:val="00642BDD"/>
    <w:rsid w:val="00643887"/>
    <w:rsid w:val="006466C5"/>
    <w:rsid w:val="00647FA7"/>
    <w:rsid w:val="00656E30"/>
    <w:rsid w:val="00662C37"/>
    <w:rsid w:val="00665FB5"/>
    <w:rsid w:val="00670C12"/>
    <w:rsid w:val="006718FB"/>
    <w:rsid w:val="006720F1"/>
    <w:rsid w:val="00672FF0"/>
    <w:rsid w:val="00673F54"/>
    <w:rsid w:val="006747B3"/>
    <w:rsid w:val="00674B6D"/>
    <w:rsid w:val="00676553"/>
    <w:rsid w:val="006778D0"/>
    <w:rsid w:val="00682BDC"/>
    <w:rsid w:val="006836CF"/>
    <w:rsid w:val="0068388B"/>
    <w:rsid w:val="00684BBA"/>
    <w:rsid w:val="00684C71"/>
    <w:rsid w:val="00685AA3"/>
    <w:rsid w:val="0068723D"/>
    <w:rsid w:val="00690D70"/>
    <w:rsid w:val="006914BA"/>
    <w:rsid w:val="00691FE3"/>
    <w:rsid w:val="00694342"/>
    <w:rsid w:val="00694F48"/>
    <w:rsid w:val="00695155"/>
    <w:rsid w:val="006A0353"/>
    <w:rsid w:val="006A1923"/>
    <w:rsid w:val="006A2389"/>
    <w:rsid w:val="006A3AE2"/>
    <w:rsid w:val="006A3E6A"/>
    <w:rsid w:val="006A549F"/>
    <w:rsid w:val="006B0224"/>
    <w:rsid w:val="006B16CF"/>
    <w:rsid w:val="006B74F4"/>
    <w:rsid w:val="006B7A74"/>
    <w:rsid w:val="006C7EE5"/>
    <w:rsid w:val="006D364C"/>
    <w:rsid w:val="006D6BCC"/>
    <w:rsid w:val="006D7F35"/>
    <w:rsid w:val="006E1786"/>
    <w:rsid w:val="006E27DF"/>
    <w:rsid w:val="006E463A"/>
    <w:rsid w:val="006E527F"/>
    <w:rsid w:val="006E5692"/>
    <w:rsid w:val="006E774A"/>
    <w:rsid w:val="006F0555"/>
    <w:rsid w:val="006F12BF"/>
    <w:rsid w:val="006F18A4"/>
    <w:rsid w:val="006F28A1"/>
    <w:rsid w:val="006F47CE"/>
    <w:rsid w:val="007002A4"/>
    <w:rsid w:val="007003A8"/>
    <w:rsid w:val="00702094"/>
    <w:rsid w:val="0070238A"/>
    <w:rsid w:val="00704F4D"/>
    <w:rsid w:val="00705978"/>
    <w:rsid w:val="00705A69"/>
    <w:rsid w:val="00710FCC"/>
    <w:rsid w:val="00714652"/>
    <w:rsid w:val="007170AE"/>
    <w:rsid w:val="00722AC1"/>
    <w:rsid w:val="007236B5"/>
    <w:rsid w:val="00723D8D"/>
    <w:rsid w:val="007268B5"/>
    <w:rsid w:val="00727718"/>
    <w:rsid w:val="00731B77"/>
    <w:rsid w:val="00732C2E"/>
    <w:rsid w:val="007356A0"/>
    <w:rsid w:val="00737DBE"/>
    <w:rsid w:val="00741D44"/>
    <w:rsid w:val="00742146"/>
    <w:rsid w:val="007457A2"/>
    <w:rsid w:val="00746B06"/>
    <w:rsid w:val="00747753"/>
    <w:rsid w:val="0075149E"/>
    <w:rsid w:val="007522B4"/>
    <w:rsid w:val="00753674"/>
    <w:rsid w:val="00755B49"/>
    <w:rsid w:val="00756E46"/>
    <w:rsid w:val="007639D3"/>
    <w:rsid w:val="00764680"/>
    <w:rsid w:val="0076468D"/>
    <w:rsid w:val="0076547B"/>
    <w:rsid w:val="007714A6"/>
    <w:rsid w:val="00773946"/>
    <w:rsid w:val="00775687"/>
    <w:rsid w:val="00780460"/>
    <w:rsid w:val="00781038"/>
    <w:rsid w:val="007813C2"/>
    <w:rsid w:val="0078346A"/>
    <w:rsid w:val="007836BD"/>
    <w:rsid w:val="00783C43"/>
    <w:rsid w:val="00797DE8"/>
    <w:rsid w:val="007A07E4"/>
    <w:rsid w:val="007A15ED"/>
    <w:rsid w:val="007A48A8"/>
    <w:rsid w:val="007B1534"/>
    <w:rsid w:val="007B2848"/>
    <w:rsid w:val="007B36AB"/>
    <w:rsid w:val="007B4558"/>
    <w:rsid w:val="007B7DFA"/>
    <w:rsid w:val="007C1E17"/>
    <w:rsid w:val="007C3299"/>
    <w:rsid w:val="007C4E6C"/>
    <w:rsid w:val="007C4F12"/>
    <w:rsid w:val="007C7168"/>
    <w:rsid w:val="007D08CD"/>
    <w:rsid w:val="007D097A"/>
    <w:rsid w:val="007D259D"/>
    <w:rsid w:val="007D322D"/>
    <w:rsid w:val="007D4B84"/>
    <w:rsid w:val="007D6948"/>
    <w:rsid w:val="007E0187"/>
    <w:rsid w:val="007E5AA8"/>
    <w:rsid w:val="007E603C"/>
    <w:rsid w:val="007F56F0"/>
    <w:rsid w:val="008001F6"/>
    <w:rsid w:val="008002E7"/>
    <w:rsid w:val="00804602"/>
    <w:rsid w:val="00804908"/>
    <w:rsid w:val="00804E9A"/>
    <w:rsid w:val="00805C1B"/>
    <w:rsid w:val="008111DC"/>
    <w:rsid w:val="00811DB7"/>
    <w:rsid w:val="0081229B"/>
    <w:rsid w:val="0081367A"/>
    <w:rsid w:val="00815568"/>
    <w:rsid w:val="00821051"/>
    <w:rsid w:val="00824170"/>
    <w:rsid w:val="0082519E"/>
    <w:rsid w:val="0082611C"/>
    <w:rsid w:val="008262A8"/>
    <w:rsid w:val="008303CF"/>
    <w:rsid w:val="008328A5"/>
    <w:rsid w:val="00835C62"/>
    <w:rsid w:val="00835E50"/>
    <w:rsid w:val="00837C2A"/>
    <w:rsid w:val="008408F0"/>
    <w:rsid w:val="00843E41"/>
    <w:rsid w:val="008513A8"/>
    <w:rsid w:val="00852FF8"/>
    <w:rsid w:val="0085338A"/>
    <w:rsid w:val="008568CE"/>
    <w:rsid w:val="008648A6"/>
    <w:rsid w:val="00865269"/>
    <w:rsid w:val="00866120"/>
    <w:rsid w:val="008668C4"/>
    <w:rsid w:val="00873424"/>
    <w:rsid w:val="008750CE"/>
    <w:rsid w:val="00875390"/>
    <w:rsid w:val="00876A18"/>
    <w:rsid w:val="008812CB"/>
    <w:rsid w:val="008824CC"/>
    <w:rsid w:val="00882563"/>
    <w:rsid w:val="00882B32"/>
    <w:rsid w:val="0088306F"/>
    <w:rsid w:val="008831EE"/>
    <w:rsid w:val="0088426C"/>
    <w:rsid w:val="0089105B"/>
    <w:rsid w:val="00891250"/>
    <w:rsid w:val="008979F6"/>
    <w:rsid w:val="008A1B3B"/>
    <w:rsid w:val="008A4BAE"/>
    <w:rsid w:val="008B1046"/>
    <w:rsid w:val="008B1901"/>
    <w:rsid w:val="008B33F0"/>
    <w:rsid w:val="008B4886"/>
    <w:rsid w:val="008B77CF"/>
    <w:rsid w:val="008C1715"/>
    <w:rsid w:val="008C3CB4"/>
    <w:rsid w:val="008C50C5"/>
    <w:rsid w:val="008C5242"/>
    <w:rsid w:val="008C64AE"/>
    <w:rsid w:val="008C663F"/>
    <w:rsid w:val="008D2518"/>
    <w:rsid w:val="008D25A0"/>
    <w:rsid w:val="008D5596"/>
    <w:rsid w:val="008E2594"/>
    <w:rsid w:val="008E2DC3"/>
    <w:rsid w:val="00903BEE"/>
    <w:rsid w:val="00907F2D"/>
    <w:rsid w:val="0091155E"/>
    <w:rsid w:val="00912DD5"/>
    <w:rsid w:val="00914AB4"/>
    <w:rsid w:val="00917022"/>
    <w:rsid w:val="0091740C"/>
    <w:rsid w:val="00920C80"/>
    <w:rsid w:val="00921626"/>
    <w:rsid w:val="0092431F"/>
    <w:rsid w:val="00926A88"/>
    <w:rsid w:val="00930627"/>
    <w:rsid w:val="00933454"/>
    <w:rsid w:val="00933CC6"/>
    <w:rsid w:val="00934819"/>
    <w:rsid w:val="00937B5E"/>
    <w:rsid w:val="009409B5"/>
    <w:rsid w:val="00943840"/>
    <w:rsid w:val="00944D13"/>
    <w:rsid w:val="00946EC0"/>
    <w:rsid w:val="00952437"/>
    <w:rsid w:val="00952A84"/>
    <w:rsid w:val="009532CD"/>
    <w:rsid w:val="009536BF"/>
    <w:rsid w:val="0095455B"/>
    <w:rsid w:val="00957AEC"/>
    <w:rsid w:val="00960B59"/>
    <w:rsid w:val="00961CF5"/>
    <w:rsid w:val="0096375E"/>
    <w:rsid w:val="00964DE3"/>
    <w:rsid w:val="00974679"/>
    <w:rsid w:val="00974B5E"/>
    <w:rsid w:val="00975B7A"/>
    <w:rsid w:val="00980165"/>
    <w:rsid w:val="009813E7"/>
    <w:rsid w:val="0098440A"/>
    <w:rsid w:val="009859E6"/>
    <w:rsid w:val="00985F92"/>
    <w:rsid w:val="00986651"/>
    <w:rsid w:val="00986694"/>
    <w:rsid w:val="009872CB"/>
    <w:rsid w:val="00990282"/>
    <w:rsid w:val="00991021"/>
    <w:rsid w:val="00991891"/>
    <w:rsid w:val="00993A9A"/>
    <w:rsid w:val="00993E2E"/>
    <w:rsid w:val="00995909"/>
    <w:rsid w:val="00997200"/>
    <w:rsid w:val="009A48DD"/>
    <w:rsid w:val="009A4F53"/>
    <w:rsid w:val="009A5E59"/>
    <w:rsid w:val="009A6346"/>
    <w:rsid w:val="009B0370"/>
    <w:rsid w:val="009B2A22"/>
    <w:rsid w:val="009B2BC6"/>
    <w:rsid w:val="009B33FB"/>
    <w:rsid w:val="009B4912"/>
    <w:rsid w:val="009B6CF6"/>
    <w:rsid w:val="009C4051"/>
    <w:rsid w:val="009C4C67"/>
    <w:rsid w:val="009C53D9"/>
    <w:rsid w:val="009C65E2"/>
    <w:rsid w:val="009C70FD"/>
    <w:rsid w:val="009C7C00"/>
    <w:rsid w:val="009D60B5"/>
    <w:rsid w:val="009E640C"/>
    <w:rsid w:val="009F1321"/>
    <w:rsid w:val="009F282A"/>
    <w:rsid w:val="009F7076"/>
    <w:rsid w:val="009F77ED"/>
    <w:rsid w:val="00A00326"/>
    <w:rsid w:val="00A01A43"/>
    <w:rsid w:val="00A0587C"/>
    <w:rsid w:val="00A1018D"/>
    <w:rsid w:val="00A11347"/>
    <w:rsid w:val="00A120D1"/>
    <w:rsid w:val="00A12E73"/>
    <w:rsid w:val="00A2436A"/>
    <w:rsid w:val="00A30E66"/>
    <w:rsid w:val="00A36A7A"/>
    <w:rsid w:val="00A378E1"/>
    <w:rsid w:val="00A40E84"/>
    <w:rsid w:val="00A41AAE"/>
    <w:rsid w:val="00A42416"/>
    <w:rsid w:val="00A42C19"/>
    <w:rsid w:val="00A43499"/>
    <w:rsid w:val="00A43B49"/>
    <w:rsid w:val="00A5179A"/>
    <w:rsid w:val="00A57F1A"/>
    <w:rsid w:val="00A60BE1"/>
    <w:rsid w:val="00A67590"/>
    <w:rsid w:val="00A70B86"/>
    <w:rsid w:val="00A71938"/>
    <w:rsid w:val="00A72490"/>
    <w:rsid w:val="00A74B99"/>
    <w:rsid w:val="00A75C2B"/>
    <w:rsid w:val="00A8464D"/>
    <w:rsid w:val="00A904D5"/>
    <w:rsid w:val="00A936C4"/>
    <w:rsid w:val="00A940E8"/>
    <w:rsid w:val="00A962CC"/>
    <w:rsid w:val="00A965E1"/>
    <w:rsid w:val="00A97FF3"/>
    <w:rsid w:val="00AA0B68"/>
    <w:rsid w:val="00AA1907"/>
    <w:rsid w:val="00AA461D"/>
    <w:rsid w:val="00AA6967"/>
    <w:rsid w:val="00AA6D8E"/>
    <w:rsid w:val="00AA73BB"/>
    <w:rsid w:val="00AB05AC"/>
    <w:rsid w:val="00AB5319"/>
    <w:rsid w:val="00AB5D86"/>
    <w:rsid w:val="00AB6E12"/>
    <w:rsid w:val="00AC1453"/>
    <w:rsid w:val="00AC19E9"/>
    <w:rsid w:val="00AC4B3C"/>
    <w:rsid w:val="00AD2C58"/>
    <w:rsid w:val="00AD33A7"/>
    <w:rsid w:val="00AD360C"/>
    <w:rsid w:val="00AD748D"/>
    <w:rsid w:val="00AE2F66"/>
    <w:rsid w:val="00AE42CD"/>
    <w:rsid w:val="00AE79A8"/>
    <w:rsid w:val="00AE7DFA"/>
    <w:rsid w:val="00AF0B12"/>
    <w:rsid w:val="00AF0D29"/>
    <w:rsid w:val="00AF1902"/>
    <w:rsid w:val="00AF23DD"/>
    <w:rsid w:val="00AF6EC2"/>
    <w:rsid w:val="00B00073"/>
    <w:rsid w:val="00B00659"/>
    <w:rsid w:val="00B01A13"/>
    <w:rsid w:val="00B0219D"/>
    <w:rsid w:val="00B03808"/>
    <w:rsid w:val="00B0449F"/>
    <w:rsid w:val="00B05BED"/>
    <w:rsid w:val="00B066B1"/>
    <w:rsid w:val="00B06758"/>
    <w:rsid w:val="00B07EB9"/>
    <w:rsid w:val="00B10B5A"/>
    <w:rsid w:val="00B15BC3"/>
    <w:rsid w:val="00B15FB7"/>
    <w:rsid w:val="00B16F09"/>
    <w:rsid w:val="00B20C5F"/>
    <w:rsid w:val="00B24636"/>
    <w:rsid w:val="00B25817"/>
    <w:rsid w:val="00B25B69"/>
    <w:rsid w:val="00B270F7"/>
    <w:rsid w:val="00B27A09"/>
    <w:rsid w:val="00B33FAD"/>
    <w:rsid w:val="00B341D4"/>
    <w:rsid w:val="00B34235"/>
    <w:rsid w:val="00B34A32"/>
    <w:rsid w:val="00B408E8"/>
    <w:rsid w:val="00B429BE"/>
    <w:rsid w:val="00B42D18"/>
    <w:rsid w:val="00B4557A"/>
    <w:rsid w:val="00B47F75"/>
    <w:rsid w:val="00B50471"/>
    <w:rsid w:val="00B52BFD"/>
    <w:rsid w:val="00B5318B"/>
    <w:rsid w:val="00B546F5"/>
    <w:rsid w:val="00B56C1F"/>
    <w:rsid w:val="00B575F7"/>
    <w:rsid w:val="00B5797C"/>
    <w:rsid w:val="00B61462"/>
    <w:rsid w:val="00B65FE6"/>
    <w:rsid w:val="00B702EC"/>
    <w:rsid w:val="00B70473"/>
    <w:rsid w:val="00B72C3D"/>
    <w:rsid w:val="00B74D92"/>
    <w:rsid w:val="00B769A6"/>
    <w:rsid w:val="00B81C0A"/>
    <w:rsid w:val="00B824DB"/>
    <w:rsid w:val="00B86BFC"/>
    <w:rsid w:val="00B87054"/>
    <w:rsid w:val="00B90898"/>
    <w:rsid w:val="00B91758"/>
    <w:rsid w:val="00B9183B"/>
    <w:rsid w:val="00B9226F"/>
    <w:rsid w:val="00B937B0"/>
    <w:rsid w:val="00B950F9"/>
    <w:rsid w:val="00B96AB6"/>
    <w:rsid w:val="00BA0541"/>
    <w:rsid w:val="00BA0FFA"/>
    <w:rsid w:val="00BA4CFE"/>
    <w:rsid w:val="00BB3FF7"/>
    <w:rsid w:val="00BB783C"/>
    <w:rsid w:val="00BC2C5B"/>
    <w:rsid w:val="00BC3DCD"/>
    <w:rsid w:val="00BC5B22"/>
    <w:rsid w:val="00BC5DF1"/>
    <w:rsid w:val="00BC6E66"/>
    <w:rsid w:val="00BD2A44"/>
    <w:rsid w:val="00BD67FE"/>
    <w:rsid w:val="00BE0980"/>
    <w:rsid w:val="00BE0A34"/>
    <w:rsid w:val="00BE0B13"/>
    <w:rsid w:val="00BE2393"/>
    <w:rsid w:val="00BE7F94"/>
    <w:rsid w:val="00BF12C3"/>
    <w:rsid w:val="00BF23B7"/>
    <w:rsid w:val="00BF453C"/>
    <w:rsid w:val="00BF52B3"/>
    <w:rsid w:val="00BF52F5"/>
    <w:rsid w:val="00C0072B"/>
    <w:rsid w:val="00C01AE8"/>
    <w:rsid w:val="00C02AFB"/>
    <w:rsid w:val="00C07341"/>
    <w:rsid w:val="00C07F28"/>
    <w:rsid w:val="00C13FFF"/>
    <w:rsid w:val="00C16CD0"/>
    <w:rsid w:val="00C25469"/>
    <w:rsid w:val="00C264E8"/>
    <w:rsid w:val="00C26AEC"/>
    <w:rsid w:val="00C32332"/>
    <w:rsid w:val="00C3236B"/>
    <w:rsid w:val="00C3374A"/>
    <w:rsid w:val="00C346CE"/>
    <w:rsid w:val="00C36C0D"/>
    <w:rsid w:val="00C37F35"/>
    <w:rsid w:val="00C4090D"/>
    <w:rsid w:val="00C4341D"/>
    <w:rsid w:val="00C43866"/>
    <w:rsid w:val="00C50308"/>
    <w:rsid w:val="00C51F03"/>
    <w:rsid w:val="00C5768F"/>
    <w:rsid w:val="00C6029F"/>
    <w:rsid w:val="00C60EA9"/>
    <w:rsid w:val="00C63707"/>
    <w:rsid w:val="00C70691"/>
    <w:rsid w:val="00C70821"/>
    <w:rsid w:val="00C7561D"/>
    <w:rsid w:val="00C83A86"/>
    <w:rsid w:val="00C872B3"/>
    <w:rsid w:val="00C87D37"/>
    <w:rsid w:val="00C87FF4"/>
    <w:rsid w:val="00C902E3"/>
    <w:rsid w:val="00C94CDD"/>
    <w:rsid w:val="00C979DF"/>
    <w:rsid w:val="00CA1D65"/>
    <w:rsid w:val="00CA2C2D"/>
    <w:rsid w:val="00CA4E14"/>
    <w:rsid w:val="00CA4FB6"/>
    <w:rsid w:val="00CA52BA"/>
    <w:rsid w:val="00CB13F2"/>
    <w:rsid w:val="00CB2BA4"/>
    <w:rsid w:val="00CB2C5D"/>
    <w:rsid w:val="00CB3FF6"/>
    <w:rsid w:val="00CB6A36"/>
    <w:rsid w:val="00CB7F28"/>
    <w:rsid w:val="00CC0347"/>
    <w:rsid w:val="00CC218D"/>
    <w:rsid w:val="00CC2B21"/>
    <w:rsid w:val="00CC3037"/>
    <w:rsid w:val="00CC462C"/>
    <w:rsid w:val="00CD1549"/>
    <w:rsid w:val="00CD20DF"/>
    <w:rsid w:val="00CD3519"/>
    <w:rsid w:val="00CD50F8"/>
    <w:rsid w:val="00CD557C"/>
    <w:rsid w:val="00CD62CA"/>
    <w:rsid w:val="00CD7A15"/>
    <w:rsid w:val="00CE5AD7"/>
    <w:rsid w:val="00CE5ADA"/>
    <w:rsid w:val="00CF3BE3"/>
    <w:rsid w:val="00CF40EE"/>
    <w:rsid w:val="00CF70EA"/>
    <w:rsid w:val="00D034D3"/>
    <w:rsid w:val="00D0424C"/>
    <w:rsid w:val="00D1001B"/>
    <w:rsid w:val="00D127A0"/>
    <w:rsid w:val="00D13E78"/>
    <w:rsid w:val="00D2072A"/>
    <w:rsid w:val="00D2237C"/>
    <w:rsid w:val="00D24D5A"/>
    <w:rsid w:val="00D31C60"/>
    <w:rsid w:val="00D32FDA"/>
    <w:rsid w:val="00D33DC2"/>
    <w:rsid w:val="00D3442C"/>
    <w:rsid w:val="00D35381"/>
    <w:rsid w:val="00D37D1A"/>
    <w:rsid w:val="00D42572"/>
    <w:rsid w:val="00D4413D"/>
    <w:rsid w:val="00D45962"/>
    <w:rsid w:val="00D51B1F"/>
    <w:rsid w:val="00D51EA0"/>
    <w:rsid w:val="00D57AD0"/>
    <w:rsid w:val="00D62033"/>
    <w:rsid w:val="00D625FC"/>
    <w:rsid w:val="00D63EA1"/>
    <w:rsid w:val="00D648A1"/>
    <w:rsid w:val="00D651F9"/>
    <w:rsid w:val="00D65FEA"/>
    <w:rsid w:val="00D668BF"/>
    <w:rsid w:val="00D67A67"/>
    <w:rsid w:val="00D700D3"/>
    <w:rsid w:val="00D72569"/>
    <w:rsid w:val="00D738B8"/>
    <w:rsid w:val="00D7493F"/>
    <w:rsid w:val="00D74F58"/>
    <w:rsid w:val="00D759F2"/>
    <w:rsid w:val="00D800E9"/>
    <w:rsid w:val="00D833C8"/>
    <w:rsid w:val="00D86574"/>
    <w:rsid w:val="00D918E4"/>
    <w:rsid w:val="00D94846"/>
    <w:rsid w:val="00D95293"/>
    <w:rsid w:val="00D95AC0"/>
    <w:rsid w:val="00D95BC6"/>
    <w:rsid w:val="00D96115"/>
    <w:rsid w:val="00DA3419"/>
    <w:rsid w:val="00DA3B1A"/>
    <w:rsid w:val="00DA4218"/>
    <w:rsid w:val="00DA4DFC"/>
    <w:rsid w:val="00DA78D2"/>
    <w:rsid w:val="00DB022A"/>
    <w:rsid w:val="00DB0837"/>
    <w:rsid w:val="00DB1699"/>
    <w:rsid w:val="00DB43AF"/>
    <w:rsid w:val="00DB5488"/>
    <w:rsid w:val="00DB559A"/>
    <w:rsid w:val="00DB75ED"/>
    <w:rsid w:val="00DB7A82"/>
    <w:rsid w:val="00DB7B45"/>
    <w:rsid w:val="00DC0411"/>
    <w:rsid w:val="00DC0EBD"/>
    <w:rsid w:val="00DC29E2"/>
    <w:rsid w:val="00DC5D2D"/>
    <w:rsid w:val="00DC69B7"/>
    <w:rsid w:val="00DC6D39"/>
    <w:rsid w:val="00DC7709"/>
    <w:rsid w:val="00DC799D"/>
    <w:rsid w:val="00DD10B7"/>
    <w:rsid w:val="00DD4CDB"/>
    <w:rsid w:val="00DD50B1"/>
    <w:rsid w:val="00DD5B2E"/>
    <w:rsid w:val="00DD5EAF"/>
    <w:rsid w:val="00DD6393"/>
    <w:rsid w:val="00DE0948"/>
    <w:rsid w:val="00DE0E99"/>
    <w:rsid w:val="00DE23F9"/>
    <w:rsid w:val="00DE3CD3"/>
    <w:rsid w:val="00DE427C"/>
    <w:rsid w:val="00DE471F"/>
    <w:rsid w:val="00DE4BA6"/>
    <w:rsid w:val="00DE521B"/>
    <w:rsid w:val="00DE7AC3"/>
    <w:rsid w:val="00DF04D5"/>
    <w:rsid w:val="00DF1C9B"/>
    <w:rsid w:val="00DF1DF0"/>
    <w:rsid w:val="00DF282F"/>
    <w:rsid w:val="00DF2987"/>
    <w:rsid w:val="00DF6904"/>
    <w:rsid w:val="00E0185A"/>
    <w:rsid w:val="00E1089E"/>
    <w:rsid w:val="00E14E76"/>
    <w:rsid w:val="00E14FE9"/>
    <w:rsid w:val="00E162E8"/>
    <w:rsid w:val="00E22D4A"/>
    <w:rsid w:val="00E23ACB"/>
    <w:rsid w:val="00E25D90"/>
    <w:rsid w:val="00E27850"/>
    <w:rsid w:val="00E311FC"/>
    <w:rsid w:val="00E3396C"/>
    <w:rsid w:val="00E36A93"/>
    <w:rsid w:val="00E3784F"/>
    <w:rsid w:val="00E43AC6"/>
    <w:rsid w:val="00E454E4"/>
    <w:rsid w:val="00E46097"/>
    <w:rsid w:val="00E4787D"/>
    <w:rsid w:val="00E517AF"/>
    <w:rsid w:val="00E613E5"/>
    <w:rsid w:val="00E61743"/>
    <w:rsid w:val="00E61896"/>
    <w:rsid w:val="00E64906"/>
    <w:rsid w:val="00E67086"/>
    <w:rsid w:val="00E70A42"/>
    <w:rsid w:val="00E70BE9"/>
    <w:rsid w:val="00E72767"/>
    <w:rsid w:val="00E73C7A"/>
    <w:rsid w:val="00E75CF1"/>
    <w:rsid w:val="00E7604C"/>
    <w:rsid w:val="00E765A4"/>
    <w:rsid w:val="00E80DC4"/>
    <w:rsid w:val="00E82AEE"/>
    <w:rsid w:val="00E87EC5"/>
    <w:rsid w:val="00E91C4F"/>
    <w:rsid w:val="00E9617C"/>
    <w:rsid w:val="00E97272"/>
    <w:rsid w:val="00EA0B40"/>
    <w:rsid w:val="00EA662A"/>
    <w:rsid w:val="00EA6FC2"/>
    <w:rsid w:val="00EB0C91"/>
    <w:rsid w:val="00EB30A0"/>
    <w:rsid w:val="00EB30A6"/>
    <w:rsid w:val="00EB33C8"/>
    <w:rsid w:val="00EB3DE6"/>
    <w:rsid w:val="00EB41F5"/>
    <w:rsid w:val="00EB502C"/>
    <w:rsid w:val="00EC0CCB"/>
    <w:rsid w:val="00EC41EC"/>
    <w:rsid w:val="00ED0760"/>
    <w:rsid w:val="00ED2D35"/>
    <w:rsid w:val="00ED7475"/>
    <w:rsid w:val="00EE1E94"/>
    <w:rsid w:val="00EE2801"/>
    <w:rsid w:val="00EE43BB"/>
    <w:rsid w:val="00EE4E5A"/>
    <w:rsid w:val="00EE6C95"/>
    <w:rsid w:val="00EE6FB1"/>
    <w:rsid w:val="00EF48E6"/>
    <w:rsid w:val="00EF6167"/>
    <w:rsid w:val="00F02337"/>
    <w:rsid w:val="00F04B48"/>
    <w:rsid w:val="00F07FC8"/>
    <w:rsid w:val="00F152FE"/>
    <w:rsid w:val="00F15334"/>
    <w:rsid w:val="00F157CD"/>
    <w:rsid w:val="00F162D6"/>
    <w:rsid w:val="00F23A15"/>
    <w:rsid w:val="00F252B9"/>
    <w:rsid w:val="00F25815"/>
    <w:rsid w:val="00F25D83"/>
    <w:rsid w:val="00F26457"/>
    <w:rsid w:val="00F2647B"/>
    <w:rsid w:val="00F2682B"/>
    <w:rsid w:val="00F2773B"/>
    <w:rsid w:val="00F301D2"/>
    <w:rsid w:val="00F31003"/>
    <w:rsid w:val="00F37605"/>
    <w:rsid w:val="00F37613"/>
    <w:rsid w:val="00F40A2B"/>
    <w:rsid w:val="00F411E3"/>
    <w:rsid w:val="00F455A4"/>
    <w:rsid w:val="00F46AA5"/>
    <w:rsid w:val="00F46C40"/>
    <w:rsid w:val="00F47847"/>
    <w:rsid w:val="00F50392"/>
    <w:rsid w:val="00F53522"/>
    <w:rsid w:val="00F53DB4"/>
    <w:rsid w:val="00F54FA6"/>
    <w:rsid w:val="00F63D29"/>
    <w:rsid w:val="00F63D6E"/>
    <w:rsid w:val="00F67828"/>
    <w:rsid w:val="00F80282"/>
    <w:rsid w:val="00F834D1"/>
    <w:rsid w:val="00F86DF8"/>
    <w:rsid w:val="00F904A0"/>
    <w:rsid w:val="00F90689"/>
    <w:rsid w:val="00F93F0A"/>
    <w:rsid w:val="00F95C0D"/>
    <w:rsid w:val="00F96A0E"/>
    <w:rsid w:val="00F97A5C"/>
    <w:rsid w:val="00FA4F06"/>
    <w:rsid w:val="00FA5531"/>
    <w:rsid w:val="00FA636B"/>
    <w:rsid w:val="00FB055E"/>
    <w:rsid w:val="00FB442E"/>
    <w:rsid w:val="00FB5057"/>
    <w:rsid w:val="00FB7836"/>
    <w:rsid w:val="00FC24A8"/>
    <w:rsid w:val="00FC3682"/>
    <w:rsid w:val="00FC5008"/>
    <w:rsid w:val="00FD3939"/>
    <w:rsid w:val="00FD4C13"/>
    <w:rsid w:val="00FD596D"/>
    <w:rsid w:val="00FD5BEA"/>
    <w:rsid w:val="00FD6BA2"/>
    <w:rsid w:val="00FD6FA1"/>
    <w:rsid w:val="00FE0C22"/>
    <w:rsid w:val="00FE3FEB"/>
    <w:rsid w:val="00FE5176"/>
    <w:rsid w:val="00FF03A8"/>
    <w:rsid w:val="00FF1356"/>
    <w:rsid w:val="00FF1B7F"/>
    <w:rsid w:val="00FF2B0B"/>
    <w:rsid w:val="00FF3BF9"/>
    <w:rsid w:val="00FF5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AutoShape 5"/>
        <o:r id="V:Rule3" type="connector" idref="#AutoShape 6"/>
        <o:r id="V:Rule4"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66"/>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
    <w:name w:val="Body Text 3"/>
    <w:basedOn w:val="a"/>
    <w:link w:val="30"/>
    <w:rsid w:val="00CC303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C3037"/>
    <w:rPr>
      <w:rFonts w:ascii="Times New Roman" w:eastAsia="Times New Roman" w:hAnsi="Times New Roman" w:cs="Times New Roman"/>
      <w:sz w:val="16"/>
      <w:szCs w:val="16"/>
    </w:rPr>
  </w:style>
  <w:style w:type="paragraph" w:styleId="31">
    <w:name w:val="Body Text Indent 3"/>
    <w:basedOn w:val="a"/>
    <w:link w:val="32"/>
    <w:rsid w:val="00CC30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uiPriority w:val="99"/>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uiPriority w:val="99"/>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basedOn w:val="a"/>
    <w:uiPriority w:val="34"/>
    <w:qFormat/>
    <w:rsid w:val="00CC3037"/>
    <w:pPr>
      <w:ind w:left="720"/>
      <w:contextualSpacing/>
    </w:pPr>
    <w:rPr>
      <w:rFonts w:ascii="Calibri" w:eastAsia="Calibri" w:hAnsi="Calibri" w:cs="Times New Roman"/>
      <w:lang w:eastAsia="en-US"/>
    </w:rPr>
  </w:style>
  <w:style w:type="paragraph" w:customStyle="1" w:styleId="10">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
    <w:name w:val="Emphasis"/>
    <w:uiPriority w:val="99"/>
    <w:qFormat/>
    <w:rsid w:val="00CC3037"/>
    <w:rPr>
      <w:i/>
      <w:iCs/>
    </w:rPr>
  </w:style>
  <w:style w:type="paragraph" w:styleId="aff0">
    <w:name w:val="Subtitle"/>
    <w:basedOn w:val="a"/>
    <w:link w:val="aff1"/>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1">
    <w:name w:val="Подзаголовок Знак"/>
    <w:basedOn w:val="a0"/>
    <w:link w:val="aff0"/>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2">
    <w:name w:val="annotation text"/>
    <w:basedOn w:val="a"/>
    <w:link w:val="aff3"/>
    <w:uiPriority w:val="99"/>
    <w:rsid w:val="00CC3037"/>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4">
    <w:name w:val="Strong"/>
    <w:uiPriority w:val="99"/>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5">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6">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1">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 w:type="character" w:customStyle="1" w:styleId="y2iqfc">
    <w:name w:val="y2iqfc"/>
    <w:rsid w:val="001A3519"/>
  </w:style>
  <w:style w:type="paragraph" w:customStyle="1" w:styleId="rvps2">
    <w:name w:val="rvps2"/>
    <w:basedOn w:val="a"/>
    <w:rsid w:val="00882B32"/>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
    <w:name w:val="Body Text 3"/>
    <w:basedOn w:val="a"/>
    <w:link w:val="30"/>
    <w:rsid w:val="00CC303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C3037"/>
    <w:rPr>
      <w:rFonts w:ascii="Times New Roman" w:eastAsia="Times New Roman" w:hAnsi="Times New Roman" w:cs="Times New Roman"/>
      <w:sz w:val="16"/>
      <w:szCs w:val="16"/>
    </w:rPr>
  </w:style>
  <w:style w:type="paragraph" w:styleId="31">
    <w:name w:val="Body Text Indent 3"/>
    <w:basedOn w:val="a"/>
    <w:link w:val="32"/>
    <w:rsid w:val="00CC30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uiPriority w:val="99"/>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99"/>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basedOn w:val="a"/>
    <w:uiPriority w:val="34"/>
    <w:qFormat/>
    <w:rsid w:val="00CC3037"/>
    <w:pPr>
      <w:ind w:left="720"/>
      <w:contextualSpacing/>
    </w:pPr>
    <w:rPr>
      <w:rFonts w:ascii="Calibri" w:eastAsia="Calibri" w:hAnsi="Calibri" w:cs="Times New Roman"/>
      <w:lang w:eastAsia="en-US"/>
    </w:rPr>
  </w:style>
  <w:style w:type="paragraph" w:customStyle="1" w:styleId="10">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
    <w:name w:val="Emphasis"/>
    <w:uiPriority w:val="20"/>
    <w:qFormat/>
    <w:rsid w:val="00CC3037"/>
    <w:rPr>
      <w:i/>
      <w:iCs/>
    </w:rPr>
  </w:style>
  <w:style w:type="paragraph" w:styleId="aff0">
    <w:name w:val="Subtitle"/>
    <w:basedOn w:val="a"/>
    <w:link w:val="aff1"/>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1">
    <w:name w:val="Подзаголовок Знак"/>
    <w:basedOn w:val="a0"/>
    <w:link w:val="aff0"/>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2">
    <w:name w:val="annotation text"/>
    <w:basedOn w:val="a"/>
    <w:link w:val="aff3"/>
    <w:uiPriority w:val="99"/>
    <w:rsid w:val="00CC3037"/>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4">
    <w:name w:val="Strong"/>
    <w:uiPriority w:val="22"/>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5">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6">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1">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1.png"/><Relationship Id="rId39" Type="http://schemas.openxmlformats.org/officeDocument/2006/relationships/package" Target="embeddings/Microsoft_Excel_Worksheet20.xlsx"/><Relationship Id="rId3" Type="http://schemas.openxmlformats.org/officeDocument/2006/relationships/styles" Target="styles.xml"/><Relationship Id="rId21" Type="http://schemas.openxmlformats.org/officeDocument/2006/relationships/hyperlink" Target="https://www.trademap.org/" TargetMode="External"/><Relationship Id="rId34" Type="http://schemas.openxmlformats.org/officeDocument/2006/relationships/chart" Target="charts/chart17.xml"/><Relationship Id="rId42" Type="http://schemas.openxmlformats.org/officeDocument/2006/relationships/image" Target="media/image8.emf"/><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2.xml"/><Relationship Id="rId33" Type="http://schemas.openxmlformats.org/officeDocument/2006/relationships/chart" Target="charts/chart16.xml"/><Relationship Id="rId38" Type="http://schemas.openxmlformats.org/officeDocument/2006/relationships/image" Target="media/image6.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diagram.dia.dp.gov.ua/" TargetMode="External"/><Relationship Id="rId29" Type="http://schemas.openxmlformats.org/officeDocument/2006/relationships/image" Target="media/image4.png"/><Relationship Id="rId41" Type="http://schemas.openxmlformats.org/officeDocument/2006/relationships/package" Target="embeddings/Microsoft_Excel_Worksheet2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5.xml"/><Relationship Id="rId37" Type="http://schemas.openxmlformats.org/officeDocument/2006/relationships/chart" Target="charts/chart18.xml"/><Relationship Id="rId40" Type="http://schemas.openxmlformats.org/officeDocument/2006/relationships/image" Target="media/image7.emf"/><Relationship Id="rId45" Type="http://schemas.openxmlformats.org/officeDocument/2006/relationships/package" Target="embeddings/Microsoft_Excel_Worksheet23.xlsx"/><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3.png"/><Relationship Id="rId36" Type="http://schemas.openxmlformats.org/officeDocument/2006/relationships/package" Target="embeddings/Microsoft_Excel_Worksheet18.xlsx"/><Relationship Id="rId49" Type="http://schemas.openxmlformats.org/officeDocument/2006/relationships/theme" Target="theme/theme1.xml"/><Relationship Id="rId10" Type="http://schemas.openxmlformats.org/officeDocument/2006/relationships/hyperlink" Target="https://adm.dp.gov.ua/storage/app/media/uploaded-files/plan_diyalnosti_na_2021_reg_akti_.pdf" TargetMode="External"/><Relationship Id="rId19" Type="http://schemas.openxmlformats.org/officeDocument/2006/relationships/chart" Target="charts/chart9.xml"/><Relationship Id="rId31" Type="http://schemas.openxmlformats.org/officeDocument/2006/relationships/chart" Target="charts/chart14.xml"/><Relationship Id="rId44"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adm.dp.gov.ua/" TargetMode="External"/><Relationship Id="rId14" Type="http://schemas.openxmlformats.org/officeDocument/2006/relationships/chart" Target="charts/chart4.xml"/><Relationship Id="rId22" Type="http://schemas.openxmlformats.org/officeDocument/2006/relationships/hyperlink" Target="https://helpdesk.epo.org.ua/" TargetMode="External"/><Relationship Id="rId27" Type="http://schemas.openxmlformats.org/officeDocument/2006/relationships/image" Target="media/image2.png"/><Relationship Id="rId30" Type="http://schemas.openxmlformats.org/officeDocument/2006/relationships/chart" Target="charts/chart13.xml"/><Relationship Id="rId35" Type="http://schemas.openxmlformats.org/officeDocument/2006/relationships/image" Target="media/image5.emf"/><Relationship Id="rId43" Type="http://schemas.openxmlformats.org/officeDocument/2006/relationships/package" Target="embeddings/Microsoft_Excel_Worksheet22.xlsx"/><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63" b="1" i="0" u="none" strike="noStrike" baseline="0">
                <a:solidFill>
                  <a:srgbClr val="000000"/>
                </a:solidFill>
                <a:latin typeface="Times New Roman" pitchFamily="18" charset="0"/>
                <a:ea typeface="Arial Cyr"/>
                <a:cs typeface="Times New Roman" pitchFamily="18" charset="0"/>
              </a:defRPr>
            </a:pPr>
            <a:r>
              <a:rPr lang="ru-RU" sz="1263">
                <a:latin typeface="Times New Roman" pitchFamily="18" charset="0"/>
                <a:cs typeface="Times New Roman" pitchFamily="18" charset="0"/>
              </a:rPr>
              <a:t>Капітальні інвестиції за джерелами фінансування
 за січень </a:t>
            </a:r>
            <a:r>
              <a:rPr lang="ru-RU" sz="1263">
                <a:latin typeface="Times New Roman"/>
                <a:cs typeface="Times New Roman"/>
              </a:rPr>
              <a:t>‒ </a:t>
            </a:r>
            <a:r>
              <a:rPr lang="ru-RU" sz="1263" baseline="0">
                <a:latin typeface="Times New Roman" pitchFamily="18" charset="0"/>
                <a:cs typeface="Times New Roman" pitchFamily="18" charset="0"/>
              </a:rPr>
              <a:t>березень </a:t>
            </a:r>
            <a:r>
              <a:rPr lang="ru-RU" sz="1263">
                <a:latin typeface="Times New Roman" pitchFamily="18" charset="0"/>
                <a:cs typeface="Times New Roman" pitchFamily="18" charset="0"/>
              </a:rPr>
              <a:t>2021</a:t>
            </a:r>
            <a:r>
              <a:rPr lang="ru-RU" sz="1263" baseline="0">
                <a:latin typeface="Times New Roman" pitchFamily="18" charset="0"/>
                <a:cs typeface="Times New Roman" pitchFamily="18" charset="0"/>
              </a:rPr>
              <a:t> року</a:t>
            </a:r>
            <a:r>
              <a:rPr lang="ru-RU" sz="1263">
                <a:latin typeface="Times New Roman" pitchFamily="18" charset="0"/>
                <a:cs typeface="Times New Roman" pitchFamily="18" charset="0"/>
              </a:rPr>
              <a:t>, %</a:t>
            </a:r>
          </a:p>
        </c:rich>
      </c:tx>
      <c:layout>
        <c:manualLayout>
          <c:xMode val="edge"/>
          <c:yMode val="edge"/>
          <c:x val="0.20062052769719568"/>
          <c:y val="2.0338894555171402E-2"/>
        </c:manualLayout>
      </c:layout>
      <c:overlay val="0"/>
      <c:spPr>
        <a:noFill/>
        <a:ln w="1604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935856992639315"/>
          <c:y val="0.4261460101867573"/>
          <c:w val="0.43638275499474827"/>
          <c:h val="0.27843803056027167"/>
        </c:manualLayout>
      </c:layout>
      <c:pie3DChart>
        <c:varyColors val="1"/>
        <c:ser>
          <c:idx val="0"/>
          <c:order val="0"/>
          <c:spPr>
            <a:ln w="8022">
              <a:solidFill>
                <a:srgbClr val="000000"/>
              </a:solidFill>
              <a:prstDash val="solid"/>
            </a:ln>
          </c:spPr>
          <c:explosion val="25"/>
          <c:dPt>
            <c:idx val="0"/>
            <c:bubble3D val="0"/>
            <c:spPr>
              <a:solidFill>
                <a:srgbClr val="9999FF"/>
              </a:solidFill>
              <a:ln w="8022">
                <a:solidFill>
                  <a:srgbClr val="000000"/>
                </a:solidFill>
                <a:prstDash val="solid"/>
              </a:ln>
            </c:spPr>
          </c:dPt>
          <c:dPt>
            <c:idx val="1"/>
            <c:bubble3D val="0"/>
            <c:spPr>
              <a:solidFill>
                <a:srgbClr val="993366"/>
              </a:solidFill>
              <a:ln w="8022">
                <a:solidFill>
                  <a:srgbClr val="000000"/>
                </a:solidFill>
                <a:prstDash val="solid"/>
              </a:ln>
            </c:spPr>
          </c:dPt>
          <c:dPt>
            <c:idx val="2"/>
            <c:bubble3D val="0"/>
            <c:spPr>
              <a:solidFill>
                <a:srgbClr val="FFFFCC"/>
              </a:solidFill>
              <a:ln w="8022">
                <a:solidFill>
                  <a:srgbClr val="000000"/>
                </a:solidFill>
                <a:prstDash val="solid"/>
              </a:ln>
            </c:spPr>
          </c:dPt>
          <c:dPt>
            <c:idx val="3"/>
            <c:bubble3D val="0"/>
            <c:spPr>
              <a:solidFill>
                <a:srgbClr val="CCFFFF"/>
              </a:solidFill>
              <a:ln w="8022">
                <a:solidFill>
                  <a:srgbClr val="000000"/>
                </a:solidFill>
                <a:prstDash val="solid"/>
              </a:ln>
            </c:spPr>
          </c:dPt>
          <c:dLbls>
            <c:dLbl>
              <c:idx val="0"/>
              <c:layout>
                <c:manualLayout>
                  <c:x val="3.2189171803369741E-2"/>
                  <c:y val="-6.9219449263757254E-2"/>
                </c:manualLayout>
              </c:layout>
              <c:numFmt formatCode="0.0%" sourceLinked="0"/>
              <c:spPr>
                <a:noFill/>
                <a:ln w="16045">
                  <a:noFill/>
                </a:ln>
              </c:spPr>
              <c:txPr>
                <a:bodyPr/>
                <a:lstStyle/>
                <a:p>
                  <a:pPr>
                    <a:defRPr sz="884"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dLbl>
            <c:dLbl>
              <c:idx val="1"/>
              <c:layout>
                <c:manualLayout>
                  <c:x val="3.8332261207783401E-2"/>
                  <c:y val="-5.2554828951465814E-2"/>
                </c:manualLayout>
              </c:layout>
              <c:numFmt formatCode="0.0%" sourceLinked="0"/>
              <c:spPr>
                <a:noFill/>
                <a:ln w="16045">
                  <a:noFill/>
                </a:ln>
              </c:spPr>
              <c:txPr>
                <a:bodyPr/>
                <a:lstStyle/>
                <a:p>
                  <a:pPr>
                    <a:defRPr sz="884"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dLbl>
            <c:dLbl>
              <c:idx val="2"/>
              <c:layout>
                <c:manualLayout>
                  <c:x val="-7.8271136480225437E-3"/>
                  <c:y val="8.4197339739313065E-2"/>
                </c:manualLayout>
              </c:layout>
              <c:numFmt formatCode="0.0%" sourceLinked="0"/>
              <c:spPr>
                <a:noFill/>
                <a:ln w="16045">
                  <a:noFill/>
                </a:ln>
              </c:spPr>
              <c:txPr>
                <a:bodyPr/>
                <a:lstStyle/>
                <a:p>
                  <a:pPr>
                    <a:defRPr sz="884"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dLbl>
            <c:dLbl>
              <c:idx val="3"/>
              <c:layout>
                <c:manualLayout>
                  <c:x val="-3.2768716733572706E-2"/>
                  <c:y val="-2.5104853418746402E-2"/>
                </c:manualLayout>
              </c:layout>
              <c:numFmt formatCode="0.0%" sourceLinked="0"/>
              <c:spPr>
                <a:noFill/>
                <a:ln w="16045">
                  <a:noFill/>
                </a:ln>
              </c:spPr>
              <c:txPr>
                <a:bodyPr/>
                <a:lstStyle/>
                <a:p>
                  <a:pPr>
                    <a:defRPr sz="884"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dLbl>
            <c:dLbl>
              <c:idx val="4"/>
              <c:layout>
                <c:manualLayout>
                  <c:x val="-2.7370523875828882E-2"/>
                  <c:y val="-7.2990969349170834E-2"/>
                </c:manualLayout>
              </c:layout>
              <c:dLblPos val="bestFit"/>
              <c:showLegendKey val="0"/>
              <c:showVal val="1"/>
              <c:showCatName val="0"/>
              <c:showSerName val="0"/>
              <c:showPercent val="0"/>
              <c:showBubbleSize val="0"/>
            </c:dLbl>
            <c:dLbl>
              <c:idx val="5"/>
              <c:layout>
                <c:manualLayout>
                  <c:x val="2.5593563989610043E-2"/>
                  <c:y val="-0.12219386983406735"/>
                </c:manualLayout>
              </c:layout>
              <c:dLblPos val="bestFit"/>
              <c:showLegendKey val="0"/>
              <c:showVal val="1"/>
              <c:showCatName val="0"/>
              <c:showSerName val="0"/>
              <c:showPercent val="0"/>
              <c:showBubbleSize val="0"/>
            </c:dLbl>
            <c:dLbl>
              <c:idx val="6"/>
              <c:layout>
                <c:manualLayout>
                  <c:x val="4.1403805909990307E-2"/>
                  <c:y val="-0.13542275012233776"/>
                </c:manualLayout>
              </c:layout>
              <c:dLblPos val="bestFit"/>
              <c:showLegendKey val="0"/>
              <c:showVal val="1"/>
              <c:showCatName val="0"/>
              <c:showSerName val="0"/>
              <c:showPercent val="0"/>
              <c:showBubbleSize val="0"/>
            </c:dLbl>
            <c:dLbl>
              <c:idx val="7"/>
              <c:layout>
                <c:manualLayout>
                  <c:x val="2.1155561345938167E-2"/>
                  <c:y val="-6.8437741892433526E-2"/>
                </c:manualLayout>
              </c:layout>
              <c:dLblPos val="bestFit"/>
              <c:showLegendKey val="0"/>
              <c:showVal val="1"/>
              <c:showCatName val="0"/>
              <c:showSerName val="0"/>
              <c:showPercent val="0"/>
              <c:showBubbleSize val="0"/>
            </c:dLbl>
            <c:numFmt formatCode="0.0%" sourceLinked="0"/>
            <c:spPr>
              <a:noFill/>
              <a:ln w="16045">
                <a:noFill/>
              </a:ln>
            </c:spPr>
            <c:txPr>
              <a:bodyPr/>
              <a:lstStyle/>
              <a:p>
                <a:pPr>
                  <a:defRPr sz="75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Лист1!$A$1:$A$4</c:f>
              <c:strCache>
                <c:ptCount val="4"/>
                <c:pt idx="0">
                  <c:v>державний бюджет</c:v>
                </c:pt>
                <c:pt idx="1">
                  <c:v>місцеві бюджети</c:v>
                </c:pt>
                <c:pt idx="2">
                  <c:v>кошти підприємств</c:v>
                </c:pt>
                <c:pt idx="3">
                  <c:v>кредити банків та інші позики</c:v>
                </c:pt>
              </c:strCache>
            </c:strRef>
          </c:cat>
          <c:val>
            <c:numRef>
              <c:f>Лист1!$B$1:$B$4</c:f>
              <c:numCache>
                <c:formatCode>0.0%</c:formatCode>
                <c:ptCount val="4"/>
                <c:pt idx="0">
                  <c:v>1.0999999999999998E-2</c:v>
                </c:pt>
                <c:pt idx="1">
                  <c:v>7.2000000000000133E-2</c:v>
                </c:pt>
                <c:pt idx="2">
                  <c:v>0.87900000000000444</c:v>
                </c:pt>
                <c:pt idx="3">
                  <c:v>3.1000000000000208E-2</c:v>
                </c:pt>
              </c:numCache>
            </c:numRef>
          </c:val>
        </c:ser>
        <c:dLbls>
          <c:showLegendKey val="0"/>
          <c:showVal val="0"/>
          <c:showCatName val="0"/>
          <c:showSerName val="0"/>
          <c:showPercent val="0"/>
          <c:showBubbleSize val="0"/>
          <c:showLeaderLines val="1"/>
        </c:dLbls>
      </c:pie3DChart>
      <c:spPr>
        <a:noFill/>
        <a:ln w="16045">
          <a:noFill/>
        </a:ln>
      </c:spPr>
    </c:plotArea>
    <c:legend>
      <c:legendPos val="r"/>
      <c:layout>
        <c:manualLayout>
          <c:xMode val="edge"/>
          <c:yMode val="edge"/>
          <c:x val="0.54567757977621156"/>
          <c:y val="0.21752010179281844"/>
          <c:w val="0.40572377400193405"/>
          <c:h val="0.57118648856261256"/>
        </c:manualLayout>
      </c:layout>
      <c:overlay val="0"/>
      <c:spPr>
        <a:solidFill>
          <a:srgbClr val="FFFFFF"/>
        </a:solidFill>
        <a:ln w="16045">
          <a:noFill/>
        </a:ln>
      </c:spPr>
      <c:txPr>
        <a:bodyPr/>
        <a:lstStyle/>
        <a:p>
          <a:pPr>
            <a:defRPr sz="126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63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565217391304349E-2"/>
          <c:y val="4.0909090909090923E-2"/>
          <c:w val="0.82608695652173914"/>
          <c:h val="0.9"/>
        </c:manualLayout>
      </c:layout>
      <c:barChart>
        <c:barDir val="col"/>
        <c:grouping val="clustered"/>
        <c:varyColors val="0"/>
        <c:ser>
          <c:idx val="0"/>
          <c:order val="0"/>
          <c:tx>
            <c:strRef>
              <c:f>Sheet1!$A$2</c:f>
              <c:strCache>
                <c:ptCount val="1"/>
                <c:pt idx="0">
                  <c:v>2020</c:v>
                </c:pt>
              </c:strCache>
            </c:strRef>
          </c:tx>
          <c:spPr>
            <a:solidFill>
              <a:schemeClr val="accent5">
                <a:lumMod val="75000"/>
              </a:schemeClr>
            </a:solidFill>
            <a:ln w="12685">
              <a:solidFill>
                <a:srgbClr val="000000"/>
              </a:solidFill>
              <a:prstDash val="solid"/>
            </a:ln>
          </c:spPr>
          <c:invertIfNegative val="0"/>
          <c:dLbls>
            <c:dLbl>
              <c:idx val="0"/>
              <c:layout>
                <c:manualLayout>
                  <c:x val="3.5553743128615277E-2"/>
                  <c:y val="-0.11631588874426595"/>
                </c:manualLayout>
              </c:layout>
              <c:showLegendKey val="0"/>
              <c:showVal val="1"/>
              <c:showCatName val="0"/>
              <c:showSerName val="0"/>
              <c:showPercent val="0"/>
              <c:showBubbleSize val="0"/>
            </c:dLbl>
            <c:spPr>
              <a:noFill/>
              <a:ln w="25370">
                <a:noFill/>
              </a:ln>
            </c:spPr>
            <c:txPr>
              <a:bodyPr/>
              <a:lstStyle/>
              <a:p>
                <a:pPr>
                  <a:defRPr lang="uk-UA"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Sheet1!$B$2:$B$2</c:f>
              <c:numCache>
                <c:formatCode>General</c:formatCode>
                <c:ptCount val="1"/>
                <c:pt idx="0">
                  <c:v>71.3</c:v>
                </c:pt>
              </c:numCache>
            </c:numRef>
          </c:val>
        </c:ser>
        <c:ser>
          <c:idx val="1"/>
          <c:order val="1"/>
          <c:tx>
            <c:strRef>
              <c:f>Sheet1!$A$3</c:f>
              <c:strCache>
                <c:ptCount val="1"/>
                <c:pt idx="0">
                  <c:v>2021</c:v>
                </c:pt>
              </c:strCache>
            </c:strRef>
          </c:tx>
          <c:spPr>
            <a:solidFill>
              <a:schemeClr val="accent5">
                <a:lumMod val="60000"/>
                <a:lumOff val="40000"/>
              </a:schemeClr>
            </a:solidFill>
            <a:ln w="12685">
              <a:solidFill>
                <a:srgbClr val="000000"/>
              </a:solidFill>
              <a:prstDash val="solid"/>
            </a:ln>
          </c:spPr>
          <c:invertIfNegative val="0"/>
          <c:dLbls>
            <c:dLbl>
              <c:idx val="0"/>
              <c:layout>
                <c:manualLayout>
                  <c:x val="3.4935621650704005E-2"/>
                  <c:y val="-4.6424381611389468E-2"/>
                </c:manualLayout>
              </c:layout>
              <c:showLegendKey val="0"/>
              <c:showVal val="1"/>
              <c:showCatName val="0"/>
              <c:showSerName val="0"/>
              <c:showPercent val="0"/>
              <c:showBubbleSize val="0"/>
            </c:dLbl>
            <c:numFmt formatCode="0.0" sourceLinked="0"/>
            <c:spPr>
              <a:noFill/>
              <a:ln w="25370">
                <a:noFill/>
              </a:ln>
            </c:spPr>
            <c:txPr>
              <a:bodyPr/>
              <a:lstStyle/>
              <a:p>
                <a:pPr>
                  <a:defRPr lang="uk-UA"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Sheet1!$B$3:$B$3</c:f>
              <c:numCache>
                <c:formatCode>General</c:formatCode>
                <c:ptCount val="1"/>
                <c:pt idx="0">
                  <c:v>97.8</c:v>
                </c:pt>
              </c:numCache>
            </c:numRef>
          </c:val>
        </c:ser>
        <c:dLbls>
          <c:showLegendKey val="0"/>
          <c:showVal val="0"/>
          <c:showCatName val="0"/>
          <c:showSerName val="0"/>
          <c:showPercent val="0"/>
          <c:showBubbleSize val="0"/>
        </c:dLbls>
        <c:gapWidth val="150"/>
        <c:axId val="344667648"/>
        <c:axId val="344669184"/>
      </c:barChart>
      <c:catAx>
        <c:axId val="344667648"/>
        <c:scaling>
          <c:orientation val="minMax"/>
        </c:scaling>
        <c:delete val="1"/>
        <c:axPos val="b"/>
        <c:majorTickMark val="out"/>
        <c:minorTickMark val="none"/>
        <c:tickLblPos val="none"/>
        <c:crossAx val="344669184"/>
        <c:crosses val="autoZero"/>
        <c:auto val="1"/>
        <c:lblAlgn val="ctr"/>
        <c:lblOffset val="100"/>
        <c:noMultiLvlLbl val="0"/>
      </c:catAx>
      <c:valAx>
        <c:axId val="344669184"/>
        <c:scaling>
          <c:orientation val="minMax"/>
        </c:scaling>
        <c:delete val="1"/>
        <c:axPos val="l"/>
        <c:numFmt formatCode="General" sourceLinked="1"/>
        <c:majorTickMark val="out"/>
        <c:minorTickMark val="none"/>
        <c:tickLblPos val="none"/>
        <c:crossAx val="344667648"/>
        <c:crosses val="autoZero"/>
        <c:crossBetween val="between"/>
      </c:valAx>
      <c:spPr>
        <a:noFill/>
        <a:ln w="25400">
          <a:noFill/>
        </a:ln>
      </c:spPr>
    </c:plotArea>
    <c:legend>
      <c:legendPos val="r"/>
      <c:layout>
        <c:manualLayout>
          <c:xMode val="edge"/>
          <c:yMode val="edge"/>
          <c:x val="0.88913043478260856"/>
          <c:y val="0.40454545454545454"/>
          <c:w val="9.4373291121024605E-2"/>
          <c:h val="0.19950687982184045"/>
        </c:manualLayout>
      </c:layout>
      <c:overlay val="0"/>
      <c:spPr>
        <a:noFill/>
        <a:ln w="25370">
          <a:noFill/>
        </a:ln>
      </c:spPr>
      <c:txPr>
        <a:bodyPr/>
        <a:lstStyle/>
        <a:p>
          <a:pPr>
            <a:defRPr lang="uk-UA" sz="89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spPr>
            <a:solidFill>
              <a:schemeClr val="accent1">
                <a:lumMod val="50000"/>
              </a:schemeClr>
            </a:solidFill>
          </c:spPr>
          <c:invertIfNegative val="0"/>
          <c:dPt>
            <c:idx val="0"/>
            <c:invertIfNegative val="0"/>
            <c:bubble3D val="0"/>
            <c:spPr>
              <a:solidFill>
                <a:schemeClr val="accent6">
                  <a:lumMod val="75000"/>
                </a:schemeClr>
              </a:solidFill>
            </c:spPr>
          </c:dPt>
          <c:dPt>
            <c:idx val="1"/>
            <c:invertIfNegative val="0"/>
            <c:bubble3D val="0"/>
            <c:spPr>
              <a:solidFill>
                <a:schemeClr val="accent6">
                  <a:lumMod val="75000"/>
                </a:schemeClr>
              </a:solidFill>
            </c:spPr>
          </c:dPt>
          <c:dPt>
            <c:idx val="2"/>
            <c:invertIfNegative val="0"/>
            <c:bubble3D val="0"/>
            <c:spPr>
              <a:solidFill>
                <a:schemeClr val="accent6">
                  <a:lumMod val="75000"/>
                </a:schemeClr>
              </a:solidFill>
            </c:spPr>
          </c:dPt>
          <c:dPt>
            <c:idx val="3"/>
            <c:invertIfNegative val="0"/>
            <c:bubble3D val="0"/>
            <c:spPr>
              <a:solidFill>
                <a:schemeClr val="accent6">
                  <a:lumMod val="75000"/>
                </a:schemeClr>
              </a:solidFill>
            </c:spPr>
          </c:dPt>
          <c:dLbls>
            <c:txPr>
              <a:bodyPr/>
              <a:lstStyle/>
              <a:p>
                <a:pPr>
                  <a:defRPr lang="uk-UA"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Кам’янський</c:v>
                </c:pt>
                <c:pt idx="1">
                  <c:v>Криворізький</c:v>
                </c:pt>
                <c:pt idx="2">
                  <c:v>Нікопольський</c:v>
                </c:pt>
                <c:pt idx="3">
                  <c:v>Синельниківський</c:v>
                </c:pt>
              </c:strCache>
            </c:strRef>
          </c:cat>
          <c:val>
            <c:numRef>
              <c:f>Лист1!$B$2:$B$5</c:f>
              <c:numCache>
                <c:formatCode>General</c:formatCode>
                <c:ptCount val="4"/>
                <c:pt idx="0">
                  <c:v>40.9</c:v>
                </c:pt>
                <c:pt idx="1">
                  <c:v>46.4</c:v>
                </c:pt>
                <c:pt idx="2">
                  <c:v>40.200000000000003</c:v>
                </c:pt>
                <c:pt idx="3">
                  <c:v>41.2</c:v>
                </c:pt>
              </c:numCache>
            </c:numRef>
          </c:val>
        </c:ser>
        <c:dLbls>
          <c:showLegendKey val="0"/>
          <c:showVal val="0"/>
          <c:showCatName val="0"/>
          <c:showSerName val="0"/>
          <c:showPercent val="0"/>
          <c:showBubbleSize val="0"/>
        </c:dLbls>
        <c:gapWidth val="150"/>
        <c:axId val="344732800"/>
        <c:axId val="344734336"/>
      </c:barChart>
      <c:catAx>
        <c:axId val="344732800"/>
        <c:scaling>
          <c:orientation val="minMax"/>
        </c:scaling>
        <c:delete val="0"/>
        <c:axPos val="l"/>
        <c:majorTickMark val="out"/>
        <c:minorTickMark val="none"/>
        <c:tickLblPos val="nextTo"/>
        <c:txPr>
          <a:bodyPr/>
          <a:lstStyle/>
          <a:p>
            <a:pPr>
              <a:defRPr lang="uk-UA" b="1">
                <a:latin typeface="Times New Roman" pitchFamily="18" charset="0"/>
                <a:cs typeface="Times New Roman" pitchFamily="18" charset="0"/>
              </a:defRPr>
            </a:pPr>
            <a:endParaRPr lang="ru-RU"/>
          </a:p>
        </c:txPr>
        <c:crossAx val="344734336"/>
        <c:crosses val="autoZero"/>
        <c:auto val="1"/>
        <c:lblAlgn val="ctr"/>
        <c:lblOffset val="100"/>
        <c:noMultiLvlLbl val="0"/>
      </c:catAx>
      <c:valAx>
        <c:axId val="344734336"/>
        <c:scaling>
          <c:orientation val="minMax"/>
        </c:scaling>
        <c:delete val="1"/>
        <c:axPos val="b"/>
        <c:majorGridlines>
          <c:spPr>
            <a:ln>
              <a:noFill/>
            </a:ln>
          </c:spPr>
        </c:majorGridlines>
        <c:numFmt formatCode="General" sourceLinked="1"/>
        <c:majorTickMark val="out"/>
        <c:minorTickMark val="none"/>
        <c:tickLblPos val="none"/>
        <c:crossAx val="344732800"/>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Виробництво мяса, тис. тонн</c:v>
                </c:pt>
              </c:strCache>
            </c:strRef>
          </c:tx>
          <c:spPr>
            <a:solidFill>
              <a:schemeClr val="accent5">
                <a:lumMod val="75000"/>
              </a:schemeClr>
            </a:solidFill>
          </c:spPr>
          <c:invertIfNegative val="0"/>
          <c:dLbls>
            <c:txPr>
              <a:bodyPr/>
              <a:lstStyle/>
              <a:p>
                <a:pPr>
                  <a:defRPr lang="uk-UA"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Дніпровський</c:v>
                </c:pt>
                <c:pt idx="1">
                  <c:v>Кам’янський</c:v>
                </c:pt>
                <c:pt idx="2">
                  <c:v>Криворізький</c:v>
                </c:pt>
                <c:pt idx="3">
                  <c:v>Нікопольський</c:v>
                </c:pt>
                <c:pt idx="4">
                  <c:v>Новомосковський</c:v>
                </c:pt>
                <c:pt idx="5">
                  <c:v>Павлоградський</c:v>
                </c:pt>
                <c:pt idx="6">
                  <c:v>Синельниківський</c:v>
                </c:pt>
              </c:strCache>
            </c:strRef>
          </c:cat>
          <c:val>
            <c:numRef>
              <c:f>Лист1!$B$2:$B$8</c:f>
              <c:numCache>
                <c:formatCode>General</c:formatCode>
                <c:ptCount val="7"/>
                <c:pt idx="0">
                  <c:v>65.7</c:v>
                </c:pt>
                <c:pt idx="1">
                  <c:v>2.9</c:v>
                </c:pt>
                <c:pt idx="2">
                  <c:v>5.2</c:v>
                </c:pt>
                <c:pt idx="3">
                  <c:v>49</c:v>
                </c:pt>
                <c:pt idx="4">
                  <c:v>43.1</c:v>
                </c:pt>
                <c:pt idx="5">
                  <c:v>0.70000000000000062</c:v>
                </c:pt>
                <c:pt idx="6">
                  <c:v>1.2</c:v>
                </c:pt>
              </c:numCache>
            </c:numRef>
          </c:val>
        </c:ser>
        <c:dLbls>
          <c:showLegendKey val="0"/>
          <c:showVal val="0"/>
          <c:showCatName val="0"/>
          <c:showSerName val="0"/>
          <c:showPercent val="0"/>
          <c:showBubbleSize val="0"/>
        </c:dLbls>
        <c:gapWidth val="150"/>
        <c:axId val="344758528"/>
        <c:axId val="356450304"/>
      </c:barChart>
      <c:catAx>
        <c:axId val="344758528"/>
        <c:scaling>
          <c:orientation val="minMax"/>
        </c:scaling>
        <c:delete val="0"/>
        <c:axPos val="l"/>
        <c:numFmt formatCode="General" sourceLinked="1"/>
        <c:majorTickMark val="out"/>
        <c:minorTickMark val="none"/>
        <c:tickLblPos val="nextTo"/>
        <c:txPr>
          <a:bodyPr/>
          <a:lstStyle/>
          <a:p>
            <a:pPr>
              <a:defRPr lang="uk-UA" b="1">
                <a:latin typeface="Times New Roman" pitchFamily="18" charset="0"/>
                <a:cs typeface="Times New Roman" pitchFamily="18" charset="0"/>
              </a:defRPr>
            </a:pPr>
            <a:endParaRPr lang="ru-RU"/>
          </a:p>
        </c:txPr>
        <c:crossAx val="356450304"/>
        <c:crosses val="autoZero"/>
        <c:auto val="1"/>
        <c:lblAlgn val="ctr"/>
        <c:lblOffset val="100"/>
        <c:noMultiLvlLbl val="0"/>
      </c:catAx>
      <c:valAx>
        <c:axId val="356450304"/>
        <c:scaling>
          <c:orientation val="minMax"/>
        </c:scaling>
        <c:delete val="1"/>
        <c:axPos val="b"/>
        <c:majorGridlines>
          <c:spPr>
            <a:ln>
              <a:noFill/>
            </a:ln>
          </c:spPr>
        </c:majorGridlines>
        <c:numFmt formatCode="General" sourceLinked="1"/>
        <c:majorTickMark val="out"/>
        <c:minorTickMark val="none"/>
        <c:tickLblPos val="none"/>
        <c:crossAx val="344758528"/>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44444444444502E-2"/>
          <c:y val="7.1059431524547814E-2"/>
          <c:w val="0.93888888888889255"/>
          <c:h val="0.75174469470386518"/>
        </c:manualLayout>
      </c:layout>
      <c:barChart>
        <c:barDir val="col"/>
        <c:grouping val="clustered"/>
        <c:varyColors val="0"/>
        <c:ser>
          <c:idx val="0"/>
          <c:order val="0"/>
          <c:spPr>
            <a:gradFill flip="none" rotWithShape="1">
              <a:gsLst>
                <a:gs pos="0">
                  <a:srgbClr val="8488C4"/>
                </a:gs>
                <a:gs pos="53000">
                  <a:srgbClr val="D4DEFF"/>
                </a:gs>
                <a:gs pos="83000">
                  <a:srgbClr val="D4DEFF"/>
                </a:gs>
                <a:gs pos="100000">
                  <a:srgbClr val="96AB94"/>
                </a:gs>
              </a:gsLst>
              <a:lin ang="5400000" scaled="0"/>
              <a:tileRect r="-100000" b="-100000"/>
            </a:gradFill>
          </c:spPr>
          <c:invertIfNegative val="0"/>
          <c:dLbls>
            <c:txPr>
              <a:bodyPr/>
              <a:lstStyle/>
              <a:p>
                <a:pPr>
                  <a:defRPr lang="uk-UA"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Лист1!$F$6:$G$6</c:f>
              <c:strCache>
                <c:ptCount val="2"/>
                <c:pt idx="0">
                  <c:v>ІІ кв. 2020</c:v>
                </c:pt>
                <c:pt idx="1">
                  <c:v>ІІ кв. 2021</c:v>
                </c:pt>
              </c:strCache>
            </c:strRef>
          </c:cat>
          <c:val>
            <c:numRef>
              <c:f>Лист1!$F$7:$G$7</c:f>
              <c:numCache>
                <c:formatCode>General</c:formatCode>
                <c:ptCount val="2"/>
                <c:pt idx="0">
                  <c:v>1664.21</c:v>
                </c:pt>
                <c:pt idx="1">
                  <c:v>1735.74</c:v>
                </c:pt>
              </c:numCache>
            </c:numRef>
          </c:val>
        </c:ser>
        <c:dLbls>
          <c:showLegendKey val="0"/>
          <c:showVal val="0"/>
          <c:showCatName val="0"/>
          <c:showSerName val="0"/>
          <c:showPercent val="0"/>
          <c:showBubbleSize val="0"/>
        </c:dLbls>
        <c:gapWidth val="150"/>
        <c:axId val="241827200"/>
        <c:axId val="344691840"/>
      </c:barChart>
      <c:catAx>
        <c:axId val="241827200"/>
        <c:scaling>
          <c:orientation val="minMax"/>
        </c:scaling>
        <c:delete val="0"/>
        <c:axPos val="b"/>
        <c:majorTickMark val="out"/>
        <c:minorTickMark val="none"/>
        <c:tickLblPos val="nextTo"/>
        <c:txPr>
          <a:bodyPr/>
          <a:lstStyle/>
          <a:p>
            <a:pPr>
              <a:defRPr lang="uk-UA" sz="1200" baseline="0">
                <a:latin typeface="Times New Roman" pitchFamily="18" charset="0"/>
              </a:defRPr>
            </a:pPr>
            <a:endParaRPr lang="ru-RU"/>
          </a:p>
        </c:txPr>
        <c:crossAx val="344691840"/>
        <c:crosses val="autoZero"/>
        <c:auto val="1"/>
        <c:lblAlgn val="ctr"/>
        <c:lblOffset val="100"/>
        <c:noMultiLvlLbl val="0"/>
      </c:catAx>
      <c:valAx>
        <c:axId val="344691840"/>
        <c:scaling>
          <c:orientation val="minMax"/>
        </c:scaling>
        <c:delete val="1"/>
        <c:axPos val="l"/>
        <c:numFmt formatCode="General" sourceLinked="1"/>
        <c:majorTickMark val="out"/>
        <c:minorTickMark val="none"/>
        <c:tickLblPos val="none"/>
        <c:crossAx val="241827200"/>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82E-2"/>
          <c:y val="0"/>
          <c:w val="0.93888888888889255"/>
          <c:h val="0.77872509788735811"/>
        </c:manualLayout>
      </c:layout>
      <c:barChart>
        <c:barDir val="col"/>
        <c:grouping val="clustered"/>
        <c:varyColors val="0"/>
        <c:ser>
          <c:idx val="0"/>
          <c:order val="0"/>
          <c:spPr>
            <a:gradFill flip="none" rotWithShape="1">
              <a:gsLst>
                <a:gs pos="0">
                  <a:srgbClr val="D6B19C"/>
                </a:gs>
                <a:gs pos="30000">
                  <a:srgbClr val="D49E6C"/>
                </a:gs>
                <a:gs pos="70000">
                  <a:srgbClr val="A65528"/>
                </a:gs>
                <a:gs pos="100000">
                  <a:srgbClr val="663012"/>
                </a:gs>
              </a:gsLst>
              <a:path path="shape">
                <a:fillToRect l="50000" t="50000" r="50000" b="50000"/>
              </a:path>
              <a:tileRect/>
            </a:gradFill>
          </c:spPr>
          <c:invertIfNegative val="0"/>
          <c:dLbls>
            <c:spPr>
              <a:solidFill>
                <a:sysClr val="window" lastClr="FFFFFF">
                  <a:alpha val="80000"/>
                </a:sysClr>
              </a:solidFill>
            </c:spPr>
            <c:txPr>
              <a:bodyPr/>
              <a:lstStyle/>
              <a:p>
                <a:pPr>
                  <a:defRPr lang="uk-UA" sz="12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Лист2!$D$5:$E$5</c:f>
              <c:strCache>
                <c:ptCount val="2"/>
                <c:pt idx="0">
                  <c:v>ІІ кв. 2020</c:v>
                </c:pt>
                <c:pt idx="1">
                  <c:v>ІІ кв. 2021</c:v>
                </c:pt>
              </c:strCache>
            </c:strRef>
          </c:cat>
          <c:val>
            <c:numRef>
              <c:f>Лист2!$D$6:$E$6</c:f>
              <c:numCache>
                <c:formatCode>General</c:formatCode>
                <c:ptCount val="2"/>
                <c:pt idx="0">
                  <c:v>2047.22</c:v>
                </c:pt>
                <c:pt idx="1">
                  <c:v>2060.06</c:v>
                </c:pt>
              </c:numCache>
            </c:numRef>
          </c:val>
        </c:ser>
        <c:dLbls>
          <c:showLegendKey val="0"/>
          <c:showVal val="0"/>
          <c:showCatName val="0"/>
          <c:showSerName val="0"/>
          <c:showPercent val="0"/>
          <c:showBubbleSize val="0"/>
        </c:dLbls>
        <c:gapWidth val="150"/>
        <c:axId val="217301760"/>
        <c:axId val="217303296"/>
      </c:barChart>
      <c:catAx>
        <c:axId val="217301760"/>
        <c:scaling>
          <c:orientation val="minMax"/>
        </c:scaling>
        <c:delete val="0"/>
        <c:axPos val="b"/>
        <c:majorTickMark val="out"/>
        <c:minorTickMark val="none"/>
        <c:tickLblPos val="nextTo"/>
        <c:txPr>
          <a:bodyPr/>
          <a:lstStyle/>
          <a:p>
            <a:pPr>
              <a:defRPr lang="uk-UA" sz="1200">
                <a:latin typeface="Times New Roman" pitchFamily="18" charset="0"/>
                <a:cs typeface="Times New Roman" pitchFamily="18" charset="0"/>
              </a:defRPr>
            </a:pPr>
            <a:endParaRPr lang="ru-RU"/>
          </a:p>
        </c:txPr>
        <c:crossAx val="217303296"/>
        <c:crosses val="autoZero"/>
        <c:auto val="1"/>
        <c:lblAlgn val="ctr"/>
        <c:lblOffset val="100"/>
        <c:noMultiLvlLbl val="0"/>
      </c:catAx>
      <c:valAx>
        <c:axId val="217303296"/>
        <c:scaling>
          <c:orientation val="minMax"/>
        </c:scaling>
        <c:delete val="1"/>
        <c:axPos val="l"/>
        <c:numFmt formatCode="General" sourceLinked="1"/>
        <c:majorTickMark val="out"/>
        <c:minorTickMark val="none"/>
        <c:tickLblPos val="none"/>
        <c:crossAx val="21730176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Times New Roman"/>
                <a:ea typeface="Times New Roman"/>
                <a:cs typeface="Times New Roman"/>
              </a:defRPr>
            </a:pPr>
            <a:r>
              <a:rPr lang="ru-RU"/>
              <a:t>Динаміка середнього розміру пенсії та пенсіонерів </a:t>
            </a:r>
          </a:p>
        </c:rich>
      </c:tx>
      <c:layout>
        <c:manualLayout>
          <c:xMode val="edge"/>
          <c:yMode val="edge"/>
          <c:x val="0.16578471428645972"/>
          <c:y val="0"/>
        </c:manualLayout>
      </c:layout>
      <c:overlay val="0"/>
      <c:spPr>
        <a:noFill/>
        <a:ln w="25412">
          <a:noFill/>
        </a:ln>
      </c:spPr>
    </c:title>
    <c:autoTitleDeleted val="0"/>
    <c:plotArea>
      <c:layout>
        <c:manualLayout>
          <c:layoutTarget val="inner"/>
          <c:xMode val="edge"/>
          <c:yMode val="edge"/>
          <c:x val="1.7636684303350969E-2"/>
          <c:y val="0.17903930131004639"/>
          <c:w val="0.97883597883597884"/>
          <c:h val="0.56768558951965054"/>
        </c:manualLayout>
      </c:layout>
      <c:barChart>
        <c:barDir val="col"/>
        <c:grouping val="clustered"/>
        <c:varyColors val="0"/>
        <c:ser>
          <c:idx val="1"/>
          <c:order val="0"/>
          <c:tx>
            <c:strRef>
              <c:f>Лист3!$A$2</c:f>
              <c:strCache>
                <c:ptCount val="1"/>
                <c:pt idx="0">
                  <c:v>Середньомісячний розмір пенсії, грн</c:v>
                </c:pt>
              </c:strCache>
            </c:strRef>
          </c:tx>
          <c:spPr>
            <a:solidFill>
              <a:schemeClr val="accent5">
                <a:lumMod val="60000"/>
                <a:lumOff val="40000"/>
              </a:schemeClr>
            </a:solidFill>
            <a:ln w="12653">
              <a:solidFill>
                <a:srgbClr val="000000"/>
              </a:solidFill>
              <a:prstDash val="solid"/>
            </a:ln>
            <a:scene3d>
              <a:camera prst="orthographicFront"/>
              <a:lightRig rig="threePt" dir="t"/>
            </a:scene3d>
            <a:sp3d>
              <a:bevelT prst="convex"/>
            </a:sp3d>
          </c:spPr>
          <c:invertIfNegative val="0"/>
          <c:dLbls>
            <c:dLbl>
              <c:idx val="0"/>
              <c:layout>
                <c:manualLayout>
                  <c:x val="1.8724423509871861E-3"/>
                  <c:y val="-9.6056545060692576E-3"/>
                </c:manualLayout>
              </c:layout>
              <c:dLblPos val="outEnd"/>
              <c:showLegendKey val="0"/>
              <c:showVal val="1"/>
              <c:showCatName val="0"/>
              <c:showSerName val="0"/>
              <c:showPercent val="0"/>
              <c:showBubbleSize val="0"/>
            </c:dLbl>
            <c:dLbl>
              <c:idx val="1"/>
              <c:layout>
                <c:manualLayout>
                  <c:x val="7.1635490008193532E-3"/>
                  <c:y val="-1.0922265994043313E-2"/>
                </c:manualLayout>
              </c:layout>
              <c:dLblPos val="outEnd"/>
              <c:showLegendKey val="0"/>
              <c:showVal val="1"/>
              <c:showCatName val="0"/>
              <c:showSerName val="0"/>
              <c:showPercent val="0"/>
              <c:showBubbleSize val="0"/>
            </c:dLbl>
            <c:dLbl>
              <c:idx val="2"/>
              <c:layout>
                <c:manualLayout>
                  <c:x val="3.6361256870321252E-3"/>
                  <c:y val="-1.375841802525774E-2"/>
                </c:manualLayout>
              </c:layout>
              <c:dLblPos val="outEnd"/>
              <c:showLegendKey val="0"/>
              <c:showVal val="1"/>
              <c:showCatName val="0"/>
              <c:showSerName val="0"/>
              <c:showPercent val="0"/>
              <c:showBubbleSize val="0"/>
            </c:dLbl>
            <c:dLbl>
              <c:idx val="3"/>
              <c:layout>
                <c:manualLayout>
                  <c:x val="7.0788686695419534E-3"/>
                  <c:y val="2.0926826013560719E-3"/>
                </c:manualLayout>
              </c:layout>
              <c:dLblPos val="outEnd"/>
              <c:showLegendKey val="0"/>
              <c:showVal val="1"/>
              <c:showCatName val="0"/>
              <c:showSerName val="0"/>
              <c:showPercent val="0"/>
              <c:showBubbleSize val="0"/>
            </c:dLbl>
            <c:dLbl>
              <c:idx val="4"/>
              <c:layout>
                <c:manualLayout>
                  <c:x val="-1.65486469826342E-3"/>
                  <c:y val="-5.9791782304505674E-3"/>
                </c:manualLayout>
              </c:layout>
              <c:dLblPos val="outEnd"/>
              <c:showLegendKey val="0"/>
              <c:showVal val="1"/>
              <c:showCatName val="0"/>
              <c:showSerName val="0"/>
              <c:showPercent val="0"/>
              <c:showBubbleSize val="0"/>
            </c:dLbl>
            <c:spPr>
              <a:noFill/>
              <a:ln w="25412">
                <a:noFill/>
              </a:ln>
            </c:spPr>
            <c:txPr>
              <a:bodyPr/>
              <a:lstStyle/>
              <a:p>
                <a:pPr>
                  <a:defRPr sz="9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Лист3!$B$1:$D$1</c:f>
              <c:strCache>
                <c:ptCount val="3"/>
                <c:pt idx="0">
                  <c:v>01.01.2021</c:v>
                </c:pt>
                <c:pt idx="1">
                  <c:v>01.07.2020</c:v>
                </c:pt>
                <c:pt idx="2">
                  <c:v>01.07.2021</c:v>
                </c:pt>
              </c:strCache>
            </c:strRef>
          </c:cat>
          <c:val>
            <c:numRef>
              <c:f>Лист3!$B$2:$D$2</c:f>
              <c:numCache>
                <c:formatCode>0.0</c:formatCode>
                <c:ptCount val="3"/>
                <c:pt idx="0">
                  <c:v>3954.7599999999998</c:v>
                </c:pt>
                <c:pt idx="1">
                  <c:v>3860.05</c:v>
                </c:pt>
                <c:pt idx="2">
                  <c:v>4292.1200000000044</c:v>
                </c:pt>
              </c:numCache>
            </c:numRef>
          </c:val>
        </c:ser>
        <c:dLbls>
          <c:showLegendKey val="0"/>
          <c:showVal val="1"/>
          <c:showCatName val="0"/>
          <c:showSerName val="0"/>
          <c:showPercent val="0"/>
          <c:showBubbleSize val="0"/>
        </c:dLbls>
        <c:gapWidth val="89"/>
        <c:axId val="219032576"/>
        <c:axId val="219035520"/>
      </c:barChart>
      <c:lineChart>
        <c:grouping val="standard"/>
        <c:varyColors val="0"/>
        <c:ser>
          <c:idx val="0"/>
          <c:order val="1"/>
          <c:tx>
            <c:strRef>
              <c:f>Лист3!$A$3</c:f>
              <c:strCache>
                <c:ptCount val="1"/>
                <c:pt idx="0">
                  <c:v>Чисельність пенсіонерів, тис. осіб</c:v>
                </c:pt>
              </c:strCache>
            </c:strRef>
          </c:tx>
          <c:spPr>
            <a:ln w="31731">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5.2851711961765094E-2"/>
                  <c:y val="7.3084216683613284E-2"/>
                </c:manualLayout>
              </c:layout>
              <c:dLblPos val="r"/>
              <c:showLegendKey val="0"/>
              <c:showVal val="1"/>
              <c:showCatName val="0"/>
              <c:showSerName val="0"/>
              <c:showPercent val="0"/>
              <c:showBubbleSize val="0"/>
            </c:dLbl>
            <c:dLbl>
              <c:idx val="1"/>
              <c:layout>
                <c:manualLayout>
                  <c:x val="-3.6978594729922341E-2"/>
                  <c:y val="8.3573573499819268E-2"/>
                </c:manualLayout>
              </c:layout>
              <c:dLblPos val="r"/>
              <c:showLegendKey val="0"/>
              <c:showVal val="1"/>
              <c:showCatName val="0"/>
              <c:showSerName val="0"/>
              <c:showPercent val="0"/>
              <c:showBubbleSize val="0"/>
            </c:dLbl>
            <c:dLbl>
              <c:idx val="2"/>
              <c:layout>
                <c:manualLayout>
                  <c:x val="-4.5797023334716476E-2"/>
                  <c:y val="7.7204468573524351E-2"/>
                </c:manualLayout>
              </c:layout>
              <c:dLblPos val="r"/>
              <c:showLegendKey val="0"/>
              <c:showVal val="1"/>
              <c:showCatName val="0"/>
              <c:showSerName val="0"/>
              <c:showPercent val="0"/>
              <c:showBubbleSize val="0"/>
            </c:dLbl>
            <c:dLbl>
              <c:idx val="3"/>
              <c:layout>
                <c:manualLayout>
                  <c:x val="-5.4615451939508911E-2"/>
                  <c:y val="8.5138988494342205E-2"/>
                </c:manualLayout>
              </c:layout>
              <c:dLblPos val="r"/>
              <c:showLegendKey val="0"/>
              <c:showVal val="1"/>
              <c:showCatName val="0"/>
              <c:showSerName val="0"/>
              <c:showPercent val="0"/>
              <c:showBubbleSize val="0"/>
            </c:dLbl>
            <c:dLbl>
              <c:idx val="4"/>
              <c:layout>
                <c:manualLayout>
                  <c:x val="-3.5214997846994452E-2"/>
                  <c:y val="4.9649985755055706E-2"/>
                </c:manualLayout>
              </c:layout>
              <c:dLblPos val="r"/>
              <c:showLegendKey val="0"/>
              <c:showVal val="1"/>
              <c:showCatName val="0"/>
              <c:showSerName val="0"/>
              <c:showPercent val="0"/>
              <c:showBubbleSize val="0"/>
            </c:dLbl>
            <c:spPr>
              <a:noFill/>
              <a:ln w="25412">
                <a:noFill/>
              </a:ln>
            </c:spPr>
            <c:txPr>
              <a:bodyPr/>
              <a:lstStyle/>
              <a:p>
                <a:pPr>
                  <a:defRPr sz="99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Лист3!$B$1:$D$1</c:f>
              <c:strCache>
                <c:ptCount val="3"/>
                <c:pt idx="0">
                  <c:v>01.01.2021</c:v>
                </c:pt>
                <c:pt idx="1">
                  <c:v>01.07.2020</c:v>
                </c:pt>
                <c:pt idx="2">
                  <c:v>01.07.2021</c:v>
                </c:pt>
              </c:strCache>
            </c:strRef>
          </c:cat>
          <c:val>
            <c:numRef>
              <c:f>Лист3!$B$3:$D$3</c:f>
              <c:numCache>
                <c:formatCode>0.0</c:formatCode>
                <c:ptCount val="3"/>
                <c:pt idx="0">
                  <c:v>923.8</c:v>
                </c:pt>
                <c:pt idx="1">
                  <c:v>934</c:v>
                </c:pt>
                <c:pt idx="2">
                  <c:v>908.6</c:v>
                </c:pt>
              </c:numCache>
            </c:numRef>
          </c:val>
          <c:smooth val="0"/>
        </c:ser>
        <c:dLbls>
          <c:showLegendKey val="0"/>
          <c:showVal val="1"/>
          <c:showCatName val="0"/>
          <c:showSerName val="0"/>
          <c:showPercent val="0"/>
          <c:showBubbleSize val="0"/>
        </c:dLbls>
        <c:marker val="1"/>
        <c:smooth val="0"/>
        <c:axId val="219037056"/>
        <c:axId val="219063424"/>
      </c:lineChart>
      <c:catAx>
        <c:axId val="219032576"/>
        <c:scaling>
          <c:orientation val="minMax"/>
        </c:scaling>
        <c:delete val="0"/>
        <c:axPos val="b"/>
        <c:numFmt formatCode="@" sourceLinked="1"/>
        <c:majorTickMark val="cross"/>
        <c:minorTickMark val="none"/>
        <c:tickLblPos val="nextTo"/>
        <c:spPr>
          <a:ln w="3164">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219035520"/>
        <c:crosses val="autoZero"/>
        <c:auto val="1"/>
        <c:lblAlgn val="ctr"/>
        <c:lblOffset val="100"/>
        <c:tickLblSkip val="1"/>
        <c:tickMarkSkip val="1"/>
        <c:noMultiLvlLbl val="0"/>
      </c:catAx>
      <c:valAx>
        <c:axId val="219035520"/>
        <c:scaling>
          <c:orientation val="minMax"/>
        </c:scaling>
        <c:delete val="1"/>
        <c:axPos val="l"/>
        <c:numFmt formatCode="0.0" sourceLinked="1"/>
        <c:majorTickMark val="out"/>
        <c:minorTickMark val="none"/>
        <c:tickLblPos val="none"/>
        <c:crossAx val="219032576"/>
        <c:crosses val="autoZero"/>
        <c:crossBetween val="between"/>
      </c:valAx>
      <c:catAx>
        <c:axId val="219037056"/>
        <c:scaling>
          <c:orientation val="minMax"/>
        </c:scaling>
        <c:delete val="1"/>
        <c:axPos val="b"/>
        <c:majorTickMark val="out"/>
        <c:minorTickMark val="none"/>
        <c:tickLblPos val="none"/>
        <c:crossAx val="219063424"/>
        <c:crosses val="autoZero"/>
        <c:auto val="0"/>
        <c:lblAlgn val="ctr"/>
        <c:lblOffset val="100"/>
        <c:noMultiLvlLbl val="0"/>
      </c:catAx>
      <c:valAx>
        <c:axId val="219063424"/>
        <c:scaling>
          <c:orientation val="minMax"/>
        </c:scaling>
        <c:delete val="1"/>
        <c:axPos val="l"/>
        <c:numFmt formatCode="0.0" sourceLinked="1"/>
        <c:majorTickMark val="out"/>
        <c:minorTickMark val="none"/>
        <c:tickLblPos val="none"/>
        <c:crossAx val="219037056"/>
        <c:crosses val="autoZero"/>
        <c:crossBetween val="between"/>
      </c:valAx>
      <c:spPr>
        <a:noFill/>
        <a:ln w="12653">
          <a:solidFill>
            <a:srgbClr val="FFFFFF"/>
          </a:solidFill>
          <a:prstDash val="solid"/>
        </a:ln>
      </c:spPr>
    </c:plotArea>
    <c:legend>
      <c:legendPos val="r"/>
      <c:layout>
        <c:manualLayout>
          <c:xMode val="edge"/>
          <c:yMode val="edge"/>
          <c:x val="5.6437229640529531E-2"/>
          <c:y val="0.87772889959004785"/>
          <c:w val="0.8888890280365056"/>
          <c:h val="0.12227110040997088"/>
        </c:manualLayout>
      </c:layout>
      <c:overlay val="0"/>
      <c:spPr>
        <a:solidFill>
          <a:srgbClr val="FFFFFF"/>
        </a:solidFill>
        <a:ln w="25307">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995" b="0"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0" i="0" u="none" strike="noStrike" baseline="0">
                <a:solidFill>
                  <a:srgbClr val="000000"/>
                </a:solidFill>
                <a:latin typeface="Arial Narrow"/>
                <a:ea typeface="Arial Narrow"/>
                <a:cs typeface="Arial Narrow"/>
              </a:defRPr>
            </a:pPr>
            <a:r>
              <a:rPr lang="ru-RU" sz="1198" b="1" i="0" strike="noStrike">
                <a:solidFill>
                  <a:srgbClr val="000000"/>
                </a:solidFill>
                <a:latin typeface="Times New Roman"/>
                <a:cs typeface="Times New Roman"/>
              </a:rPr>
              <a:t>Соціальні допомоги, млн грн</a:t>
            </a:r>
          </a:p>
          <a:p>
            <a:pPr>
              <a:defRPr sz="1196" b="0" i="0" u="none" strike="noStrike" baseline="0">
                <a:solidFill>
                  <a:srgbClr val="000000"/>
                </a:solidFill>
                <a:latin typeface="Arial Narrow"/>
                <a:ea typeface="Arial Narrow"/>
                <a:cs typeface="Arial Narrow"/>
              </a:defRPr>
            </a:pPr>
            <a:r>
              <a:rPr lang="ru-RU" sz="1198" b="0" i="0" strike="noStrike">
                <a:solidFill>
                  <a:srgbClr val="000000"/>
                </a:solidFill>
                <a:latin typeface="Times New Roman"/>
                <a:cs typeface="Times New Roman"/>
              </a:rPr>
              <a:t>(сім’ям з дітьми, інвалідам з дитинства та дітям-інвалідам, малозабезпеченим сім’ям)</a:t>
            </a:r>
          </a:p>
        </c:rich>
      </c:tx>
      <c:layout>
        <c:manualLayout>
          <c:xMode val="edge"/>
          <c:yMode val="edge"/>
          <c:x val="0.13539675010503224"/>
          <c:y val="0"/>
        </c:manualLayout>
      </c:layout>
      <c:overlay val="0"/>
      <c:spPr>
        <a:noFill/>
        <a:ln w="25368">
          <a:noFill/>
        </a:ln>
      </c:spPr>
    </c:title>
    <c:autoTitleDeleted val="0"/>
    <c:plotArea>
      <c:layout>
        <c:manualLayout>
          <c:layoutTarget val="inner"/>
          <c:xMode val="edge"/>
          <c:yMode val="edge"/>
          <c:x val="1.7094017094017359E-3"/>
          <c:y val="0.30769230769230782"/>
          <c:w val="0.97264957264960661"/>
          <c:h val="0.50238894051287053"/>
        </c:manualLayout>
      </c:layout>
      <c:barChart>
        <c:barDir val="col"/>
        <c:grouping val="clustered"/>
        <c:varyColors val="0"/>
        <c:ser>
          <c:idx val="0"/>
          <c:order val="0"/>
          <c:tx>
            <c:strRef>
              <c:f>Лист1!$A$16</c:f>
              <c:strCache>
                <c:ptCount val="1"/>
                <c:pt idx="0">
                  <c:v>Соціальні допомоги</c:v>
                </c:pt>
              </c:strCache>
            </c:strRef>
          </c:tx>
          <c:spPr>
            <a:gradFill rotWithShape="0">
              <a:gsLst>
                <a:gs pos="0">
                  <a:srgbClr val="FF99CC">
                    <a:gamma/>
                    <a:shade val="46275"/>
                    <a:invGamma/>
                  </a:srgbClr>
                </a:gs>
                <a:gs pos="50000">
                  <a:srgbClr val="FF99CC"/>
                </a:gs>
                <a:gs pos="100000">
                  <a:srgbClr val="FF99CC">
                    <a:gamma/>
                    <a:shade val="46275"/>
                    <a:invGamma/>
                  </a:srgbClr>
                </a:gs>
              </a:gsLst>
              <a:lin ang="0" scaled="1"/>
            </a:gradFill>
            <a:ln w="12684">
              <a:solidFill>
                <a:srgbClr val="000000"/>
              </a:solidFill>
              <a:prstDash val="solid"/>
            </a:ln>
          </c:spPr>
          <c:invertIfNegative val="0"/>
          <c:dLbls>
            <c:spPr>
              <a:noFill/>
              <a:ln w="25368">
                <a:noFill/>
              </a:ln>
            </c:spPr>
            <c:txPr>
              <a:bodyPr/>
              <a:lstStyle/>
              <a:p>
                <a:pPr>
                  <a:defRPr sz="8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Лист1!$B$15:$C$15</c:f>
              <c:strCache>
                <c:ptCount val="2"/>
                <c:pt idx="0">
                  <c:v>І півріччя 2020 року</c:v>
                </c:pt>
                <c:pt idx="1">
                  <c:v>І півріччя 2021 року</c:v>
                </c:pt>
              </c:strCache>
            </c:strRef>
          </c:cat>
          <c:val>
            <c:numRef>
              <c:f>Лист1!$B$16:$C$16</c:f>
              <c:numCache>
                <c:formatCode>0.0</c:formatCode>
                <c:ptCount val="2"/>
                <c:pt idx="0">
                  <c:v>1540.3</c:v>
                </c:pt>
                <c:pt idx="1">
                  <c:v>1626.3</c:v>
                </c:pt>
              </c:numCache>
            </c:numRef>
          </c:val>
        </c:ser>
        <c:dLbls>
          <c:showLegendKey val="0"/>
          <c:showVal val="1"/>
          <c:showCatName val="0"/>
          <c:showSerName val="0"/>
          <c:showPercent val="0"/>
          <c:showBubbleSize val="0"/>
        </c:dLbls>
        <c:gapWidth val="150"/>
        <c:axId val="219078656"/>
        <c:axId val="219081344"/>
      </c:barChart>
      <c:catAx>
        <c:axId val="21907865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ru-RU"/>
          </a:p>
        </c:txPr>
        <c:crossAx val="219081344"/>
        <c:crosses val="autoZero"/>
        <c:auto val="1"/>
        <c:lblAlgn val="ctr"/>
        <c:lblOffset val="100"/>
        <c:tickLblSkip val="1"/>
        <c:tickMarkSkip val="1"/>
        <c:noMultiLvlLbl val="0"/>
      </c:catAx>
      <c:valAx>
        <c:axId val="219081344"/>
        <c:scaling>
          <c:orientation val="minMax"/>
        </c:scaling>
        <c:delete val="1"/>
        <c:axPos val="l"/>
        <c:numFmt formatCode="0.0" sourceLinked="1"/>
        <c:majorTickMark val="out"/>
        <c:minorTickMark val="none"/>
        <c:tickLblPos val="none"/>
        <c:crossAx val="219078656"/>
        <c:crosses val="autoZero"/>
        <c:crossBetween val="between"/>
      </c:valAx>
      <c:spPr>
        <a:noFill/>
        <a:ln w="25368">
          <a:noFill/>
        </a:ln>
      </c:spPr>
    </c:plotArea>
    <c:plotVisOnly val="1"/>
    <c:dispBlanksAs val="gap"/>
    <c:showDLblsOverMax val="0"/>
  </c:chart>
  <c:spPr>
    <a:noFill/>
    <a:ln>
      <a:noFill/>
    </a:ln>
  </c:spPr>
  <c:txPr>
    <a:bodyPr/>
    <a:lstStyle/>
    <a:p>
      <a:pPr>
        <a:defRPr sz="1198"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8691588785046741E-2"/>
          <c:y val="3.7996545768566682E-2"/>
          <c:w val="0.78610690018887863"/>
          <c:h val="0.55087986160820857"/>
        </c:manualLayout>
      </c:layout>
      <c:barChart>
        <c:barDir val="col"/>
        <c:grouping val="clustered"/>
        <c:varyColors val="0"/>
        <c:ser>
          <c:idx val="0"/>
          <c:order val="0"/>
          <c:tx>
            <c:strRef>
              <c:f>Лист1!$A$7</c:f>
              <c:strCache>
                <c:ptCount val="1"/>
                <c:pt idx="0">
                  <c:v>на 30.06.2019</c:v>
                </c:pt>
              </c:strCache>
            </c:strRef>
          </c:tx>
          <c:invertIfNegative val="0"/>
          <c:dLbls>
            <c:txPr>
              <a:bodyPr rot="-5400000" vert="horz"/>
              <a:lstStyle/>
              <a:p>
                <a:pPr>
                  <a:defRPr b="1" i="0" baseline="0"/>
                </a:pPr>
                <a:endParaRPr lang="ru-RU"/>
              </a:p>
            </c:txPr>
            <c:showLegendKey val="0"/>
            <c:showVal val="1"/>
            <c:showCatName val="0"/>
            <c:showSerName val="0"/>
            <c:showPercent val="0"/>
            <c:showBubbleSize val="0"/>
            <c:showLeaderLines val="0"/>
          </c:dLbls>
          <c:cat>
            <c:strRef>
              <c:f>Лист1!$B$6:$F$6</c:f>
              <c:strCache>
                <c:ptCount val="5"/>
                <c:pt idx="0">
                  <c:v>Постачання та розподіл природного газу</c:v>
                </c:pt>
                <c:pt idx="1">
                  <c:v>Постачання теплової енергії та гарячої води</c:v>
                </c:pt>
                <c:pt idx="2">
                  <c:v>Централізоване водопостачання та водовідведення</c:v>
                </c:pt>
                <c:pt idx="3">
                  <c:v>Управління багатоквартирним будинком</c:v>
                </c:pt>
                <c:pt idx="4">
                  <c:v>Поводження з побутовими відходами</c:v>
                </c:pt>
              </c:strCache>
            </c:strRef>
          </c:cat>
          <c:val>
            <c:numRef>
              <c:f>Лист1!$B$7:$F$7</c:f>
              <c:numCache>
                <c:formatCode>0.0</c:formatCode>
                <c:ptCount val="5"/>
                <c:pt idx="0">
                  <c:v>2471.1507000000001</c:v>
                </c:pt>
                <c:pt idx="1">
                  <c:v>2528.2526000000003</c:v>
                </c:pt>
                <c:pt idx="2">
                  <c:v>818.94149999999945</c:v>
                </c:pt>
                <c:pt idx="3">
                  <c:v>969.39580000000001</c:v>
                </c:pt>
                <c:pt idx="4">
                  <c:v>196.9648</c:v>
                </c:pt>
              </c:numCache>
            </c:numRef>
          </c:val>
        </c:ser>
        <c:ser>
          <c:idx val="1"/>
          <c:order val="1"/>
          <c:tx>
            <c:strRef>
              <c:f>Лист1!$A$8</c:f>
              <c:strCache>
                <c:ptCount val="1"/>
                <c:pt idx="0">
                  <c:v>на 30.06.2020</c:v>
                </c:pt>
              </c:strCache>
            </c:strRef>
          </c:tx>
          <c:invertIfNegative val="0"/>
          <c:dLbls>
            <c:txPr>
              <a:bodyPr rot="-5400000" vert="horz"/>
              <a:lstStyle/>
              <a:p>
                <a:pPr>
                  <a:defRPr b="1" i="0" baseline="0"/>
                </a:pPr>
                <a:endParaRPr lang="ru-RU"/>
              </a:p>
            </c:txPr>
            <c:showLegendKey val="0"/>
            <c:showVal val="1"/>
            <c:showCatName val="0"/>
            <c:showSerName val="0"/>
            <c:showPercent val="0"/>
            <c:showBubbleSize val="0"/>
            <c:showLeaderLines val="0"/>
          </c:dLbls>
          <c:cat>
            <c:strRef>
              <c:f>Лист1!$B$6:$F$6</c:f>
              <c:strCache>
                <c:ptCount val="5"/>
                <c:pt idx="0">
                  <c:v>Постачання та розподіл природного газу</c:v>
                </c:pt>
                <c:pt idx="1">
                  <c:v>Постачання теплової енергії та гарячої води</c:v>
                </c:pt>
                <c:pt idx="2">
                  <c:v>Централізоване водопостачання та водовідведення</c:v>
                </c:pt>
                <c:pt idx="3">
                  <c:v>Управління багатоквартирним будинком</c:v>
                </c:pt>
                <c:pt idx="4">
                  <c:v>Поводження з побутовими відходами</c:v>
                </c:pt>
              </c:strCache>
            </c:strRef>
          </c:cat>
          <c:val>
            <c:numRef>
              <c:f>Лист1!$B$8:$F$8</c:f>
              <c:numCache>
                <c:formatCode>0.0</c:formatCode>
                <c:ptCount val="5"/>
                <c:pt idx="0">
                  <c:v>2202.4242999999997</c:v>
                </c:pt>
                <c:pt idx="1">
                  <c:v>2782.2855999999997</c:v>
                </c:pt>
                <c:pt idx="2">
                  <c:v>1041.1661999999999</c:v>
                </c:pt>
                <c:pt idx="3">
                  <c:v>1078.5273999999999</c:v>
                </c:pt>
                <c:pt idx="4">
                  <c:v>267.06829999999968</c:v>
                </c:pt>
              </c:numCache>
            </c:numRef>
          </c:val>
        </c:ser>
        <c:ser>
          <c:idx val="2"/>
          <c:order val="2"/>
          <c:tx>
            <c:strRef>
              <c:f>Лист1!$A$9</c:f>
              <c:strCache>
                <c:ptCount val="1"/>
                <c:pt idx="0">
                  <c:v>на 30.06.2021</c:v>
                </c:pt>
              </c:strCache>
            </c:strRef>
          </c:tx>
          <c:invertIfNegative val="0"/>
          <c:dLbls>
            <c:txPr>
              <a:bodyPr rot="-5400000" vert="horz"/>
              <a:lstStyle/>
              <a:p>
                <a:pPr>
                  <a:defRPr b="1" i="0" baseline="0"/>
                </a:pPr>
                <a:endParaRPr lang="ru-RU"/>
              </a:p>
            </c:txPr>
            <c:showLegendKey val="0"/>
            <c:showVal val="1"/>
            <c:showCatName val="0"/>
            <c:showSerName val="0"/>
            <c:showPercent val="0"/>
            <c:showBubbleSize val="0"/>
            <c:showLeaderLines val="0"/>
          </c:dLbls>
          <c:cat>
            <c:strRef>
              <c:f>Лист1!$B$6:$F$6</c:f>
              <c:strCache>
                <c:ptCount val="5"/>
                <c:pt idx="0">
                  <c:v>Постачання та розподіл природного газу</c:v>
                </c:pt>
                <c:pt idx="1">
                  <c:v>Постачання теплової енергії та гарячої води</c:v>
                </c:pt>
                <c:pt idx="2">
                  <c:v>Централізоване водопостачання та водовідведення</c:v>
                </c:pt>
                <c:pt idx="3">
                  <c:v>Управління багатоквартирним будинком</c:v>
                </c:pt>
                <c:pt idx="4">
                  <c:v>Поводження з побутовими відходами</c:v>
                </c:pt>
              </c:strCache>
            </c:strRef>
          </c:cat>
          <c:val>
            <c:numRef>
              <c:f>Лист1!$B$9:$F$9</c:f>
              <c:numCache>
                <c:formatCode>0.0</c:formatCode>
                <c:ptCount val="5"/>
                <c:pt idx="0">
                  <c:v>2226.1419000000001</c:v>
                </c:pt>
                <c:pt idx="1">
                  <c:v>2843.5481</c:v>
                </c:pt>
                <c:pt idx="2">
                  <c:v>1171.9057000000012</c:v>
                </c:pt>
                <c:pt idx="3">
                  <c:v>1058.3376000000001</c:v>
                </c:pt>
                <c:pt idx="4">
                  <c:v>316.15909999999997</c:v>
                </c:pt>
              </c:numCache>
            </c:numRef>
          </c:val>
        </c:ser>
        <c:dLbls>
          <c:showLegendKey val="0"/>
          <c:showVal val="0"/>
          <c:showCatName val="0"/>
          <c:showSerName val="0"/>
          <c:showPercent val="0"/>
          <c:showBubbleSize val="0"/>
        </c:dLbls>
        <c:gapWidth val="150"/>
        <c:axId val="232608896"/>
        <c:axId val="232610432"/>
      </c:barChart>
      <c:catAx>
        <c:axId val="232608896"/>
        <c:scaling>
          <c:orientation val="minMax"/>
        </c:scaling>
        <c:delete val="0"/>
        <c:axPos val="b"/>
        <c:majorTickMark val="out"/>
        <c:minorTickMark val="none"/>
        <c:tickLblPos val="nextTo"/>
        <c:txPr>
          <a:bodyPr rot="-5400000" vert="horz"/>
          <a:lstStyle/>
          <a:p>
            <a:pPr>
              <a:defRPr/>
            </a:pPr>
            <a:endParaRPr lang="ru-RU"/>
          </a:p>
        </c:txPr>
        <c:crossAx val="232610432"/>
        <c:crosses val="autoZero"/>
        <c:auto val="1"/>
        <c:lblAlgn val="ctr"/>
        <c:lblOffset val="100"/>
        <c:noMultiLvlLbl val="0"/>
      </c:catAx>
      <c:valAx>
        <c:axId val="232610432"/>
        <c:scaling>
          <c:orientation val="minMax"/>
        </c:scaling>
        <c:delete val="1"/>
        <c:axPos val="l"/>
        <c:numFmt formatCode="0.0" sourceLinked="1"/>
        <c:majorTickMark val="out"/>
        <c:minorTickMark val="none"/>
        <c:tickLblPos val="none"/>
        <c:crossAx val="23260889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Заклади охорони здоров</a:t>
            </a:r>
            <a:r>
              <a:rPr lang="ru-RU" sz="1200">
                <a:latin typeface="Times New Roman"/>
                <a:cs typeface="Times New Roman"/>
              </a:rPr>
              <a:t>’</a:t>
            </a:r>
            <a:r>
              <a:rPr lang="ru-RU" sz="1200"/>
              <a:t>я, одиниць</a:t>
            </a:r>
          </a:p>
        </c:rich>
      </c:tx>
      <c:layout>
        <c:manualLayout>
          <c:xMode val="edge"/>
          <c:yMode val="edge"/>
          <c:x val="0.25626215840666422"/>
          <c:y val="2.0324934383202077E-2"/>
        </c:manualLayout>
      </c:layout>
      <c:overlay val="0"/>
      <c:spPr>
        <a:noFill/>
        <a:ln w="17683">
          <a:noFill/>
        </a:ln>
      </c:spPr>
    </c:title>
    <c:autoTitleDeleted val="0"/>
    <c:plotArea>
      <c:layout>
        <c:manualLayout>
          <c:layoutTarget val="inner"/>
          <c:xMode val="edge"/>
          <c:yMode val="edge"/>
          <c:x val="1.9267822736031366E-3"/>
          <c:y val="0.20325203252033103"/>
          <c:w val="1"/>
          <c:h val="0.45934959349593496"/>
        </c:manualLayout>
      </c:layout>
      <c:barChart>
        <c:barDir val="col"/>
        <c:grouping val="clustered"/>
        <c:varyColors val="0"/>
        <c:ser>
          <c:idx val="0"/>
          <c:order val="0"/>
          <c:tx>
            <c:strRef>
              <c:f>Лист2!$A$2</c:f>
              <c:strCache>
                <c:ptCount val="1"/>
                <c:pt idx="0">
                  <c:v>Кількість амбулаторій загальної практики сімейної медицини</c:v>
                </c:pt>
              </c:strCache>
            </c:strRef>
          </c:tx>
          <c:spPr>
            <a:gradFill rotWithShape="0">
              <a:gsLst>
                <a:gs pos="0">
                  <a:srgbClr val="CCCCFF"/>
                </a:gs>
                <a:gs pos="50000">
                  <a:srgbClr val="CCCCFF">
                    <a:gamma/>
                    <a:shade val="46275"/>
                    <a:invGamma/>
                  </a:srgbClr>
                </a:gs>
                <a:gs pos="100000">
                  <a:srgbClr val="CCCCFF"/>
                </a:gs>
              </a:gsLst>
              <a:lin ang="0" scaled="1"/>
            </a:gradFill>
            <a:ln w="8842">
              <a:solidFill>
                <a:srgbClr val="000080"/>
              </a:solidFill>
              <a:prstDash val="solid"/>
            </a:ln>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dLbls>
          <c:cat>
            <c:strRef>
              <c:f>Лист2!$B$1:$C$1</c:f>
              <c:strCache>
                <c:ptCount val="2"/>
                <c:pt idx="0">
                  <c:v>І півріччя 2020 рік</c:v>
                </c:pt>
                <c:pt idx="1">
                  <c:v>І півріччя 2021 рік</c:v>
                </c:pt>
              </c:strCache>
            </c:strRef>
          </c:cat>
          <c:val>
            <c:numRef>
              <c:f>Лист2!$B$2:$C$2</c:f>
              <c:numCache>
                <c:formatCode>General</c:formatCode>
                <c:ptCount val="2"/>
                <c:pt idx="0">
                  <c:v>414</c:v>
                </c:pt>
                <c:pt idx="1">
                  <c:v>413</c:v>
                </c:pt>
              </c:numCache>
            </c:numRef>
          </c:val>
        </c:ser>
        <c:ser>
          <c:idx val="1"/>
          <c:order val="1"/>
          <c:tx>
            <c:strRef>
              <c:f>Лист2!$A$3</c:f>
              <c:strCache>
                <c:ptCount val="1"/>
                <c:pt idx="0">
                  <c:v>Кількість сільських амбулаторій</c:v>
                </c:pt>
              </c:strCache>
            </c:strRef>
          </c:tx>
          <c:spPr>
            <a:gradFill rotWithShape="0">
              <a:gsLst>
                <a:gs pos="0">
                  <a:srgbClr val="99CCFF">
                    <a:gamma/>
                    <a:shade val="46275"/>
                    <a:invGamma/>
                  </a:srgbClr>
                </a:gs>
                <a:gs pos="50000">
                  <a:srgbClr val="99CCFF"/>
                </a:gs>
                <a:gs pos="100000">
                  <a:srgbClr val="99CCFF">
                    <a:gamma/>
                    <a:shade val="46275"/>
                    <a:invGamma/>
                  </a:srgbClr>
                </a:gs>
              </a:gsLst>
              <a:lin ang="0" scaled="1"/>
            </a:gradFill>
            <a:ln w="2211">
              <a:solidFill>
                <a:srgbClr val="003366"/>
              </a:solidFill>
              <a:prstDash val="solid"/>
            </a:ln>
            <a:effectLst>
              <a:outerShdw dist="35921" dir="2700000" algn="br">
                <a:srgbClr val="000000"/>
              </a:outerShdw>
            </a:effectLst>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dLbls>
          <c:cat>
            <c:strRef>
              <c:f>Лист2!$B$1:$C$1</c:f>
              <c:strCache>
                <c:ptCount val="2"/>
                <c:pt idx="0">
                  <c:v>І півріччя 2020 рік</c:v>
                </c:pt>
                <c:pt idx="1">
                  <c:v>І півріччя 2021 рік</c:v>
                </c:pt>
              </c:strCache>
            </c:strRef>
          </c:cat>
          <c:val>
            <c:numRef>
              <c:f>Лист2!$B$3:$C$3</c:f>
              <c:numCache>
                <c:formatCode>General</c:formatCode>
                <c:ptCount val="2"/>
                <c:pt idx="0">
                  <c:v>227</c:v>
                </c:pt>
                <c:pt idx="1">
                  <c:v>226</c:v>
                </c:pt>
              </c:numCache>
            </c:numRef>
          </c:val>
        </c:ser>
        <c:dLbls>
          <c:showLegendKey val="0"/>
          <c:showVal val="0"/>
          <c:showCatName val="0"/>
          <c:showSerName val="0"/>
          <c:showPercent val="0"/>
          <c:showBubbleSize val="0"/>
        </c:dLbls>
        <c:gapWidth val="150"/>
        <c:axId val="227053568"/>
        <c:axId val="227055104"/>
      </c:barChart>
      <c:catAx>
        <c:axId val="227053568"/>
        <c:scaling>
          <c:orientation val="minMax"/>
        </c:scaling>
        <c:delete val="0"/>
        <c:axPos val="b"/>
        <c:numFmt formatCode="General" sourceLinked="1"/>
        <c:majorTickMark val="out"/>
        <c:minorTickMark val="none"/>
        <c:tickLblPos val="nextTo"/>
        <c:spPr>
          <a:ln w="2207">
            <a:solidFill>
              <a:srgbClr val="000000"/>
            </a:solidFill>
            <a:prstDash val="solid"/>
          </a:ln>
        </c:spPr>
        <c:txPr>
          <a:bodyPr rot="0" vert="horz"/>
          <a:lstStyle/>
          <a:p>
            <a:pPr>
              <a:defRPr sz="800" b="0" i="0" u="none" strike="noStrike" baseline="0">
                <a:solidFill>
                  <a:srgbClr val="000000"/>
                </a:solidFill>
                <a:latin typeface="Times New Roman" pitchFamily="18" charset="0"/>
                <a:ea typeface="Arial"/>
                <a:cs typeface="Times New Roman" pitchFamily="18" charset="0"/>
              </a:defRPr>
            </a:pPr>
            <a:endParaRPr lang="ru-RU"/>
          </a:p>
        </c:txPr>
        <c:crossAx val="227055104"/>
        <c:crosses val="autoZero"/>
        <c:auto val="1"/>
        <c:lblAlgn val="ctr"/>
        <c:lblOffset val="100"/>
        <c:tickLblSkip val="1"/>
        <c:tickMarkSkip val="1"/>
        <c:noMultiLvlLbl val="0"/>
      </c:catAx>
      <c:valAx>
        <c:axId val="227055104"/>
        <c:scaling>
          <c:orientation val="minMax"/>
        </c:scaling>
        <c:delete val="1"/>
        <c:axPos val="l"/>
        <c:numFmt formatCode="General" sourceLinked="1"/>
        <c:majorTickMark val="out"/>
        <c:minorTickMark val="none"/>
        <c:tickLblPos val="none"/>
        <c:crossAx val="227053568"/>
        <c:crosses val="autoZero"/>
        <c:crossBetween val="between"/>
      </c:valAx>
      <c:spPr>
        <a:noFill/>
        <a:ln w="20317">
          <a:noFill/>
        </a:ln>
      </c:spPr>
    </c:plotArea>
    <c:legend>
      <c:legendPos val="b"/>
      <c:legendEntry>
        <c:idx val="0"/>
        <c:txPr>
          <a:bodyPr/>
          <a:lstStyle/>
          <a:p>
            <a:pPr>
              <a:defRPr sz="800" b="0" i="0" u="none" strike="noStrike" baseline="0">
                <a:solidFill>
                  <a:srgbClr val="000000"/>
                </a:solidFill>
                <a:latin typeface="Times New Roman" pitchFamily="18" charset="0"/>
                <a:ea typeface="Arial"/>
                <a:cs typeface="Times New Roman" pitchFamily="18" charset="0"/>
              </a:defRPr>
            </a:pPr>
            <a:endParaRPr lang="ru-RU"/>
          </a:p>
        </c:txPr>
      </c:legendEntry>
      <c:legendEntry>
        <c:idx val="1"/>
        <c:txPr>
          <a:bodyPr/>
          <a:lstStyle/>
          <a:p>
            <a:pPr>
              <a:defRPr sz="800" b="0" i="0" u="none" strike="noStrike" baseline="0">
                <a:solidFill>
                  <a:srgbClr val="000000"/>
                </a:solidFill>
                <a:latin typeface="Times New Roman" pitchFamily="18" charset="0"/>
                <a:ea typeface="Arial"/>
                <a:cs typeface="Times New Roman" pitchFamily="18" charset="0"/>
              </a:defRPr>
            </a:pPr>
            <a:endParaRPr lang="ru-RU"/>
          </a:p>
        </c:txPr>
      </c:legendEntry>
      <c:layout>
        <c:manualLayout>
          <c:xMode val="edge"/>
          <c:yMode val="edge"/>
          <c:x val="0.11367994441871269"/>
          <c:y val="0.80487874015748062"/>
          <c:w val="0.76107920333490453"/>
          <c:h val="0.19512125984251938"/>
        </c:manualLayout>
      </c:layout>
      <c:overlay val="0"/>
      <c:spPr>
        <a:noFill/>
        <a:ln w="17657">
          <a:noFill/>
        </a:ln>
      </c:spPr>
      <c:txPr>
        <a:bodyPr/>
        <a:lstStyle/>
        <a:p>
          <a:pPr>
            <a:defRPr sz="574"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69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65" b="1" i="0" u="none" strike="noStrike" baseline="0">
                <a:solidFill>
                  <a:srgbClr val="000000"/>
                </a:solidFill>
                <a:latin typeface="Times New Roman"/>
                <a:ea typeface="Times New Roman"/>
                <a:cs typeface="Times New Roman"/>
              </a:defRPr>
            </a:pPr>
            <a:r>
              <a:rPr lang="ru-RU" sz="1165" b="1"/>
              <a:t>Введення житла</a:t>
            </a:r>
          </a:p>
        </c:rich>
      </c:tx>
      <c:layout>
        <c:manualLayout>
          <c:xMode val="edge"/>
          <c:yMode val="edge"/>
          <c:x val="0.36270495110687084"/>
          <c:y val="3.6496466664100585E-2"/>
        </c:manualLayout>
      </c:layout>
      <c:overlay val="0"/>
      <c:spPr>
        <a:noFill/>
        <a:ln w="11836">
          <a:noFill/>
        </a:ln>
      </c:spPr>
    </c:title>
    <c:autoTitleDeleted val="0"/>
    <c:plotArea>
      <c:layout>
        <c:manualLayout>
          <c:layoutTarget val="inner"/>
          <c:xMode val="edge"/>
          <c:yMode val="edge"/>
          <c:x val="2.7635619242579679E-2"/>
          <c:y val="0.22413793103448276"/>
          <c:w val="0.93244626407369502"/>
          <c:h val="0.39811912225705648"/>
        </c:manualLayout>
      </c:layout>
      <c:barChart>
        <c:barDir val="col"/>
        <c:grouping val="clustered"/>
        <c:varyColors val="0"/>
        <c:ser>
          <c:idx val="1"/>
          <c:order val="0"/>
          <c:tx>
            <c:strRef>
              <c:f>Лист1!$A$2</c:f>
              <c:strCache>
                <c:ptCount val="1"/>
                <c:pt idx="0">
                  <c:v>Обсяг, тис.кв.м</c:v>
                </c:pt>
              </c:strCache>
            </c:strRef>
          </c:tx>
          <c:spPr>
            <a:solidFill>
              <a:schemeClr val="accent6">
                <a:lumMod val="60000"/>
                <a:lumOff val="40000"/>
              </a:schemeClr>
            </a:solidFill>
            <a:ln w="5918">
              <a:solidFill>
                <a:srgbClr val="000000"/>
              </a:solidFill>
              <a:prstDash val="solid"/>
            </a:ln>
            <a:scene3d>
              <a:camera prst="orthographicFront"/>
              <a:lightRig rig="threePt" dir="t"/>
            </a:scene3d>
            <a:sp3d>
              <a:bevelT/>
            </a:sp3d>
          </c:spPr>
          <c:invertIfNegative val="0"/>
          <c:dLbls>
            <c:dLbl>
              <c:idx val="0"/>
              <c:layout>
                <c:manualLayout>
                  <c:x val="-5.0649578228486286E-2"/>
                  <c:y val="-1.6602009259428879E-2"/>
                </c:manualLayout>
              </c:layout>
              <c:dLblPos val="outEnd"/>
              <c:showLegendKey val="0"/>
              <c:showVal val="1"/>
              <c:showCatName val="0"/>
              <c:showSerName val="0"/>
              <c:showPercent val="0"/>
              <c:showBubbleSize val="0"/>
            </c:dLbl>
            <c:dLbl>
              <c:idx val="1"/>
              <c:layout>
                <c:manualLayout>
                  <c:x val="-1.4451793613007521E-3"/>
                  <c:y val="-6.9528616017627072E-4"/>
                </c:manualLayout>
              </c:layout>
              <c:dLblPos val="outEnd"/>
              <c:showLegendKey val="0"/>
              <c:showVal val="1"/>
              <c:showCatName val="0"/>
              <c:showSerName val="0"/>
              <c:showPercent val="0"/>
              <c:showBubbleSize val="0"/>
            </c:dLbl>
            <c:spPr>
              <a:noFill/>
              <a:ln w="11836">
                <a:noFill/>
              </a:ln>
            </c:spPr>
            <c:txPr>
              <a:bodyPr/>
              <a:lstStyle/>
              <a:p>
                <a:pPr>
                  <a:defRPr sz="93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Лист1!$B$1:$C$1</c:f>
              <c:strCache>
                <c:ptCount val="2"/>
                <c:pt idx="0">
                  <c:v>січень ‒ березень 2020 року</c:v>
                </c:pt>
                <c:pt idx="1">
                  <c:v>січень - березень 2021 року</c:v>
                </c:pt>
              </c:strCache>
            </c:strRef>
          </c:cat>
          <c:val>
            <c:numRef>
              <c:f>Лист1!$B$2:$C$2</c:f>
              <c:numCache>
                <c:formatCode>0.0</c:formatCode>
                <c:ptCount val="2"/>
                <c:pt idx="0" formatCode="General">
                  <c:v>40.5</c:v>
                </c:pt>
                <c:pt idx="1">
                  <c:v>91.4</c:v>
                </c:pt>
              </c:numCache>
            </c:numRef>
          </c:val>
        </c:ser>
        <c:dLbls>
          <c:showLegendKey val="0"/>
          <c:showVal val="1"/>
          <c:showCatName val="0"/>
          <c:showSerName val="0"/>
          <c:showPercent val="0"/>
          <c:showBubbleSize val="0"/>
        </c:dLbls>
        <c:gapWidth val="150"/>
        <c:axId val="238324736"/>
        <c:axId val="238331776"/>
      </c:barChart>
      <c:lineChart>
        <c:grouping val="standard"/>
        <c:varyColors val="0"/>
        <c:ser>
          <c:idx val="0"/>
          <c:order val="1"/>
          <c:tx>
            <c:strRef>
              <c:f>Лист1!$A$3</c:f>
              <c:strCache>
                <c:ptCount val="1"/>
                <c:pt idx="0">
                  <c:v>Темп зростання (зменшення), %</c:v>
                </c:pt>
              </c:strCache>
            </c:strRef>
          </c:tx>
          <c:spPr>
            <a:ln w="11836">
              <a:solidFill>
                <a:srgbClr val="FF0000"/>
              </a:solidFill>
              <a:prstDash val="solid"/>
            </a:ln>
          </c:spPr>
          <c:marker>
            <c:symbol val="diamond"/>
            <c:size val="2"/>
            <c:spPr>
              <a:solidFill>
                <a:srgbClr val="FF0000"/>
              </a:solidFill>
              <a:ln>
                <a:solidFill>
                  <a:srgbClr val="FF0000"/>
                </a:solidFill>
                <a:prstDash val="solid"/>
              </a:ln>
            </c:spPr>
          </c:marker>
          <c:dLbls>
            <c:dLbl>
              <c:idx val="0"/>
              <c:delete val="1"/>
            </c:dLbl>
            <c:dLbl>
              <c:idx val="1"/>
              <c:layout>
                <c:manualLayout>
                  <c:x val="1.6033714739905881E-2"/>
                  <c:y val="-8.8778230784393106E-3"/>
                </c:manualLayout>
              </c:layout>
              <c:tx>
                <c:rich>
                  <a:bodyPr/>
                  <a:lstStyle/>
                  <a:p>
                    <a:r>
                      <a:rPr lang="uk-UA" sz="932"/>
                      <a:t>більш ніж у</a:t>
                    </a:r>
                    <a:br>
                      <a:rPr lang="uk-UA" sz="932"/>
                    </a:br>
                    <a:r>
                      <a:rPr lang="uk-UA" sz="932"/>
                      <a:t>
 2 рази</a:t>
                    </a:r>
                    <a:endParaRPr lang="en-US" sz="2000"/>
                  </a:p>
                </c:rich>
              </c:tx>
              <c:dLblPos val="r"/>
              <c:showLegendKey val="0"/>
              <c:showVal val="0"/>
              <c:showCatName val="0"/>
              <c:showSerName val="0"/>
              <c:showPercent val="0"/>
              <c:showBubbleSize val="0"/>
            </c:dLbl>
            <c:dLbl>
              <c:idx val="2"/>
              <c:layout>
                <c:manualLayout>
                  <c:x val="-2.7007524775882041E-2"/>
                  <c:y val="3.3652407869079096E-2"/>
                </c:manualLayout>
              </c:layout>
              <c:dLblPos val="r"/>
              <c:showLegendKey val="0"/>
              <c:showVal val="1"/>
              <c:showCatName val="0"/>
              <c:showSerName val="0"/>
              <c:showPercent val="0"/>
              <c:showBubbleSize val="0"/>
            </c:dLbl>
            <c:spPr>
              <a:noFill/>
              <a:ln w="11836">
                <a:noFill/>
              </a:ln>
            </c:spPr>
            <c:txPr>
              <a:bodyPr/>
              <a:lstStyle/>
              <a:p>
                <a:pPr>
                  <a:defRPr sz="932" b="1"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Лист1!$B$1:$C$1</c:f>
              <c:strCache>
                <c:ptCount val="2"/>
                <c:pt idx="0">
                  <c:v>січень ‒ березень 2020 року</c:v>
                </c:pt>
                <c:pt idx="1">
                  <c:v>січень - березень 2021 року</c:v>
                </c:pt>
              </c:strCache>
            </c:strRef>
          </c:cat>
          <c:val>
            <c:numRef>
              <c:f>Лист1!$B$3:$C$3</c:f>
              <c:numCache>
                <c:formatCode>0.0</c:formatCode>
                <c:ptCount val="2"/>
                <c:pt idx="0">
                  <c:v>47.6</c:v>
                </c:pt>
                <c:pt idx="1">
                  <c:v>125.4</c:v>
                </c:pt>
              </c:numCache>
            </c:numRef>
          </c:val>
          <c:smooth val="0"/>
        </c:ser>
        <c:dLbls>
          <c:showLegendKey val="0"/>
          <c:showVal val="1"/>
          <c:showCatName val="0"/>
          <c:showSerName val="0"/>
          <c:showPercent val="0"/>
          <c:showBubbleSize val="0"/>
        </c:dLbls>
        <c:marker val="1"/>
        <c:smooth val="0"/>
        <c:axId val="238333312"/>
        <c:axId val="238466176"/>
      </c:lineChart>
      <c:catAx>
        <c:axId val="238324736"/>
        <c:scaling>
          <c:orientation val="minMax"/>
        </c:scaling>
        <c:delete val="0"/>
        <c:axPos val="b"/>
        <c:numFmt formatCode="General" sourceLinked="1"/>
        <c:majorTickMark val="cross"/>
        <c:minorTickMark val="none"/>
        <c:tickLblPos val="nextTo"/>
        <c:spPr>
          <a:ln w="1479">
            <a:solidFill>
              <a:srgbClr val="000000"/>
            </a:solidFill>
            <a:prstDash val="solid"/>
          </a:ln>
        </c:spPr>
        <c:txPr>
          <a:bodyPr rot="0" vert="horz"/>
          <a:lstStyle/>
          <a:p>
            <a:pPr>
              <a:defRPr sz="932" b="1" i="0" u="none" strike="noStrike" baseline="0">
                <a:solidFill>
                  <a:srgbClr val="000000"/>
                </a:solidFill>
                <a:latin typeface="Times New Roman"/>
                <a:ea typeface="Times New Roman"/>
                <a:cs typeface="Times New Roman"/>
              </a:defRPr>
            </a:pPr>
            <a:endParaRPr lang="ru-RU"/>
          </a:p>
        </c:txPr>
        <c:crossAx val="238331776"/>
        <c:crosses val="autoZero"/>
        <c:auto val="0"/>
        <c:lblAlgn val="ctr"/>
        <c:lblOffset val="100"/>
        <c:tickLblSkip val="1"/>
        <c:tickMarkSkip val="1"/>
        <c:noMultiLvlLbl val="0"/>
      </c:catAx>
      <c:valAx>
        <c:axId val="238331776"/>
        <c:scaling>
          <c:orientation val="minMax"/>
        </c:scaling>
        <c:delete val="1"/>
        <c:axPos val="l"/>
        <c:numFmt formatCode="General" sourceLinked="1"/>
        <c:majorTickMark val="out"/>
        <c:minorTickMark val="none"/>
        <c:tickLblPos val="none"/>
        <c:crossAx val="238324736"/>
        <c:crosses val="autoZero"/>
        <c:crossBetween val="between"/>
      </c:valAx>
      <c:catAx>
        <c:axId val="238333312"/>
        <c:scaling>
          <c:orientation val="minMax"/>
        </c:scaling>
        <c:delete val="1"/>
        <c:axPos val="b"/>
        <c:majorTickMark val="out"/>
        <c:minorTickMark val="none"/>
        <c:tickLblPos val="none"/>
        <c:crossAx val="238466176"/>
        <c:crosses val="autoZero"/>
        <c:auto val="0"/>
        <c:lblAlgn val="ctr"/>
        <c:lblOffset val="100"/>
        <c:noMultiLvlLbl val="0"/>
      </c:catAx>
      <c:valAx>
        <c:axId val="238466176"/>
        <c:scaling>
          <c:orientation val="minMax"/>
        </c:scaling>
        <c:delete val="1"/>
        <c:axPos val="l"/>
        <c:numFmt formatCode="0.0" sourceLinked="1"/>
        <c:majorTickMark val="out"/>
        <c:minorTickMark val="none"/>
        <c:tickLblPos val="none"/>
        <c:crossAx val="238333312"/>
        <c:crosses val="autoZero"/>
        <c:crossBetween val="between"/>
      </c:valAx>
      <c:spPr>
        <a:noFill/>
        <a:ln w="11836">
          <a:noFill/>
        </a:ln>
      </c:spPr>
    </c:plotArea>
    <c:legend>
      <c:legendPos val="b"/>
      <c:layout>
        <c:manualLayout>
          <c:xMode val="edge"/>
          <c:yMode val="edge"/>
          <c:x val="1.8442534037379464E-2"/>
          <c:y val="0.87226433857933361"/>
          <c:w val="0.96516389276147763"/>
          <c:h val="0.10583964289928516"/>
        </c:manualLayout>
      </c:layout>
      <c:overlay val="0"/>
      <c:spPr>
        <a:solidFill>
          <a:srgbClr val="FFFFFF"/>
        </a:solidFill>
        <a:ln w="11836">
          <a:noFill/>
        </a:ln>
      </c:spPr>
      <c:txPr>
        <a:bodyPr/>
        <a:lstStyle/>
        <a:p>
          <a:pPr>
            <a:defRPr sz="93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652"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9" b="1" i="0" u="none" strike="noStrike" baseline="0">
                <a:solidFill>
                  <a:srgbClr val="000000"/>
                </a:solidFill>
                <a:latin typeface="Times New Roman"/>
                <a:ea typeface="Times New Roman"/>
                <a:cs typeface="Times New Roman"/>
              </a:defRPr>
            </a:pPr>
            <a:r>
              <a:rPr lang="ru-RU" sz="1199"/>
              <a:t>Питома вага іноземних інвестицій області в економіці України, %</a:t>
            </a:r>
          </a:p>
        </c:rich>
      </c:tx>
      <c:layout>
        <c:manualLayout>
          <c:xMode val="edge"/>
          <c:yMode val="edge"/>
          <c:x val="0.15111335093014391"/>
          <c:y val="0"/>
        </c:manualLayout>
      </c:layout>
      <c:overlay val="0"/>
    </c:title>
    <c:autoTitleDeleted val="0"/>
    <c:plotArea>
      <c:layout>
        <c:manualLayout>
          <c:layoutTarget val="inner"/>
          <c:xMode val="edge"/>
          <c:yMode val="edge"/>
          <c:x val="9.5238095238095247E-2"/>
          <c:y val="0.21140939597315594"/>
          <c:w val="0.39153439153439695"/>
          <c:h val="0.74496644295302061"/>
        </c:manualLayout>
      </c:layout>
      <c:pieChart>
        <c:varyColors val="1"/>
        <c:ser>
          <c:idx val="0"/>
          <c:order val="0"/>
          <c:tx>
            <c:strRef>
              <c:f>Лист2!$B$11</c:f>
              <c:strCache>
                <c:ptCount val="1"/>
                <c:pt idx="0">
                  <c:v>Питома вага іноземних інвестицій області в економіці України, %</c:v>
                </c:pt>
              </c:strCache>
            </c:strRef>
          </c:tx>
          <c:explosion val="9"/>
          <c:dPt>
            <c:idx val="0"/>
            <c:bubble3D val="0"/>
            <c:explosion val="26"/>
          </c:dPt>
          <c:dLbls>
            <c:dLbl>
              <c:idx val="0"/>
              <c:layout>
                <c:manualLayout>
                  <c:x val="-8.9774115788272876E-3"/>
                  <c:y val="2.5944845737258072E-2"/>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dLbl>
              <c:idx val="1"/>
              <c:layout>
                <c:manualLayout>
                  <c:x val="-4.1668050987297475E-3"/>
                  <c:y val="1.1019283746556479E-2"/>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dLbl>
              <c:idx val="2"/>
              <c:layout>
                <c:manualLayout>
                  <c:x val="-9.4425433107783712E-3"/>
                  <c:y val="9.6848947600558181E-3"/>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dLbl>
              <c:idx val="3"/>
              <c:layout>
                <c:manualLayout>
                  <c:x val="-1.0275719754439978E-2"/>
                  <c:y val="-3.1709362775934917E-3"/>
                </c:manualLayout>
              </c:layout>
              <c:tx>
                <c:rich>
                  <a:bodyPr/>
                  <a:lstStyle/>
                  <a:p>
                    <a:pPr>
                      <a:defRPr sz="1099" b="1" i="0" u="none" strike="noStrike" baseline="0">
                        <a:solidFill>
                          <a:srgbClr val="000000"/>
                        </a:solidFill>
                        <a:latin typeface="Times New Roman"/>
                        <a:ea typeface="Times New Roman"/>
                        <a:cs typeface="Times New Roman"/>
                      </a:defRPr>
                    </a:pPr>
                    <a:r>
                      <a:rPr lang="ru-RU"/>
                      <a:t>4,3</a:t>
                    </a:r>
                  </a:p>
                </c:rich>
              </c:tx>
              <c:spPr/>
              <c:dLblPos val="bestFit"/>
              <c:showLegendKey val="0"/>
              <c:showVal val="0"/>
              <c:showCatName val="0"/>
              <c:showSerName val="0"/>
              <c:showPercent val="0"/>
              <c:showBubbleSize val="0"/>
            </c:dLbl>
            <c:dLbl>
              <c:idx val="4"/>
              <c:layout>
                <c:manualLayout>
                  <c:x val="-1.0909923179433794E-2"/>
                  <c:y val="-8.8277188491934378E-3"/>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dLbl>
              <c:idx val="5"/>
              <c:layout>
                <c:manualLayout>
                  <c:x val="-8.9486177097061175E-3"/>
                  <c:y val="5.0071220436288524E-3"/>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dLbl>
              <c:idx val="6"/>
              <c:layout>
                <c:manualLayout>
                  <c:x val="9.1236512102654044E-2"/>
                  <c:y val="-0.13907543581845674"/>
                </c:manualLayout>
              </c:layout>
              <c:spPr/>
              <c:txPr>
                <a:bodyPr/>
                <a:lstStyle/>
                <a:p>
                  <a:pPr>
                    <a:defRPr sz="10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Лист2!$A$12:$A$18</c:f>
              <c:strCache>
                <c:ptCount val="7"/>
                <c:pt idx="0">
                  <c:v>Дніпропетровська</c:v>
                </c:pt>
                <c:pt idx="1">
                  <c:v>Полтавська</c:v>
                </c:pt>
                <c:pt idx="2">
                  <c:v>Донецька</c:v>
                </c:pt>
                <c:pt idx="3">
                  <c:v>Львівська </c:v>
                </c:pt>
                <c:pt idx="4">
                  <c:v>Запорізька</c:v>
                </c:pt>
                <c:pt idx="5">
                  <c:v>Київська</c:v>
                </c:pt>
                <c:pt idx="6">
                  <c:v>Інші</c:v>
                </c:pt>
              </c:strCache>
            </c:strRef>
          </c:cat>
          <c:val>
            <c:numRef>
              <c:f>Лист2!$B$12:$B$18</c:f>
              <c:numCache>
                <c:formatCode>General</c:formatCode>
                <c:ptCount val="7"/>
                <c:pt idx="0" formatCode="0.0">
                  <c:v>13</c:v>
                </c:pt>
                <c:pt idx="1">
                  <c:v>5.7</c:v>
                </c:pt>
                <c:pt idx="2">
                  <c:v>4.9000000000000004</c:v>
                </c:pt>
                <c:pt idx="3">
                  <c:v>4.3</c:v>
                </c:pt>
                <c:pt idx="4" formatCode="0.0">
                  <c:v>4</c:v>
                </c:pt>
                <c:pt idx="5">
                  <c:v>3.6</c:v>
                </c:pt>
                <c:pt idx="6" formatCode="0.0">
                  <c:v>64.5</c:v>
                </c:pt>
              </c:numCache>
            </c:numRef>
          </c:val>
        </c:ser>
        <c:dLbls>
          <c:showLegendKey val="0"/>
          <c:showVal val="0"/>
          <c:showCatName val="0"/>
          <c:showSerName val="0"/>
          <c:showPercent val="0"/>
          <c:showBubbleSize val="0"/>
          <c:showLeaderLines val="1"/>
        </c:dLbls>
        <c:firstSliceAng val="0"/>
      </c:pieChart>
      <c:spPr>
        <a:noFill/>
        <a:ln w="25388">
          <a:noFill/>
        </a:ln>
      </c:spPr>
    </c:plotArea>
    <c:legend>
      <c:legendPos val="r"/>
      <c:layout>
        <c:manualLayout>
          <c:xMode val="edge"/>
          <c:yMode val="edge"/>
          <c:x val="0.58377425044091713"/>
          <c:y val="0.14093959731543926"/>
          <c:w val="0.37566137566137581"/>
          <c:h val="0.79865771812081165"/>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554607270081099"/>
          <c:y val="0"/>
        </c:manualLayout>
      </c:layout>
      <c:overlay val="0"/>
      <c:txPr>
        <a:bodyPr/>
        <a:lstStyle/>
        <a:p>
          <a:pPr>
            <a:defRPr sz="1100" b="1" i="0" u="none" strike="noStrike"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0405643738977068"/>
          <c:y val="0.2078853046595"/>
          <c:w val="0.31216931216931232"/>
          <c:h val="0.63440860215055228"/>
        </c:manualLayout>
      </c:layout>
      <c:doughnutChart>
        <c:varyColors val="1"/>
        <c:ser>
          <c:idx val="0"/>
          <c:order val="0"/>
          <c:tx>
            <c:strRef>
              <c:f>Лист2!$B$11</c:f>
              <c:strCache>
                <c:ptCount val="1"/>
                <c:pt idx="0">
                  <c:v>Прямі іноземні інвестиції за видами економічної діяльності, %</c:v>
                </c:pt>
              </c:strCache>
            </c:strRef>
          </c:tx>
          <c:dLbls>
            <c:dLbl>
              <c:idx val="0"/>
              <c:layout>
                <c:manualLayout>
                  <c:x val="9.7754447360750077E-3"/>
                  <c:y val="0.19123407157187094"/>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1"/>
              <c:layout>
                <c:manualLayout>
                  <c:x val="-7.6913472932731541E-2"/>
                  <c:y val="3.3506573802985946E-2"/>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layout>
                <c:manualLayout>
                  <c:x val="-6.3514943208729469E-2"/>
                  <c:y val="-7.790983979196596E-2"/>
                </c:manualLayout>
              </c:layout>
              <c:tx>
                <c:rich>
                  <a:bodyPr/>
                  <a:lstStyle/>
                  <a:p>
                    <a:pPr>
                      <a:defRPr sz="1100" b="1" i="0" u="none" strike="noStrike" baseline="0">
                        <a:solidFill>
                          <a:srgbClr val="000000"/>
                        </a:solidFill>
                        <a:latin typeface="Times New Roman"/>
                        <a:ea typeface="Times New Roman"/>
                        <a:cs typeface="Times New Roman"/>
                      </a:defRPr>
                    </a:pPr>
                    <a:r>
                      <a:rPr lang="ru-RU"/>
                      <a:t>6,4</a:t>
                    </a:r>
                  </a:p>
                </c:rich>
              </c:tx>
              <c:spPr/>
              <c:showLegendKey val="0"/>
              <c:showVal val="0"/>
              <c:showCatName val="0"/>
              <c:showSerName val="0"/>
              <c:showPercent val="0"/>
              <c:showBubbleSize val="0"/>
            </c:dLbl>
            <c:dLbl>
              <c:idx val="3"/>
              <c:layout>
                <c:manualLayout>
                  <c:x val="-3.4150617091277972E-2"/>
                  <c:y val="-0.10570602462221217"/>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4"/>
              <c:layout>
                <c:manualLayout>
                  <c:x val="-2.9741785272922951E-2"/>
                  <c:y val="-0.18033714607844994"/>
                </c:manualLayout>
              </c:layout>
              <c:tx>
                <c:rich>
                  <a:bodyPr/>
                  <a:lstStyle/>
                  <a:p>
                    <a:pPr>
                      <a:defRPr sz="1000" b="0" i="0" u="none" strike="noStrike" baseline="0">
                        <a:solidFill>
                          <a:srgbClr val="000000"/>
                        </a:solidFill>
                        <a:latin typeface="Calibri"/>
                        <a:ea typeface="Calibri"/>
                        <a:cs typeface="Calibri"/>
                      </a:defRPr>
                    </a:pPr>
                    <a:r>
                      <a:rPr lang="ru-RU" sz="1100" b="1" i="0" strike="noStrike">
                        <a:solidFill>
                          <a:srgbClr val="000000"/>
                        </a:solidFill>
                        <a:latin typeface="Times New Roman"/>
                        <a:cs typeface="Times New Roman"/>
                      </a:rPr>
                      <a:t>0,9</a:t>
                    </a:r>
                  </a:p>
                </c:rich>
              </c:tx>
              <c:spPr/>
              <c:showLegendKey val="0"/>
              <c:showVal val="0"/>
              <c:showCatName val="0"/>
              <c:showSerName val="0"/>
              <c:showPercent val="0"/>
              <c:showBubbleSize val="0"/>
            </c:dLbl>
            <c:dLbl>
              <c:idx val="5"/>
              <c:layout>
                <c:manualLayout>
                  <c:x val="2.7719636311283992E-3"/>
                  <c:y val="-0.18896824516654295"/>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6"/>
              <c:layout>
                <c:manualLayout>
                  <c:x val="3.2633605398481411E-2"/>
                  <c:y val="-0.17715204613507821"/>
                </c:manualLayout>
              </c:layout>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Лист2!$A$12:$A$18</c:f>
              <c:strCache>
                <c:ptCount val="7"/>
                <c:pt idx="0">
                  <c:v>Промисловість</c:v>
                </c:pt>
                <c:pt idx="1">
                  <c:v>Торгівля</c:v>
                </c:pt>
                <c:pt idx="2">
                  <c:v>Операції з нерухомим майном</c:v>
                </c:pt>
                <c:pt idx="3">
                  <c:v>Транспорт, складське господарство, пошта та кур’єрська діяльність</c:v>
                </c:pt>
                <c:pt idx="4">
                  <c:v>Діяльність у сфері адміністративного та допоміжного обслуговування</c:v>
                </c:pt>
                <c:pt idx="5">
                  <c:v>Професійна, наукова та технічна діяльність</c:v>
                </c:pt>
                <c:pt idx="6">
                  <c:v>Інші</c:v>
                </c:pt>
              </c:strCache>
            </c:strRef>
          </c:cat>
          <c:val>
            <c:numRef>
              <c:f>Лист2!$B$12:$B$18</c:f>
              <c:numCache>
                <c:formatCode>General</c:formatCode>
                <c:ptCount val="7"/>
                <c:pt idx="0">
                  <c:v>72.099999999999994</c:v>
                </c:pt>
                <c:pt idx="1">
                  <c:v>13.6</c:v>
                </c:pt>
                <c:pt idx="2">
                  <c:v>6.4</c:v>
                </c:pt>
                <c:pt idx="3">
                  <c:v>5.2</c:v>
                </c:pt>
                <c:pt idx="4">
                  <c:v>0.9</c:v>
                </c:pt>
                <c:pt idx="5">
                  <c:v>0.8</c:v>
                </c:pt>
                <c:pt idx="6" formatCode="0.0">
                  <c:v>1</c:v>
                </c:pt>
              </c:numCache>
            </c:numRef>
          </c:val>
        </c:ser>
        <c:dLbls>
          <c:showLegendKey val="0"/>
          <c:showVal val="0"/>
          <c:showCatName val="0"/>
          <c:showSerName val="0"/>
          <c:showPercent val="0"/>
          <c:showBubbleSize val="0"/>
          <c:showLeaderLines val="1"/>
        </c:dLbls>
        <c:firstSliceAng val="0"/>
        <c:holeSize val="50"/>
      </c:doughnutChart>
      <c:spPr>
        <a:noFill/>
        <a:ln w="25389">
          <a:noFill/>
        </a:ln>
      </c:spPr>
    </c:plotArea>
    <c:legend>
      <c:legendPos val="r"/>
      <c:layout>
        <c:manualLayout>
          <c:xMode val="edge"/>
          <c:yMode val="edge"/>
          <c:x val="0.47266313932981247"/>
          <c:y val="0.11827956989247285"/>
          <c:w val="0.50793650793650758"/>
          <c:h val="0.84587813620072994"/>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latin typeface="Times New Roman" panose="02020603050405020304" pitchFamily="18" charset="0"/>
                <a:cs typeface="Times New Roman" panose="02020603050405020304" pitchFamily="18" charset="0"/>
              </a:rPr>
              <a:t>Питома вага регіонів у загальнодержавних обсягах експорту товарів, % </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363136118401866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2711864406779694"/>
          <c:w val="0.64160633566637992"/>
          <c:h val="0.60903954802259885"/>
        </c:manualLayout>
      </c:layout>
      <c:pie3DChart>
        <c:varyColors val="1"/>
        <c:ser>
          <c:idx val="0"/>
          <c:order val="0"/>
          <c:tx>
            <c:strRef>
              <c:f>Лист1!$B$1</c:f>
              <c:strCache>
                <c:ptCount val="1"/>
                <c:pt idx="0">
                  <c:v>Продажи</c:v>
                </c:pt>
              </c:strCache>
            </c:strRef>
          </c:tx>
          <c:explosion val="29"/>
          <c:dPt>
            <c:idx val="0"/>
            <c:bubble3D val="0"/>
            <c:spPr>
              <a:solidFill>
                <a:srgbClr val="0070C0"/>
              </a:solidFill>
            </c:spPr>
          </c:dPt>
          <c:dPt>
            <c:idx val="1"/>
            <c:bubble3D val="0"/>
            <c:spPr>
              <a:solidFill>
                <a:srgbClr val="FFC000"/>
              </a:solidFill>
            </c:spPr>
          </c:dPt>
          <c:dLbls>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Лист1!$A$2:$A$9</c:f>
              <c:strCache>
                <c:ptCount val="8"/>
                <c:pt idx="0">
                  <c:v>Дніпропетровська </c:v>
                </c:pt>
                <c:pt idx="1">
                  <c:v>м. Київ</c:v>
                </c:pt>
                <c:pt idx="2">
                  <c:v>Донецька </c:v>
                </c:pt>
                <c:pt idx="3">
                  <c:v>Запорізька </c:v>
                </c:pt>
                <c:pt idx="4">
                  <c:v>Полтавська  </c:v>
                </c:pt>
                <c:pt idx="5">
                  <c:v>Львівська </c:v>
                </c:pt>
                <c:pt idx="6">
                  <c:v>Миколаївська </c:v>
                </c:pt>
                <c:pt idx="7">
                  <c:v>Інші</c:v>
                </c:pt>
              </c:strCache>
            </c:strRef>
          </c:cat>
          <c:val>
            <c:numRef>
              <c:f>Лист1!$B$2:$B$9</c:f>
              <c:numCache>
                <c:formatCode>General</c:formatCode>
                <c:ptCount val="8"/>
                <c:pt idx="0">
                  <c:v>19.100000000000001</c:v>
                </c:pt>
                <c:pt idx="1">
                  <c:v>21.9</c:v>
                </c:pt>
                <c:pt idx="2">
                  <c:v>9.5</c:v>
                </c:pt>
                <c:pt idx="3">
                  <c:v>7.2</c:v>
                </c:pt>
                <c:pt idx="4">
                  <c:v>5.6</c:v>
                </c:pt>
                <c:pt idx="5">
                  <c:v>4.3</c:v>
                </c:pt>
                <c:pt idx="6" formatCode="0.0">
                  <c:v>4</c:v>
                </c:pt>
                <c:pt idx="7">
                  <c:v>28.4</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56251422431256459"/>
          <c:y val="0.20782952978335337"/>
          <c:w val="0.43478255322251624"/>
          <c:h val="0.73801325681747465"/>
        </c:manualLayout>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0" b="1" i="0" u="none" strike="noStrike" baseline="0">
                <a:solidFill>
                  <a:srgbClr val="000000"/>
                </a:solidFill>
                <a:latin typeface="Times New Roman"/>
                <a:ea typeface="Times New Roman"/>
                <a:cs typeface="Times New Roman"/>
              </a:defRPr>
            </a:pPr>
            <a:r>
              <a:rPr lang="ru-RU" sz="1250" b="1" i="0" strike="noStrike">
                <a:solidFill>
                  <a:srgbClr val="000000"/>
                </a:solidFill>
                <a:latin typeface="Times New Roman"/>
                <a:cs typeface="Times New Roman"/>
              </a:rPr>
              <a:t>Зовнішня торгівля товарами</a:t>
            </a:r>
            <a:r>
              <a:rPr lang="en-US" sz="1250" b="1" i="0" strike="noStrike">
                <a:solidFill>
                  <a:srgbClr val="000000"/>
                </a:solidFill>
                <a:latin typeface="Times New Roman"/>
                <a:cs typeface="Times New Roman"/>
              </a:rPr>
              <a:t> </a:t>
            </a:r>
            <a:r>
              <a:rPr lang="ru-RU" sz="1250" b="1" i="0" strike="noStrike">
                <a:solidFill>
                  <a:srgbClr val="000000"/>
                </a:solidFill>
                <a:latin typeface="Times New Roman"/>
                <a:cs typeface="Times New Roman"/>
              </a:rPr>
              <a:t>області, млн дол. США</a:t>
            </a:r>
          </a:p>
        </c:rich>
      </c:tx>
      <c:layout>
        <c:manualLayout>
          <c:xMode val="edge"/>
          <c:yMode val="edge"/>
          <c:x val="0.24166007366882056"/>
          <c:y val="2.6797677534613949E-2"/>
        </c:manualLayout>
      </c:layout>
      <c:overlay val="0"/>
      <c:spPr>
        <a:noFill/>
        <a:ln w="25272">
          <a:noFill/>
        </a:ln>
      </c:spPr>
    </c:title>
    <c:autoTitleDeleted val="0"/>
    <c:plotArea>
      <c:layout>
        <c:manualLayout>
          <c:layoutTarget val="inner"/>
          <c:xMode val="edge"/>
          <c:yMode val="edge"/>
          <c:x val="0.10853052621931612"/>
          <c:y val="0.17373428800911694"/>
          <c:w val="0.78852067386775127"/>
          <c:h val="0.57989690721649945"/>
        </c:manualLayout>
      </c:layout>
      <c:barChart>
        <c:barDir val="col"/>
        <c:grouping val="clustered"/>
        <c:varyColors val="0"/>
        <c:ser>
          <c:idx val="1"/>
          <c:order val="0"/>
          <c:tx>
            <c:strRef>
              <c:f>Лист1!$B$7</c:f>
              <c:strCache>
                <c:ptCount val="1"/>
                <c:pt idx="0">
                  <c:v>експорт</c:v>
                </c:pt>
              </c:strCache>
            </c:strRef>
          </c:tx>
          <c:spPr>
            <a:gradFill rotWithShape="0">
              <a:gsLst>
                <a:gs pos="0">
                  <a:srgbClr val="FFFF99">
                    <a:gamma/>
                    <a:shade val="46275"/>
                    <a:invGamma/>
                  </a:srgbClr>
                </a:gs>
                <a:gs pos="50000">
                  <a:srgbClr val="FFFF99"/>
                </a:gs>
                <a:gs pos="100000">
                  <a:srgbClr val="FFFF99">
                    <a:gamma/>
                    <a:shade val="46275"/>
                    <a:invGamma/>
                  </a:srgbClr>
                </a:gs>
              </a:gsLst>
              <a:lin ang="0" scaled="1"/>
            </a:gradFill>
            <a:ln w="12636">
              <a:solidFill>
                <a:srgbClr val="000000"/>
              </a:solidFill>
              <a:prstDash val="solid"/>
            </a:ln>
          </c:spPr>
          <c:invertIfNegative val="0"/>
          <c:dLbls>
            <c:dLbl>
              <c:idx val="0"/>
              <c:layout>
                <c:manualLayout>
                  <c:x val="0"/>
                  <c:y val="1.0698444573622838E-2"/>
                </c:manualLayout>
              </c:layout>
              <c:dLblPos val="outEnd"/>
              <c:showLegendKey val="0"/>
              <c:showVal val="1"/>
              <c:showCatName val="0"/>
              <c:showSerName val="0"/>
              <c:showPercent val="0"/>
              <c:showBubbleSize val="0"/>
            </c:dLbl>
            <c:dLbl>
              <c:idx val="1"/>
              <c:layout>
                <c:manualLayout>
                  <c:x val="2.0736132711248602E-3"/>
                  <c:y val="4.4999911923761932E-3"/>
                </c:manualLayout>
              </c:layout>
              <c:dLblPos val="outEnd"/>
              <c:showLegendKey val="0"/>
              <c:showVal val="1"/>
              <c:showCatName val="0"/>
              <c:showSerName val="0"/>
              <c:showPercent val="0"/>
              <c:showBubbleSize val="0"/>
            </c:dLbl>
            <c:spPr>
              <a:solidFill>
                <a:srgbClr val="FFFFFF"/>
              </a:solidFill>
              <a:ln w="25272">
                <a:noFill/>
              </a:ln>
            </c:spPr>
            <c:txPr>
              <a:bodyPr/>
              <a:lstStyle/>
              <a:p>
                <a:pPr>
                  <a:defRPr sz="99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dLbls>
          <c:cat>
            <c:strRef>
              <c:f>Лист1!$C$6:$D$6</c:f>
              <c:strCache>
                <c:ptCount val="2"/>
                <c:pt idx="0">
                  <c:v>січень ‒ травень 2020 року</c:v>
                </c:pt>
                <c:pt idx="1">
                  <c:v>січень ‒ травень 2021 року</c:v>
                </c:pt>
              </c:strCache>
            </c:strRef>
          </c:cat>
          <c:val>
            <c:numRef>
              <c:f>Лист1!$C$7:$D$7</c:f>
              <c:numCache>
                <c:formatCode>0.0</c:formatCode>
                <c:ptCount val="2"/>
                <c:pt idx="0">
                  <c:v>3071.7</c:v>
                </c:pt>
                <c:pt idx="1">
                  <c:v>4702.6000000000004</c:v>
                </c:pt>
              </c:numCache>
            </c:numRef>
          </c:val>
        </c:ser>
        <c:ser>
          <c:idx val="0"/>
          <c:order val="1"/>
          <c:tx>
            <c:strRef>
              <c:f>Лист1!$B$8</c:f>
              <c:strCache>
                <c:ptCount val="1"/>
                <c:pt idx="0">
                  <c:v>імпорт</c:v>
                </c:pt>
              </c:strCache>
            </c:strRef>
          </c:tx>
          <c:spPr>
            <a:gradFill rotWithShape="0">
              <a:gsLst>
                <a:gs pos="0">
                  <a:srgbClr val="3366FF"/>
                </a:gs>
                <a:gs pos="50000">
                  <a:srgbClr val="3366FF">
                    <a:gamma/>
                    <a:shade val="46275"/>
                    <a:invGamma/>
                  </a:srgbClr>
                </a:gs>
                <a:gs pos="100000">
                  <a:srgbClr val="3366FF"/>
                </a:gs>
              </a:gsLst>
              <a:lin ang="0" scaled="1"/>
            </a:gradFill>
            <a:ln w="12636">
              <a:solidFill>
                <a:srgbClr val="000000"/>
              </a:solidFill>
              <a:prstDash val="solid"/>
            </a:ln>
          </c:spPr>
          <c:invertIfNegative val="0"/>
          <c:dLbls>
            <c:dLbl>
              <c:idx val="0"/>
              <c:layout>
                <c:manualLayout>
                  <c:x val="-2.0736132711248992E-3"/>
                  <c:y val="4.8047349785975265E-3"/>
                </c:manualLayout>
              </c:layout>
              <c:dLblPos val="outEnd"/>
              <c:showLegendKey val="0"/>
              <c:showVal val="1"/>
              <c:showCatName val="0"/>
              <c:showSerName val="0"/>
              <c:showPercent val="0"/>
              <c:showBubbleSize val="0"/>
            </c:dLbl>
            <c:dLbl>
              <c:idx val="1"/>
              <c:layout>
                <c:manualLayout>
                  <c:x val="0"/>
                  <c:y val="1.3493279782988502E-4"/>
                </c:manualLayout>
              </c:layout>
              <c:dLblPos val="outEnd"/>
              <c:showLegendKey val="0"/>
              <c:showVal val="1"/>
              <c:showCatName val="0"/>
              <c:showSerName val="0"/>
              <c:showPercent val="0"/>
              <c:showBubbleSize val="0"/>
            </c:dLbl>
            <c:spPr>
              <a:solidFill>
                <a:srgbClr val="FFFFFF"/>
              </a:solidFill>
              <a:ln w="25272">
                <a:noFill/>
              </a:ln>
            </c:spPr>
            <c:txPr>
              <a:bodyPr/>
              <a:lstStyle/>
              <a:p>
                <a:pPr>
                  <a:defRPr sz="99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dLbls>
          <c:cat>
            <c:strRef>
              <c:f>Лист1!$C$6:$D$6</c:f>
              <c:strCache>
                <c:ptCount val="2"/>
                <c:pt idx="0">
                  <c:v>січень ‒ травень 2020 року</c:v>
                </c:pt>
                <c:pt idx="1">
                  <c:v>січень ‒ травень 2021 року</c:v>
                </c:pt>
              </c:strCache>
            </c:strRef>
          </c:cat>
          <c:val>
            <c:numRef>
              <c:f>Лист1!$C$8:$D$8</c:f>
              <c:numCache>
                <c:formatCode>0.0</c:formatCode>
                <c:ptCount val="2"/>
                <c:pt idx="0">
                  <c:v>1746.1</c:v>
                </c:pt>
                <c:pt idx="1">
                  <c:v>2112.4</c:v>
                </c:pt>
              </c:numCache>
            </c:numRef>
          </c:val>
        </c:ser>
        <c:dLbls>
          <c:showLegendKey val="0"/>
          <c:showVal val="1"/>
          <c:showCatName val="0"/>
          <c:showSerName val="0"/>
          <c:showPercent val="0"/>
          <c:showBubbleSize val="0"/>
        </c:dLbls>
        <c:gapWidth val="292"/>
        <c:axId val="240049152"/>
        <c:axId val="241788800"/>
      </c:barChart>
      <c:lineChart>
        <c:grouping val="standard"/>
        <c:varyColors val="0"/>
        <c:ser>
          <c:idx val="2"/>
          <c:order val="2"/>
          <c:tx>
            <c:strRef>
              <c:f>Лист1!$B$9</c:f>
              <c:strCache>
                <c:ptCount val="1"/>
                <c:pt idx="0">
                  <c:v>зовнішньоторговельний оборот</c:v>
                </c:pt>
              </c:strCache>
            </c:strRef>
          </c:tx>
          <c:spPr>
            <a:ln w="37908">
              <a:solidFill>
                <a:srgbClr val="FF0000"/>
              </a:solidFill>
              <a:prstDash val="solid"/>
            </a:ln>
          </c:spPr>
          <c:marker>
            <c:symbol val="diamond"/>
            <c:size val="8"/>
            <c:spPr>
              <a:solidFill>
                <a:srgbClr val="FF0000"/>
              </a:solidFill>
              <a:ln>
                <a:solidFill>
                  <a:srgbClr val="FF0000"/>
                </a:solidFill>
                <a:prstDash val="solid"/>
              </a:ln>
            </c:spPr>
          </c:marker>
          <c:dLbls>
            <c:dLbl>
              <c:idx val="1"/>
              <c:layout>
                <c:manualLayout>
                  <c:x val="-4.521602127964202E-2"/>
                  <c:y val="-5.1259190640288867E-2"/>
                </c:manualLayout>
              </c:layout>
              <c:dLblPos val="r"/>
              <c:showLegendKey val="0"/>
              <c:showVal val="1"/>
              <c:showCatName val="0"/>
              <c:showSerName val="0"/>
              <c:showPercent val="0"/>
              <c:showBubbleSize val="0"/>
            </c:dLbl>
            <c:dLbl>
              <c:idx val="2"/>
              <c:layout>
                <c:manualLayout>
                  <c:x val="-4.901669763454599E-2"/>
                  <c:y val="-5.1209639726197805E-2"/>
                </c:manualLayout>
              </c:layout>
              <c:dLblPos val="r"/>
              <c:showLegendKey val="0"/>
              <c:showVal val="1"/>
              <c:showCatName val="0"/>
              <c:showSerName val="0"/>
              <c:showPercent val="0"/>
              <c:showBubbleSize val="0"/>
            </c:dLbl>
            <c:dLbl>
              <c:idx val="3"/>
              <c:layout>
                <c:manualLayout>
                  <c:x val="-4.7575382225587555E-2"/>
                  <c:y val="-4.9727680827451895E-2"/>
                </c:manualLayout>
              </c:layout>
              <c:dLblPos val="r"/>
              <c:showLegendKey val="0"/>
              <c:showVal val="1"/>
              <c:showCatName val="0"/>
              <c:showSerName val="0"/>
              <c:showPercent val="0"/>
              <c:showBubbleSize val="0"/>
            </c:dLbl>
            <c:dLbl>
              <c:idx val="4"/>
              <c:layout>
                <c:manualLayout>
                  <c:x val="-4.1517426996462894E-2"/>
                  <c:y val="-5.3422124086718904E-2"/>
                </c:manualLayout>
              </c:layout>
              <c:dLblPos val="r"/>
              <c:showLegendKey val="0"/>
              <c:showVal val="1"/>
              <c:showCatName val="0"/>
              <c:showSerName val="0"/>
              <c:showPercent val="0"/>
              <c:showBubbleSize val="0"/>
            </c:dLbl>
            <c:spPr>
              <a:noFill/>
              <a:ln w="25272">
                <a:noFill/>
              </a:ln>
            </c:spPr>
            <c:txPr>
              <a:bodyPr/>
              <a:lstStyle/>
              <a:p>
                <a:pPr>
                  <a:defRPr sz="995"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strRef>
              <c:f>Лист1!$C$6:$D$6</c:f>
              <c:strCache>
                <c:ptCount val="2"/>
                <c:pt idx="0">
                  <c:v>січень ‒ травень 2020 року</c:v>
                </c:pt>
                <c:pt idx="1">
                  <c:v>січень ‒ травень 2021 року</c:v>
                </c:pt>
              </c:strCache>
            </c:strRef>
          </c:cat>
          <c:val>
            <c:numRef>
              <c:f>Лист1!$C$9:$D$9</c:f>
              <c:numCache>
                <c:formatCode>0.0</c:formatCode>
                <c:ptCount val="2"/>
                <c:pt idx="0">
                  <c:v>4817.8</c:v>
                </c:pt>
                <c:pt idx="1">
                  <c:v>6815</c:v>
                </c:pt>
              </c:numCache>
            </c:numRef>
          </c:val>
          <c:smooth val="0"/>
        </c:ser>
        <c:dLbls>
          <c:showLegendKey val="0"/>
          <c:showVal val="1"/>
          <c:showCatName val="0"/>
          <c:showSerName val="0"/>
          <c:showPercent val="0"/>
          <c:showBubbleSize val="0"/>
        </c:dLbls>
        <c:marker val="1"/>
        <c:smooth val="0"/>
        <c:axId val="241790336"/>
        <c:axId val="241800320"/>
      </c:lineChart>
      <c:catAx>
        <c:axId val="240049152"/>
        <c:scaling>
          <c:orientation val="minMax"/>
        </c:scaling>
        <c:delete val="0"/>
        <c:axPos val="b"/>
        <c:numFmt formatCode="General" sourceLinked="1"/>
        <c:majorTickMark val="cross"/>
        <c:minorTickMark val="none"/>
        <c:tickLblPos val="nextTo"/>
        <c:spPr>
          <a:ln w="3159">
            <a:solidFill>
              <a:srgbClr val="000000"/>
            </a:solidFill>
            <a:prstDash val="solid"/>
          </a:ln>
        </c:spPr>
        <c:txPr>
          <a:bodyPr rot="0" vert="horz"/>
          <a:lstStyle/>
          <a:p>
            <a:pPr>
              <a:defRPr sz="995" b="1" i="0" u="none" strike="noStrike" baseline="0">
                <a:solidFill>
                  <a:srgbClr val="000000"/>
                </a:solidFill>
                <a:latin typeface="Times New Roman"/>
                <a:ea typeface="Times New Roman"/>
                <a:cs typeface="Times New Roman"/>
              </a:defRPr>
            </a:pPr>
            <a:endParaRPr lang="ru-RU"/>
          </a:p>
        </c:txPr>
        <c:crossAx val="241788800"/>
        <c:crosses val="autoZero"/>
        <c:auto val="0"/>
        <c:lblAlgn val="ctr"/>
        <c:lblOffset val="100"/>
        <c:tickLblSkip val="1"/>
        <c:tickMarkSkip val="1"/>
        <c:noMultiLvlLbl val="0"/>
      </c:catAx>
      <c:valAx>
        <c:axId val="241788800"/>
        <c:scaling>
          <c:orientation val="minMax"/>
          <c:max val="6000"/>
          <c:min val="0"/>
        </c:scaling>
        <c:delete val="0"/>
        <c:axPos val="l"/>
        <c:numFmt formatCode="0.0" sourceLinked="1"/>
        <c:majorTickMark val="none"/>
        <c:minorTickMark val="none"/>
        <c:tickLblPos val="none"/>
        <c:spPr>
          <a:ln w="9477">
            <a:noFill/>
          </a:ln>
        </c:spPr>
        <c:crossAx val="240049152"/>
        <c:crosses val="autoZero"/>
        <c:crossBetween val="between"/>
      </c:valAx>
      <c:catAx>
        <c:axId val="241790336"/>
        <c:scaling>
          <c:orientation val="minMax"/>
        </c:scaling>
        <c:delete val="1"/>
        <c:axPos val="b"/>
        <c:numFmt formatCode="General" sourceLinked="1"/>
        <c:majorTickMark val="out"/>
        <c:minorTickMark val="none"/>
        <c:tickLblPos val="none"/>
        <c:crossAx val="241800320"/>
        <c:crosses val="autoZero"/>
        <c:auto val="0"/>
        <c:lblAlgn val="ctr"/>
        <c:lblOffset val="100"/>
        <c:noMultiLvlLbl val="0"/>
      </c:catAx>
      <c:valAx>
        <c:axId val="241800320"/>
        <c:scaling>
          <c:orientation val="minMax"/>
          <c:max val="6900"/>
          <c:min val="-200"/>
        </c:scaling>
        <c:delete val="0"/>
        <c:axPos val="r"/>
        <c:numFmt formatCode="0.0" sourceLinked="1"/>
        <c:majorTickMark val="none"/>
        <c:minorTickMark val="none"/>
        <c:tickLblPos val="none"/>
        <c:spPr>
          <a:ln w="9477">
            <a:noFill/>
          </a:ln>
        </c:spPr>
        <c:crossAx val="241790336"/>
        <c:crosses val="max"/>
        <c:crossBetween val="between"/>
        <c:minorUnit val="50"/>
      </c:valAx>
      <c:spPr>
        <a:noFill/>
        <a:ln w="25272">
          <a:noFill/>
        </a:ln>
      </c:spPr>
    </c:plotArea>
    <c:legend>
      <c:legendPos val="b"/>
      <c:layout>
        <c:manualLayout>
          <c:xMode val="edge"/>
          <c:yMode val="edge"/>
          <c:x val="0.10621145140683251"/>
          <c:y val="0.88273133589930652"/>
          <c:w val="0.84141309961790256"/>
          <c:h val="7.7874099603364291E-2"/>
        </c:manualLayout>
      </c:layout>
      <c:overlay val="0"/>
      <c:spPr>
        <a:noFill/>
        <a:ln w="25272">
          <a:noFill/>
        </a:ln>
      </c:spPr>
      <c:txPr>
        <a:bodyPr/>
        <a:lstStyle/>
        <a:p>
          <a:pPr>
            <a:defRPr sz="109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9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itchFamily="18" charset="0"/>
                <a:ea typeface="Times New Roman"/>
                <a:cs typeface="Times New Roman" pitchFamily="18" charset="0"/>
              </a:defRPr>
            </a:pPr>
            <a:r>
              <a:rPr lang="ru-RU" sz="1200" b="1" i="0" strike="noStrike">
                <a:solidFill>
                  <a:srgbClr val="000000"/>
                </a:solidFill>
                <a:latin typeface="Times New Roman" pitchFamily="18" charset="0"/>
                <a:cs typeface="Times New Roman" pitchFamily="18" charset="0"/>
              </a:rPr>
              <a:t>Основні товари, обсяги експорту яких збільшились у </a:t>
            </a:r>
            <a:r>
              <a:rPr lang="en-US" sz="1200" b="1" i="0" strike="noStrike">
                <a:solidFill>
                  <a:srgbClr val="000000"/>
                </a:solidFill>
                <a:latin typeface="Times New Roman" pitchFamily="18" charset="0"/>
                <a:cs typeface="Times New Roman" pitchFamily="18" charset="0"/>
              </a:rPr>
              <a:t>c</a:t>
            </a:r>
            <a:r>
              <a:rPr lang="ru-RU" sz="1200" b="1" i="0" strike="noStrike">
                <a:solidFill>
                  <a:srgbClr val="000000"/>
                </a:solidFill>
                <a:latin typeface="Times New Roman" pitchFamily="18" charset="0"/>
                <a:cs typeface="Times New Roman" pitchFamily="18" charset="0"/>
              </a:rPr>
              <a:t>ічні ‒ травні 2021 року (</a:t>
            </a:r>
            <a:r>
              <a:rPr lang="uk-UA" sz="1200" b="1" i="0" strike="noStrike">
                <a:solidFill>
                  <a:srgbClr val="000000"/>
                </a:solidFill>
                <a:latin typeface="Times New Roman" pitchFamily="18" charset="0"/>
                <a:cs typeface="Times New Roman" pitchFamily="18" charset="0"/>
              </a:rPr>
              <a:t>на %</a:t>
            </a:r>
            <a:r>
              <a:rPr lang="ru-RU" sz="1200" b="1" i="0" strike="noStrike">
                <a:solidFill>
                  <a:srgbClr val="000000"/>
                </a:solidFill>
                <a:latin typeface="Times New Roman" pitchFamily="18" charset="0"/>
                <a:cs typeface="Times New Roman" pitchFamily="18" charset="0"/>
              </a:rPr>
              <a:t> до відповідного періоду попереднього року)</a:t>
            </a:r>
          </a:p>
        </c:rich>
      </c:tx>
      <c:overlay val="1"/>
      <c:spPr>
        <a:noFill/>
        <a:ln w="25376">
          <a:noFill/>
        </a:ln>
      </c:spPr>
    </c:title>
    <c:autoTitleDeleted val="0"/>
    <c:plotArea>
      <c:layout>
        <c:manualLayout>
          <c:layoutTarget val="inner"/>
          <c:xMode val="edge"/>
          <c:yMode val="edge"/>
          <c:x val="3.3869498483846412E-2"/>
          <c:y val="0.27087375528440938"/>
          <c:w val="0.91590601095623747"/>
          <c:h val="0.47737051952475795"/>
        </c:manualLayout>
      </c:layout>
      <c:barChart>
        <c:barDir val="col"/>
        <c:grouping val="clustered"/>
        <c:varyColors val="0"/>
        <c:ser>
          <c:idx val="0"/>
          <c:order val="0"/>
          <c:tx>
            <c:strRef>
              <c:f>Sheet1!$A$2</c:f>
              <c:strCache>
                <c:ptCount val="1"/>
                <c:pt idx="0">
                  <c:v>Восток</c:v>
                </c:pt>
              </c:strCache>
            </c:strRef>
          </c:tx>
          <c:spPr>
            <a:solidFill>
              <a:srgbClr val="339966"/>
            </a:solidFill>
            <a:ln w="12688">
              <a:solidFill>
                <a:srgbClr val="000000"/>
              </a:solidFill>
              <a:prstDash val="solid"/>
            </a:ln>
          </c:spPr>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Sheet1!$B$1:$E$1</c:f>
              <c:strCache>
                <c:ptCount val="4"/>
                <c:pt idx="0">
                  <c:v>руди, шлак і зола</c:v>
                </c:pt>
                <c:pt idx="1">
                  <c:v>жири та олії тваринного або рослинного походження</c:v>
                </c:pt>
                <c:pt idx="2">
                  <c:v>чорні метали</c:v>
                </c:pt>
                <c:pt idx="3">
                  <c:v>продукція хімічної та пов’язаних з нею галузей промисловості</c:v>
                </c:pt>
              </c:strCache>
            </c:strRef>
          </c:cat>
          <c:val>
            <c:numRef>
              <c:f>Sheet1!$B$2:$E$2</c:f>
              <c:numCache>
                <c:formatCode>General</c:formatCode>
                <c:ptCount val="4"/>
                <c:pt idx="0">
                  <c:v>112.2</c:v>
                </c:pt>
                <c:pt idx="1">
                  <c:v>54.5</c:v>
                </c:pt>
                <c:pt idx="2">
                  <c:v>34.5</c:v>
                </c:pt>
                <c:pt idx="3">
                  <c:v>3.9</c:v>
                </c:pt>
              </c:numCache>
            </c:numRef>
          </c:val>
        </c:ser>
        <c:dLbls>
          <c:showLegendKey val="0"/>
          <c:showVal val="1"/>
          <c:showCatName val="0"/>
          <c:showSerName val="0"/>
          <c:showPercent val="0"/>
          <c:showBubbleSize val="0"/>
        </c:dLbls>
        <c:gapWidth val="264"/>
        <c:axId val="241815936"/>
        <c:axId val="241818624"/>
      </c:barChart>
      <c:catAx>
        <c:axId val="241815936"/>
        <c:scaling>
          <c:orientation val="maxMin"/>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41818624"/>
        <c:crosses val="autoZero"/>
        <c:auto val="1"/>
        <c:lblAlgn val="ctr"/>
        <c:lblOffset val="100"/>
        <c:noMultiLvlLbl val="0"/>
      </c:catAx>
      <c:valAx>
        <c:axId val="241818624"/>
        <c:scaling>
          <c:orientation val="minMax"/>
        </c:scaling>
        <c:delete val="0"/>
        <c:axPos val="r"/>
        <c:majorGridlines>
          <c:spPr>
            <a:ln w="3172">
              <a:solidFill>
                <a:srgbClr val="FFFFFF"/>
              </a:solidFill>
              <a:prstDash val="solid"/>
            </a:ln>
          </c:spPr>
        </c:majorGridlines>
        <c:numFmt formatCode="General" sourceLinked="1"/>
        <c:majorTickMark val="none"/>
        <c:minorTickMark val="none"/>
        <c:tickLblPos val="none"/>
        <c:spPr>
          <a:ln w="9516">
            <a:noFill/>
          </a:ln>
        </c:spPr>
        <c:crossAx val="241815936"/>
        <c:crosses val="autoZero"/>
        <c:crossBetween val="between"/>
      </c:valAx>
      <c:spPr>
        <a:noFill/>
        <a:ln w="25376">
          <a:noFill/>
        </a:ln>
      </c:spPr>
    </c:plotArea>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latin typeface="Times New Roman" panose="02020603050405020304" pitchFamily="18" charset="0"/>
                <a:cs typeface="Times New Roman" panose="02020603050405020304" pitchFamily="18" charset="0"/>
              </a:rPr>
              <a:t>Питома вага країн в загальнообласних обсягах експорту товарів, % </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363136118401866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2711864406779694"/>
          <c:w val="0.64160633566637992"/>
          <c:h val="0.60903954802259885"/>
        </c:manualLayout>
      </c:layout>
      <c:pie3DChart>
        <c:varyColors val="1"/>
        <c:ser>
          <c:idx val="0"/>
          <c:order val="0"/>
          <c:tx>
            <c:strRef>
              <c:f>Лист1!$B$1</c:f>
              <c:strCache>
                <c:ptCount val="1"/>
                <c:pt idx="0">
                  <c:v>Продажи</c:v>
                </c:pt>
              </c:strCache>
            </c:strRef>
          </c:tx>
          <c:explosion val="29"/>
          <c:dPt>
            <c:idx val="0"/>
            <c:bubble3D val="0"/>
            <c:spPr>
              <a:solidFill>
                <a:srgbClr val="0070C0"/>
              </a:solidFill>
            </c:spPr>
          </c:dPt>
          <c:dPt>
            <c:idx val="1"/>
            <c:bubble3D val="0"/>
            <c:spPr>
              <a:solidFill>
                <a:srgbClr val="FFC000"/>
              </a:solidFill>
            </c:spPr>
          </c:dPt>
          <c:dLbls>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Лист1!$A$2:$A$12</c:f>
              <c:strCache>
                <c:ptCount val="11"/>
                <c:pt idx="0">
                  <c:v>Китай</c:v>
                </c:pt>
                <c:pt idx="1">
                  <c:v>Польща</c:v>
                </c:pt>
                <c:pt idx="2">
                  <c:v>Туреччина</c:v>
                </c:pt>
                <c:pt idx="3">
                  <c:v>Чехія</c:v>
                </c:pt>
                <c:pt idx="4">
                  <c:v>США</c:v>
                </c:pt>
                <c:pt idx="5">
                  <c:v>Домініканська Республіка</c:v>
                </c:pt>
                <c:pt idx="6">
                  <c:v>Болгарія</c:v>
                </c:pt>
                <c:pt idx="7">
                  <c:v>РФ</c:v>
                </c:pt>
                <c:pt idx="8">
                  <c:v>Італія</c:v>
                </c:pt>
                <c:pt idx="9">
                  <c:v>Румунія</c:v>
                </c:pt>
                <c:pt idx="10">
                  <c:v>Інші</c:v>
                </c:pt>
              </c:strCache>
            </c:strRef>
          </c:cat>
          <c:val>
            <c:numRef>
              <c:f>Лист1!$B$2:$B$12</c:f>
              <c:numCache>
                <c:formatCode>General</c:formatCode>
                <c:ptCount val="11"/>
                <c:pt idx="0">
                  <c:v>26.6</c:v>
                </c:pt>
                <c:pt idx="1">
                  <c:v>7.8</c:v>
                </c:pt>
                <c:pt idx="2">
                  <c:v>5.9</c:v>
                </c:pt>
                <c:pt idx="3">
                  <c:v>4.2</c:v>
                </c:pt>
                <c:pt idx="4" formatCode="0.0">
                  <c:v>4</c:v>
                </c:pt>
                <c:pt idx="5">
                  <c:v>3.5</c:v>
                </c:pt>
                <c:pt idx="6" formatCode="0.0">
                  <c:v>2.8</c:v>
                </c:pt>
                <c:pt idx="7">
                  <c:v>2.8</c:v>
                </c:pt>
                <c:pt idx="8">
                  <c:v>2.7</c:v>
                </c:pt>
                <c:pt idx="9">
                  <c:v>2.5</c:v>
                </c:pt>
                <c:pt idx="10">
                  <c:v>37.200000000000003</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56251422431256459"/>
          <c:y val="0.20782952978335337"/>
          <c:w val="0.43478255322251624"/>
          <c:h val="0.73801325681747465"/>
        </c:manualLayout>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pitchFamily="18" charset="0"/>
                <a:ea typeface="Times New Roman"/>
                <a:cs typeface="Times New Roman" pitchFamily="18" charset="0"/>
              </a:defRPr>
            </a:pPr>
            <a:r>
              <a:rPr lang="ru-RU" sz="1000" b="1" i="0" strike="noStrike">
                <a:solidFill>
                  <a:srgbClr val="000000"/>
                </a:solidFill>
                <a:latin typeface="Times New Roman" pitchFamily="18" charset="0"/>
                <a:cs typeface="Times New Roman" pitchFamily="18" charset="0"/>
              </a:rPr>
              <a:t>Найбільші країни-експортери, до яких збільшилися обсяги експорту товарів </a:t>
            </a:r>
          </a:p>
          <a:p>
            <a:pPr>
              <a:defRPr sz="1000" b="1" i="0" u="none" strike="noStrike" baseline="0">
                <a:solidFill>
                  <a:srgbClr val="000000"/>
                </a:solidFill>
                <a:latin typeface="Times New Roman" pitchFamily="18" charset="0"/>
                <a:ea typeface="Times New Roman"/>
                <a:cs typeface="Times New Roman" pitchFamily="18" charset="0"/>
              </a:defRPr>
            </a:pPr>
            <a:r>
              <a:rPr lang="ru-RU" sz="1000" b="1" i="0" strike="noStrike">
                <a:solidFill>
                  <a:srgbClr val="000000"/>
                </a:solidFill>
                <a:latin typeface="Times New Roman" pitchFamily="18" charset="0"/>
                <a:cs typeface="Times New Roman" pitchFamily="18" charset="0"/>
              </a:rPr>
              <a:t>у </a:t>
            </a:r>
            <a:r>
              <a:rPr lang="en-US" sz="1000" b="1" i="0" strike="noStrike">
                <a:solidFill>
                  <a:srgbClr val="000000"/>
                </a:solidFill>
                <a:latin typeface="Times New Roman" pitchFamily="18" charset="0"/>
                <a:cs typeface="Times New Roman" pitchFamily="18" charset="0"/>
              </a:rPr>
              <a:t>c</a:t>
            </a:r>
            <a:r>
              <a:rPr lang="ru-RU" sz="1000" b="1" i="0" strike="noStrike">
                <a:solidFill>
                  <a:srgbClr val="000000"/>
                </a:solidFill>
                <a:latin typeface="Times New Roman" pitchFamily="18" charset="0"/>
                <a:cs typeface="Times New Roman" pitchFamily="18" charset="0"/>
              </a:rPr>
              <a:t>ічні ‒ травні 2021 року </a:t>
            </a:r>
          </a:p>
          <a:p>
            <a:pPr>
              <a:defRPr sz="1000" b="1" i="0" u="none" strike="noStrike" baseline="0">
                <a:solidFill>
                  <a:srgbClr val="000000"/>
                </a:solidFill>
                <a:latin typeface="Times New Roman" pitchFamily="18" charset="0"/>
                <a:ea typeface="Times New Roman"/>
                <a:cs typeface="Times New Roman" pitchFamily="18" charset="0"/>
              </a:defRPr>
            </a:pPr>
            <a:r>
              <a:rPr lang="ru-RU" sz="1000" b="1" i="0" strike="noStrike">
                <a:solidFill>
                  <a:srgbClr val="000000"/>
                </a:solidFill>
                <a:latin typeface="Times New Roman" pitchFamily="18" charset="0"/>
                <a:cs typeface="Times New Roman" pitchFamily="18" charset="0"/>
              </a:rPr>
              <a:t>(на % до відповідного періоду попереднього року)</a:t>
            </a:r>
          </a:p>
        </c:rich>
      </c:tx>
      <c:layout>
        <c:manualLayout>
          <c:xMode val="edge"/>
          <c:yMode val="edge"/>
          <c:x val="0.15347334410339675"/>
          <c:y val="0"/>
        </c:manualLayout>
      </c:layout>
      <c:overlay val="0"/>
      <c:spPr>
        <a:noFill/>
        <a:ln w="25432">
          <a:noFill/>
        </a:ln>
      </c:spPr>
    </c:title>
    <c:autoTitleDeleted val="0"/>
    <c:plotArea>
      <c:layout>
        <c:manualLayout>
          <c:layoutTarget val="inner"/>
          <c:xMode val="edge"/>
          <c:yMode val="edge"/>
          <c:x val="4.8324411112636897E-2"/>
          <c:y val="0.21224489795918391"/>
          <c:w val="0.91498375453966208"/>
          <c:h val="0.78367346938775506"/>
        </c:manualLayout>
      </c:layout>
      <c:barChart>
        <c:barDir val="col"/>
        <c:grouping val="clustered"/>
        <c:varyColors val="0"/>
        <c:ser>
          <c:idx val="0"/>
          <c:order val="0"/>
          <c:tx>
            <c:strRef>
              <c:f>Sheet1!$B$1:$J$1</c:f>
              <c:strCache>
                <c:ptCount val="1"/>
                <c:pt idx="0">
                  <c:v>Домінікана Чехія США Китай Італія Польща Туреччина Румунія Болгарія</c:v>
                </c:pt>
              </c:strCache>
            </c:strRef>
          </c:tx>
          <c:spPr>
            <a:solidFill>
              <a:srgbClr val="339966"/>
            </a:solidFill>
            <a:ln w="12716">
              <a:solidFill>
                <a:srgbClr val="000000"/>
              </a:solidFill>
              <a:prstDash val="solid"/>
            </a:ln>
          </c:spPr>
          <c:invertIfNegative val="0"/>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Sheet1!$B$1:$J$1</c:f>
              <c:strCache>
                <c:ptCount val="9"/>
                <c:pt idx="0">
                  <c:v>Домінікана</c:v>
                </c:pt>
                <c:pt idx="1">
                  <c:v>Чехія</c:v>
                </c:pt>
                <c:pt idx="2">
                  <c:v>США</c:v>
                </c:pt>
                <c:pt idx="3">
                  <c:v>Китай</c:v>
                </c:pt>
                <c:pt idx="4">
                  <c:v>Італія</c:v>
                </c:pt>
                <c:pt idx="5">
                  <c:v>Польща</c:v>
                </c:pt>
                <c:pt idx="6">
                  <c:v>Туреччина</c:v>
                </c:pt>
                <c:pt idx="7">
                  <c:v>Румунія</c:v>
                </c:pt>
                <c:pt idx="8">
                  <c:v>Болгарія</c:v>
                </c:pt>
              </c:strCache>
            </c:strRef>
          </c:cat>
          <c:val>
            <c:numRef>
              <c:f>Sheet1!$B$2:$J$2</c:f>
              <c:numCache>
                <c:formatCode>General</c:formatCode>
                <c:ptCount val="9"/>
                <c:pt idx="0">
                  <c:v>384.2</c:v>
                </c:pt>
                <c:pt idx="1">
                  <c:v>170</c:v>
                </c:pt>
                <c:pt idx="2">
                  <c:v>129.9</c:v>
                </c:pt>
                <c:pt idx="3">
                  <c:v>89.1</c:v>
                </c:pt>
                <c:pt idx="4">
                  <c:v>69.5</c:v>
                </c:pt>
                <c:pt idx="5">
                  <c:v>67.7</c:v>
                </c:pt>
                <c:pt idx="6">
                  <c:v>49.5</c:v>
                </c:pt>
                <c:pt idx="7">
                  <c:v>40.200000000000003</c:v>
                </c:pt>
                <c:pt idx="8">
                  <c:v>37.6</c:v>
                </c:pt>
              </c:numCache>
            </c:numRef>
          </c:val>
        </c:ser>
        <c:dLbls>
          <c:showLegendKey val="0"/>
          <c:showVal val="1"/>
          <c:showCatName val="0"/>
          <c:showSerName val="0"/>
          <c:showPercent val="0"/>
          <c:showBubbleSize val="0"/>
        </c:dLbls>
        <c:gapWidth val="150"/>
        <c:axId val="264562176"/>
        <c:axId val="344514944"/>
      </c:barChart>
      <c:catAx>
        <c:axId val="264562176"/>
        <c:scaling>
          <c:orientation val="maxMin"/>
        </c:scaling>
        <c:delete val="0"/>
        <c:axPos val="b"/>
        <c:numFmt formatCode="General" sourceLinked="1"/>
        <c:majorTickMark val="out"/>
        <c:minorTickMark val="none"/>
        <c:tickLblPos val="nextTo"/>
        <c:spPr>
          <a:ln w="3179">
            <a:solidFill>
              <a:srgbClr val="000000"/>
            </a:solidFill>
            <a:prstDash val="solid"/>
          </a:ln>
        </c:spPr>
        <c:txPr>
          <a:bodyPr rot="-5400000" vert="horz" anchor="b" anchorCtr="0"/>
          <a:lstStyle/>
          <a:p>
            <a:pPr>
              <a:defRPr sz="1000" b="1" i="0" u="none" strike="noStrike" baseline="0">
                <a:solidFill>
                  <a:srgbClr val="000000"/>
                </a:solidFill>
                <a:latin typeface="Times New Roman"/>
                <a:ea typeface="Times New Roman"/>
                <a:cs typeface="Times New Roman"/>
              </a:defRPr>
            </a:pPr>
            <a:endParaRPr lang="ru-RU"/>
          </a:p>
        </c:txPr>
        <c:crossAx val="344514944"/>
        <c:crosses val="autoZero"/>
        <c:auto val="0"/>
        <c:lblAlgn val="ctr"/>
        <c:lblOffset val="50"/>
        <c:noMultiLvlLbl val="0"/>
      </c:catAx>
      <c:valAx>
        <c:axId val="344514944"/>
        <c:scaling>
          <c:orientation val="minMax"/>
        </c:scaling>
        <c:delete val="0"/>
        <c:axPos val="r"/>
        <c:majorGridlines>
          <c:spPr>
            <a:ln w="3179">
              <a:solidFill>
                <a:srgbClr val="FFFFFF"/>
              </a:solidFill>
              <a:prstDash val="solid"/>
            </a:ln>
          </c:spPr>
        </c:majorGridlines>
        <c:numFmt formatCode="General" sourceLinked="1"/>
        <c:majorTickMark val="none"/>
        <c:minorTickMark val="none"/>
        <c:tickLblPos val="none"/>
        <c:spPr>
          <a:ln w="9537">
            <a:noFill/>
          </a:ln>
        </c:spPr>
        <c:crossAx val="264562176"/>
        <c:crosses val="autoZero"/>
        <c:crossBetween val="between"/>
      </c:valAx>
      <c:spPr>
        <a:noFill/>
        <a:ln w="25432">
          <a:noFill/>
        </a:ln>
      </c:spPr>
    </c:plotArea>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0.1724</cdr:x>
      <cdr:y>0.4158</cdr:y>
    </cdr:from>
    <cdr:to>
      <cdr:x>0.35974</cdr:x>
      <cdr:y>0.63339</cdr:y>
    </cdr:to>
    <cdr:sp macro="" textlink="">
      <cdr:nvSpPr>
        <cdr:cNvPr id="2" name="Прямоугольник 1"/>
        <cdr:cNvSpPr/>
      </cdr:nvSpPr>
      <cdr:spPr>
        <a:xfrm xmlns:a="http://schemas.openxmlformats.org/drawingml/2006/main">
          <a:off x="944880" y="1173480"/>
          <a:ext cx="990600" cy="5791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ysClr val="windowText" lastClr="000000"/>
              </a:solidFill>
              <a:latin typeface="Times New Roman" pitchFamily="18" charset="0"/>
              <a:cs typeface="Times New Roman" pitchFamily="18" charset="0"/>
            </a:rPr>
            <a:t>5 117,6</a:t>
          </a:r>
          <a:br>
            <a:rPr lang="ru-RU" b="1">
              <a:solidFill>
                <a:sysClr val="windowText" lastClr="000000"/>
              </a:solidFill>
              <a:latin typeface="Times New Roman" pitchFamily="18" charset="0"/>
              <a:cs typeface="Times New Roman" pitchFamily="18" charset="0"/>
            </a:rPr>
          </a:br>
          <a:r>
            <a:rPr lang="ru-RU" b="1">
              <a:solidFill>
                <a:sysClr val="windowText" lastClr="000000"/>
              </a:solidFill>
              <a:latin typeface="Times New Roman" pitchFamily="18" charset="0"/>
              <a:cs typeface="Times New Roman" pitchFamily="18" charset="0"/>
            </a:rPr>
            <a:t>млн дол.</a:t>
          </a:r>
          <a:r>
            <a:rPr lang="ru-RU" b="1" baseline="0">
              <a:solidFill>
                <a:sysClr val="windowText" lastClr="000000"/>
              </a:solidFill>
              <a:latin typeface="Times New Roman" pitchFamily="18" charset="0"/>
              <a:cs typeface="Times New Roman" pitchFamily="18" charset="0"/>
            </a:rPr>
            <a:t> США</a:t>
          </a:r>
          <a:endParaRPr lang="ru-RU"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5524-E2D0-4404-A9F2-C48AC9EC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74</Pages>
  <Words>26360</Words>
  <Characters>150253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pankova</dc:creator>
  <cp:lastModifiedBy>Булахова Катерина Олександрівна</cp:lastModifiedBy>
  <cp:revision>127</cp:revision>
  <cp:lastPrinted>2021-09-14T09:51:00Z</cp:lastPrinted>
  <dcterms:created xsi:type="dcterms:W3CDTF">2021-09-07T07:47:00Z</dcterms:created>
  <dcterms:modified xsi:type="dcterms:W3CDTF">2021-09-22T13:30:00Z</dcterms:modified>
</cp:coreProperties>
</file>