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FA" w:rsidRPr="00D44ECD" w:rsidRDefault="00376AFA" w:rsidP="00376AFA">
      <w:pPr>
        <w:widowControl w:val="0"/>
        <w:ind w:left="5103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 xml:space="preserve">Додаток </w:t>
      </w:r>
      <w:r w:rsidR="003C0744" w:rsidRPr="0093393F">
        <w:rPr>
          <w:spacing w:val="-6"/>
          <w:sz w:val="28"/>
        </w:rPr>
        <w:t>2</w:t>
      </w:r>
      <w:r>
        <w:rPr>
          <w:spacing w:val="-6"/>
          <w:sz w:val="28"/>
          <w:lang w:val="uk-UA"/>
        </w:rPr>
        <w:br/>
        <w:t>до рішення обласної ради</w:t>
      </w:r>
    </w:p>
    <w:p w:rsidR="00376AFA" w:rsidRDefault="00376AFA" w:rsidP="00376AFA">
      <w:pPr>
        <w:ind w:left="5664"/>
        <w:rPr>
          <w:sz w:val="28"/>
          <w:szCs w:val="28"/>
          <w:lang w:val="uk-UA"/>
        </w:rPr>
      </w:pPr>
    </w:p>
    <w:p w:rsidR="00376AFA" w:rsidRPr="00BD799B" w:rsidRDefault="00376AFA" w:rsidP="0093393F">
      <w:pPr>
        <w:pStyle w:val="1"/>
        <w:widowControl w:val="0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799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</w:t>
      </w:r>
    </w:p>
    <w:p w:rsidR="00376AFA" w:rsidRPr="00BD799B" w:rsidRDefault="00376AFA" w:rsidP="00376AFA">
      <w:pPr>
        <w:pStyle w:val="1"/>
        <w:widowControl w:val="0"/>
        <w:spacing w:after="0" w:line="320" w:lineRule="exact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799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регіональної цільової програми</w:t>
      </w:r>
    </w:p>
    <w:p w:rsidR="00376AFA" w:rsidRPr="00E91925" w:rsidRDefault="00376AFA" w:rsidP="00376AFA">
      <w:pPr>
        <w:pStyle w:val="1"/>
        <w:spacing w:after="0" w:line="320" w:lineRule="exact"/>
        <w:ind w:left="0" w:firstLine="709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376AFA" w:rsidRPr="000A65E9" w:rsidRDefault="00376AFA" w:rsidP="00376AFA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5E9">
        <w:rPr>
          <w:rFonts w:ascii="Times New Roman" w:hAnsi="Times New Roman" w:cs="Times New Roman"/>
          <w:sz w:val="28"/>
          <w:szCs w:val="28"/>
          <w:lang w:val="uk-UA"/>
        </w:rPr>
        <w:t>Назва: Дніпропетровська обласна комплексна програма (стратегія) екологічної безпеки та запобігання змінам клімату на 2016 – 2025 роки</w:t>
      </w:r>
      <w:r w:rsidRPr="009444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76AFA" w:rsidRPr="00D44ECD" w:rsidRDefault="00376AFA" w:rsidP="00376AFA">
      <w:pPr>
        <w:pStyle w:val="1"/>
        <w:tabs>
          <w:tab w:val="left" w:pos="709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76AFA" w:rsidRDefault="00376AFA" w:rsidP="00376AFA">
      <w:pPr>
        <w:pStyle w:val="2"/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5E9"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розроблення: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A65E9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України </w:t>
      </w:r>
      <w:r w:rsidRPr="00C04EE9">
        <w:rPr>
          <w:rFonts w:ascii="Times New Roman" w:hAnsi="Times New Roman" w:cs="Times New Roman"/>
          <w:sz w:val="28"/>
          <w:szCs w:val="28"/>
        </w:rPr>
        <w:t>„</w:t>
      </w:r>
      <w:r w:rsidRPr="000A65E9">
        <w:rPr>
          <w:rFonts w:ascii="Times New Roman" w:hAnsi="Times New Roman" w:cs="Times New Roman"/>
          <w:sz w:val="28"/>
          <w:szCs w:val="28"/>
          <w:lang w:val="uk-UA"/>
        </w:rPr>
        <w:t>Про охорону навколи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шнього природного середовища”, </w:t>
      </w:r>
      <w:r w:rsidRPr="00C04EE9">
        <w:rPr>
          <w:rFonts w:ascii="Times New Roman" w:hAnsi="Times New Roman" w:cs="Times New Roman"/>
          <w:sz w:val="28"/>
          <w:szCs w:val="28"/>
        </w:rPr>
        <w:t>„</w:t>
      </w:r>
      <w:r w:rsidRPr="000A65E9">
        <w:rPr>
          <w:rFonts w:ascii="Times New Roman" w:hAnsi="Times New Roman" w:cs="Times New Roman"/>
          <w:sz w:val="28"/>
          <w:szCs w:val="28"/>
          <w:lang w:val="uk-UA"/>
        </w:rPr>
        <w:t>Про Основні засади (стратегію) державної екологічної політики України на період до 2030 року”.</w:t>
      </w:r>
    </w:p>
    <w:p w:rsidR="00376AFA" w:rsidRPr="00DB12F0" w:rsidRDefault="00376AFA" w:rsidP="00376AFA">
      <w:pPr>
        <w:pStyle w:val="2"/>
        <w:widowControl w:val="0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76AFA" w:rsidRPr="00A16287" w:rsidRDefault="00376AFA" w:rsidP="00376AFA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замовник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рограми: департамент екології та природних ресурсів облдержадміністрації.</w:t>
      </w:r>
    </w:p>
    <w:p w:rsidR="00376AFA" w:rsidRPr="00D44ECD" w:rsidRDefault="00376AFA" w:rsidP="00376AFA">
      <w:pPr>
        <w:pStyle w:val="2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376AFA" w:rsidRPr="00872A8F" w:rsidRDefault="00376AFA" w:rsidP="00376AFA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2A8F">
        <w:rPr>
          <w:rFonts w:ascii="Times New Roman" w:hAnsi="Times New Roman" w:cs="Times New Roman"/>
          <w:sz w:val="28"/>
          <w:szCs w:val="28"/>
          <w:lang w:val="uk-UA"/>
        </w:rPr>
        <w:t>Співзамовники</w:t>
      </w:r>
      <w:proofErr w:type="spellEnd"/>
      <w:r w:rsidRPr="0087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2A8F">
        <w:rPr>
          <w:rFonts w:ascii="Times New Roman" w:hAnsi="Times New Roman" w:cs="Times New Roman"/>
          <w:sz w:val="28"/>
          <w:szCs w:val="28"/>
          <w:lang w:val="uk-UA"/>
        </w:rPr>
        <w:t>рограми: департамент житлово-комунального господарства та будівництва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1260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економічного розвитку облдержадміністрації,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управління паливно-енергетичного комплексу та енергозбереження облдержадміністрації</w:t>
      </w:r>
      <w:r w:rsidRPr="00872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AFA" w:rsidRPr="00D44ECD" w:rsidRDefault="00376AFA" w:rsidP="00376AFA">
      <w:pPr>
        <w:pStyle w:val="2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8"/>
          <w:lang w:val="uk-UA"/>
        </w:rPr>
      </w:pPr>
    </w:p>
    <w:p w:rsidR="00376AFA" w:rsidRPr="00A16287" w:rsidRDefault="00376AFA" w:rsidP="00376AFA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</w:pPr>
      <w:r w:rsidRPr="00A16287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Відповідальні за виконання:</w:t>
      </w:r>
      <w:r w:rsidRPr="00A16287"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  <w:t xml:space="preserve"> 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департамент екології та природних ресурсів облдержадміністрації, департамент житлово-комунального господарства та будівництва облдержадміністрації,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економічного розвитку облдержадміністрації,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управління паливно-енергетичного комплексу та енергозбереження облдержадміністрації, за згодою: Регіональний офіс водних ресурсів у Дніпропетровській області,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Дніпропетровське обласне управління лісового та мисливського господарства, Д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ержавне підприємство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Дніпровське лісове господарство”,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Державне підприємство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Новомосковське лісове господарство”,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ерж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авне підприємство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Криворізьке лісове господарство”,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Державне підприємство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Верхньодніпровське лісове господарство”,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Державне підприємство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Васильківське лісове господарство”,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Державне підприємство „</w:t>
      </w:r>
      <w:proofErr w:type="spellStart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Марганецьке</w:t>
      </w:r>
      <w:proofErr w:type="spellEnd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лісове господарство”,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Державне підприємство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Павлоградське лісове господарство”,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Державне підприємство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Новомосковський військовий лісгосп”, Державна екологічна інспекція в Дніпропетровській області, місцеві органи виконавчої влади, органи місцевого самоврядування, міжнародні фонди, територіальні громади, громадські організації, представники біз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несу, комунальні підприємства: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Дніпропетровський обласний центр поводження з відходами” Дніпропетровської обласної ради”,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A16287">
        <w:rPr>
          <w:rFonts w:ascii="Times New Roman" w:hAnsi="Times New Roman" w:cs="Times New Roman"/>
          <w:spacing w:val="-4"/>
          <w:sz w:val="28"/>
          <w:szCs w:val="28"/>
          <w:lang w:val="uk-UA"/>
        </w:rPr>
        <w:t>Дніпроінвестпроект</w:t>
      </w:r>
      <w:proofErr w:type="spellEnd"/>
      <w:r w:rsidRPr="00A1628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” 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Дні</w:t>
      </w:r>
      <w:r>
        <w:rPr>
          <w:rFonts w:ascii="Times New Roman" w:hAnsi="Times New Roman" w:cs="Times New Roman"/>
          <w:sz w:val="28"/>
          <w:szCs w:val="28"/>
          <w:lang w:val="uk-UA"/>
        </w:rPr>
        <w:t>пропетровської обласної ради”, „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Центр екологічного моніторингу” Дніпропетровської обласної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„</w:t>
      </w:r>
      <w:proofErr w:type="spellStart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Дніпроводокана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” Дніпровської міської ради”, „</w:t>
      </w:r>
      <w:proofErr w:type="spellStart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Кривбасводоканал</w:t>
      </w:r>
      <w:proofErr w:type="spellEnd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”, </w:t>
      </w:r>
      <w:r w:rsidR="0064241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Управління Державного агентства рибного господарства у Дніпропетровській області, 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DB726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водоканал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 ДОР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>Відокремлений підрозділ „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риворізька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теплова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електрична станція”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Акціонерного товариства „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ДТЕК Д</w:t>
      </w:r>
      <w:r>
        <w:rPr>
          <w:rFonts w:ascii="Times New Roman" w:hAnsi="Times New Roman" w:cs="Times New Roman"/>
          <w:sz w:val="28"/>
          <w:szCs w:val="28"/>
          <w:lang w:val="uk-UA"/>
        </w:rPr>
        <w:t>ніпроенерго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Відокремлений підрозділ „Придніпровська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теплова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електрична станція” Акціонерного товариства „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ДТЕК Д</w:t>
      </w:r>
      <w:r>
        <w:rPr>
          <w:rFonts w:ascii="Times New Roman" w:hAnsi="Times New Roman" w:cs="Times New Roman"/>
          <w:sz w:val="28"/>
          <w:szCs w:val="28"/>
          <w:lang w:val="uk-UA"/>
        </w:rPr>
        <w:t>ніпроенерго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, ПрАТ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ДМЗ”,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ПАТ „Дніпровський меткомбінат”, ПАТ „</w:t>
      </w:r>
      <w:proofErr w:type="spellStart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АрселорМіттал</w:t>
      </w:r>
      <w:proofErr w:type="spellEnd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Кривий Ріг”,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ПрАТ „ДКХЗ”, ПрАТ „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Южкокс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”, </w:t>
      </w:r>
      <w:r w:rsidR="003C0744" w:rsidRPr="003C0744">
        <w:rPr>
          <w:rFonts w:ascii="Times New Roman" w:hAnsi="Times New Roman" w:cs="Times New Roman"/>
          <w:spacing w:val="-6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ПАТ „Інтерпайп НТЗ”, АТ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Нікопольський завод фер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осплавів”, </w:t>
      </w:r>
      <w:r w:rsidR="003C0744" w:rsidRPr="003C0744">
        <w:rPr>
          <w:rFonts w:ascii="Times New Roman" w:hAnsi="Times New Roman" w:cs="Times New Roman"/>
          <w:spacing w:val="-6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АТ „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ПівдГЗК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”, ПрАТ „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ПівнГЗК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”, ПрАТ „</w:t>
      </w:r>
      <w:proofErr w:type="spellStart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ІНГЗК”,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„ЦГЗК”, </w:t>
      </w:r>
      <w:r w:rsidR="003C0744" w:rsidRPr="003C0744">
        <w:rPr>
          <w:rFonts w:ascii="Times New Roman" w:hAnsi="Times New Roman" w:cs="Times New Roman"/>
          <w:spacing w:val="-6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АТ „Покровський ГЗК”, АТ „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Марганецький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ГЗК”, ПрАТ „Суха Балка”, </w:t>
      </w:r>
      <w:r w:rsidR="003C0744" w:rsidRPr="003C0744">
        <w:rPr>
          <w:rFonts w:ascii="Times New Roman" w:hAnsi="Times New Roman" w:cs="Times New Roman"/>
          <w:spacing w:val="-6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ПрАТ „ДТЕК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Павлоградвугілля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”, АТ „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ДніпроАзот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”, ТОВ „МЗ „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Дніпросталь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”, ПрАТ 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Кривий Ріг Цемент”,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ПАТ „</w:t>
      </w:r>
      <w:proofErr w:type="spellStart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Кривбасзалізрудком</w:t>
      </w:r>
      <w:proofErr w:type="spellEnd"/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>”, ф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ілія „ВГМК” АТ „</w:t>
      </w:r>
      <w:r w:rsidRPr="00A162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ОГХК”,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КЗ „</w:t>
      </w:r>
      <w:r w:rsidRPr="00A16287">
        <w:rPr>
          <w:rFonts w:ascii="Times New Roman" w:hAnsi="Times New Roman" w:cs="Times New Roman"/>
          <w:bCs/>
          <w:sz w:val="28"/>
          <w:szCs w:val="28"/>
          <w:lang w:val="uk-UA"/>
        </w:rPr>
        <w:t>Спеціальна адміністрація регіонального ландшафтного парку “Дніпрові Пороги” Дніпропетровської обласної ради”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AFA" w:rsidRPr="00D44ECD" w:rsidRDefault="00621260" w:rsidP="00376AFA">
      <w:pPr>
        <w:pStyle w:val="1"/>
        <w:tabs>
          <w:tab w:val="left" w:pos="0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-3220720</wp:posOffset>
                </wp:positionV>
                <wp:extent cx="2044065" cy="285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FA" w:rsidRPr="005461E8" w:rsidRDefault="00376AFA" w:rsidP="00376AF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5461E8">
                              <w:rPr>
                                <w:sz w:val="28"/>
                                <w:lang w:val="uk-UA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7.75pt;margin-top:-253.6pt;width:160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" stroked="f">
                <v:textbox>
                  <w:txbxContent>
                    <w:p w:rsidR="00376AFA" w:rsidRPr="005461E8" w:rsidRDefault="00376AFA" w:rsidP="00376AFA">
                      <w:pPr>
                        <w:rPr>
                          <w:sz w:val="28"/>
                          <w:lang w:val="uk-UA"/>
                        </w:rPr>
                      </w:pPr>
                      <w:r w:rsidRPr="005461E8">
                        <w:rPr>
                          <w:sz w:val="28"/>
                          <w:lang w:val="uk-UA"/>
                        </w:rPr>
                        <w:t xml:space="preserve">Продовження додатка </w:t>
                      </w:r>
                      <w:r>
                        <w:rPr>
                          <w:sz w:val="28"/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76AFA" w:rsidRPr="00A16287" w:rsidRDefault="00376AFA" w:rsidP="00376AFA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287">
        <w:rPr>
          <w:rFonts w:ascii="Times New Roman" w:hAnsi="Times New Roman" w:cs="Times New Roman"/>
          <w:sz w:val="28"/>
          <w:szCs w:val="28"/>
          <w:lang w:val="uk-UA"/>
        </w:rPr>
        <w:t>Мета: створення екологічно безпечних та комфортних умов для життя населення Дніпропетровської області шляхом зменшення антропогенного навантаження й відновлення довкілля за рахунок упровадження інноваційних технологій виробництва, зменшення викидів парникових газів та підвищення рівня екологічної культури і свідомості суспільства.</w:t>
      </w:r>
    </w:p>
    <w:p w:rsidR="00376AFA" w:rsidRPr="00D44ECD" w:rsidRDefault="00376AFA" w:rsidP="00376AFA">
      <w:pPr>
        <w:pStyle w:val="2"/>
        <w:spacing w:after="0"/>
        <w:ind w:left="0" w:firstLine="709"/>
        <w:rPr>
          <w:rFonts w:ascii="Times New Roman" w:hAnsi="Times New Roman" w:cs="Times New Roman"/>
          <w:sz w:val="20"/>
          <w:szCs w:val="28"/>
          <w:lang w:val="uk-UA"/>
        </w:rPr>
      </w:pPr>
    </w:p>
    <w:p w:rsidR="00376AFA" w:rsidRPr="00A16287" w:rsidRDefault="00376AFA" w:rsidP="00376AFA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287">
        <w:rPr>
          <w:rFonts w:ascii="Times New Roman" w:hAnsi="Times New Roman" w:cs="Times New Roman"/>
          <w:sz w:val="28"/>
          <w:szCs w:val="28"/>
          <w:lang w:val="uk-UA"/>
        </w:rPr>
        <w:t>Початок: 2016 рік, закінчення: 2025 рік.</w:t>
      </w:r>
    </w:p>
    <w:p w:rsidR="00376AFA" w:rsidRPr="00D44ECD" w:rsidRDefault="00376AFA" w:rsidP="00376AFA">
      <w:pPr>
        <w:pStyle w:val="2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0"/>
          <w:szCs w:val="28"/>
          <w:lang w:val="uk-UA"/>
        </w:rPr>
      </w:pPr>
    </w:p>
    <w:p w:rsidR="00376AFA" w:rsidRPr="00A16287" w:rsidRDefault="00376AFA" w:rsidP="00376AFA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Етапи виконання: І етап – з 2016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о 2020 рок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, ІІ етап – з 2021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2025 рок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6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AFA" w:rsidRPr="00D44ECD" w:rsidRDefault="00376AFA" w:rsidP="00376AFA">
      <w:pPr>
        <w:pStyle w:val="2"/>
        <w:spacing w:after="0"/>
        <w:ind w:left="0" w:firstLine="709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376AFA" w:rsidRPr="006344F0" w:rsidRDefault="00376AFA" w:rsidP="00376AFA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4F0">
        <w:rPr>
          <w:rFonts w:ascii="Times New Roman" w:hAnsi="Times New Roman" w:cs="Times New Roman"/>
          <w:sz w:val="28"/>
          <w:szCs w:val="28"/>
          <w:lang w:val="uk-UA"/>
        </w:rPr>
        <w:t>Загальні обсяги фінансування:</w:t>
      </w:r>
    </w:p>
    <w:p w:rsidR="00376AFA" w:rsidRPr="00D44ECD" w:rsidRDefault="00376AFA" w:rsidP="00376AFA">
      <w:pPr>
        <w:pStyle w:val="2"/>
        <w:spacing w:after="0"/>
        <w:ind w:left="0" w:firstLine="709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6"/>
        <w:gridCol w:w="1275"/>
        <w:gridCol w:w="1276"/>
        <w:gridCol w:w="1209"/>
        <w:gridCol w:w="1201"/>
        <w:gridCol w:w="1134"/>
      </w:tblGrid>
      <w:tr w:rsidR="00376AFA" w:rsidRPr="006344F0" w:rsidTr="00F63A6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Обсяг фінансування, усього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 роками виконання, тис. грн</w:t>
            </w:r>
          </w:p>
        </w:tc>
      </w:tr>
      <w:tr w:rsidR="00376AFA" w:rsidRPr="006344F0" w:rsidTr="004F6AE6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 етап</w:t>
            </w:r>
          </w:p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2016 – 2020</w:t>
            </w: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6344F0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344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2025</w:t>
            </w:r>
          </w:p>
        </w:tc>
      </w:tr>
      <w:tr w:rsidR="004F6AE6" w:rsidRPr="006344F0" w:rsidTr="004F6AE6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E6" w:rsidRPr="006344F0" w:rsidRDefault="004F6AE6" w:rsidP="00C868D4">
            <w:pPr>
              <w:widowControl w:val="0"/>
              <w:rPr>
                <w:sz w:val="18"/>
                <w:szCs w:val="18"/>
                <w:lang w:val="uk-UA"/>
              </w:rPr>
            </w:pPr>
            <w:r w:rsidRPr="006344F0">
              <w:rPr>
                <w:sz w:val="18"/>
                <w:szCs w:val="18"/>
                <w:lang w:val="uk-UA"/>
              </w:rPr>
              <w:t xml:space="preserve"> Державний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1171980,000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26600,00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307076,000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</w:rPr>
            </w:pPr>
            <w:r w:rsidRPr="004F6AE6">
              <w:rPr>
                <w:sz w:val="18"/>
                <w:szCs w:val="18"/>
                <w:lang w:val="uk-UA"/>
              </w:rPr>
              <w:t>307076,000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187076,000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177076,000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167076,000</w:t>
            </w:r>
          </w:p>
        </w:tc>
      </w:tr>
      <w:tr w:rsidR="004F6AE6" w:rsidRPr="006344F0" w:rsidTr="004F6A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E6" w:rsidRPr="006344F0" w:rsidRDefault="004F6AE6" w:rsidP="00C868D4">
            <w:pPr>
              <w:widowControl w:val="0"/>
              <w:rPr>
                <w:sz w:val="18"/>
                <w:szCs w:val="18"/>
                <w:lang w:val="uk-UA"/>
              </w:rPr>
            </w:pPr>
            <w:r w:rsidRPr="006344F0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6113022,210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1761248,21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876762,000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896615,000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855910,000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857929,000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864558,000</w:t>
            </w:r>
          </w:p>
        </w:tc>
      </w:tr>
      <w:tr w:rsidR="004F6AE6" w:rsidRPr="006344F0" w:rsidTr="004F6A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E6" w:rsidRPr="006344F0" w:rsidRDefault="004F6AE6" w:rsidP="00C868D4">
            <w:pPr>
              <w:widowControl w:val="0"/>
              <w:rPr>
                <w:sz w:val="18"/>
                <w:szCs w:val="18"/>
                <w:lang w:val="uk-UA"/>
              </w:rPr>
            </w:pPr>
            <w:r w:rsidRPr="006344F0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1123766,520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94242,52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187000,000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223224,000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187000,000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187000,000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245300,000</w:t>
            </w:r>
          </w:p>
        </w:tc>
      </w:tr>
      <w:tr w:rsidR="004F6AE6" w:rsidRPr="006344F0" w:rsidTr="004F6A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AE6" w:rsidRPr="006344F0" w:rsidRDefault="004F6AE6" w:rsidP="00C868D4">
            <w:pPr>
              <w:widowControl w:val="0"/>
              <w:rPr>
                <w:sz w:val="18"/>
                <w:szCs w:val="18"/>
                <w:lang w:val="uk-UA"/>
              </w:rPr>
            </w:pPr>
            <w:r w:rsidRPr="006344F0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31616371,700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17819277,50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3807271,700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2019068,500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1992755,400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E6" w:rsidRPr="004F6AE6" w:rsidRDefault="004F6AE6" w:rsidP="00A9268F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2976145,000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E6" w:rsidRPr="004F6AE6" w:rsidRDefault="004F6AE6" w:rsidP="00A9268F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3001853,600</w:t>
            </w:r>
          </w:p>
        </w:tc>
      </w:tr>
      <w:tr w:rsidR="004F6AE6" w:rsidRPr="006344F0" w:rsidTr="004F6AE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E6" w:rsidRPr="006344F0" w:rsidRDefault="004F6AE6" w:rsidP="00C868D4">
            <w:pPr>
              <w:widowControl w:val="0"/>
              <w:rPr>
                <w:sz w:val="18"/>
                <w:szCs w:val="18"/>
                <w:lang w:val="uk-UA"/>
              </w:rPr>
            </w:pPr>
            <w:r w:rsidRPr="006344F0">
              <w:rPr>
                <w:sz w:val="18"/>
                <w:szCs w:val="18"/>
                <w:lang w:val="uk-UA"/>
              </w:rPr>
              <w:t>Загальний обсяг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en-US"/>
              </w:rPr>
              <w:t>40025140</w:t>
            </w:r>
            <w:r w:rsidRPr="004F6AE6">
              <w:rPr>
                <w:sz w:val="18"/>
                <w:szCs w:val="18"/>
                <w:lang w:val="uk-UA"/>
              </w:rPr>
              <w:t>,430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19701368,230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5178109,700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3445983,500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322741,400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4198150,000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AE6" w:rsidRPr="004F6AE6" w:rsidRDefault="004F6AE6" w:rsidP="00A9268F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4F6AE6">
              <w:rPr>
                <w:sz w:val="18"/>
                <w:szCs w:val="18"/>
                <w:lang w:val="uk-UA"/>
              </w:rPr>
              <w:t>4278787,600</w:t>
            </w:r>
          </w:p>
        </w:tc>
      </w:tr>
    </w:tbl>
    <w:p w:rsidR="00376AFA" w:rsidRPr="00D44ECD" w:rsidRDefault="00376AFA" w:rsidP="00376AFA">
      <w:pPr>
        <w:pStyle w:val="1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376AFA" w:rsidRDefault="00376AFA" w:rsidP="00376AFA">
      <w:pPr>
        <w:pStyle w:val="1"/>
        <w:numPr>
          <w:ilvl w:val="0"/>
          <w:numId w:val="1"/>
        </w:numPr>
        <w:tabs>
          <w:tab w:val="left" w:pos="990"/>
        </w:tabs>
        <w:spacing w:after="0" w:line="240" w:lineRule="auto"/>
        <w:ind w:left="660" w:firstLine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4F0">
        <w:rPr>
          <w:rFonts w:ascii="Times New Roman" w:hAnsi="Times New Roman" w:cs="Times New Roman"/>
          <w:sz w:val="28"/>
          <w:szCs w:val="28"/>
          <w:lang w:val="uk-UA"/>
        </w:rPr>
        <w:t xml:space="preserve">Очікувані кінцеві результати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344F0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6AFA" w:rsidRPr="00D44ECD" w:rsidRDefault="00376AFA" w:rsidP="00376AFA">
      <w:pPr>
        <w:pStyle w:val="1"/>
        <w:tabs>
          <w:tab w:val="left" w:pos="990"/>
        </w:tabs>
        <w:spacing w:after="0" w:line="240" w:lineRule="auto"/>
        <w:ind w:left="77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5"/>
        <w:gridCol w:w="1134"/>
        <w:gridCol w:w="851"/>
        <w:gridCol w:w="852"/>
        <w:gridCol w:w="848"/>
        <w:gridCol w:w="832"/>
        <w:gridCol w:w="840"/>
        <w:gridCol w:w="738"/>
        <w:gridCol w:w="850"/>
      </w:tblGrid>
      <w:tr w:rsidR="00376AFA" w:rsidRPr="00333034" w:rsidTr="00C868D4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481"/>
              </w:tabs>
              <w:spacing w:after="0" w:line="216" w:lineRule="auto"/>
              <w:ind w:left="-119" w:right="-9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Напрями показників програми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Найменування показників виконання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 w:right="-7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Значення показників</w:t>
            </w:r>
          </w:p>
        </w:tc>
      </w:tr>
      <w:tr w:rsidR="00376AFA" w:rsidRPr="00333034" w:rsidTr="00C868D4">
        <w:trPr>
          <w:trHeight w:val="483"/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-119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І етап</w:t>
            </w:r>
          </w:p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2016 – 2020</w:t>
            </w: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2021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2023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uk-UA"/>
              </w:rPr>
              <w:t>2025</w:t>
            </w:r>
          </w:p>
        </w:tc>
      </w:tr>
      <w:tr w:rsidR="00376AFA" w:rsidRPr="00333034" w:rsidTr="00C868D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1026"/>
              </w:tabs>
              <w:spacing w:after="0" w:line="216" w:lineRule="auto"/>
              <w:ind w:left="-392" w:right="-391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Економічні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Залучення позабюджетних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млн 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31627,2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17819,3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3807,3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2019,7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1992,8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2976,1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3001,8</w:t>
            </w:r>
          </w:p>
        </w:tc>
      </w:tr>
      <w:tr w:rsidR="00376AFA" w:rsidRPr="00333034" w:rsidTr="00C868D4">
        <w:trPr>
          <w:trHeight w:val="104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425"/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Соціальні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AD539A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Кількість</w:t>
            </w:r>
            <w:r w:rsidRPr="00AD539A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викидів забруднюючих речовин на 1 км² території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26A81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proofErr w:type="spellStart"/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тонн</w:t>
            </w:r>
            <w:proofErr w:type="spellEnd"/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/1 км²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26A81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20,6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2</w:t>
            </w:r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26A81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21,09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26A81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26A81">
              <w:rPr>
                <w:spacing w:val="-6"/>
                <w:sz w:val="18"/>
                <w:szCs w:val="18"/>
                <w:lang w:val="uk-UA"/>
              </w:rPr>
              <w:t>21,08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26A81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21,07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26A81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21,05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26A81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26A81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20,6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2</w:t>
            </w:r>
            <w:r w:rsidRPr="00326A8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5</w:t>
            </w:r>
          </w:p>
        </w:tc>
      </w:tr>
      <w:tr w:rsidR="00376AFA" w:rsidRPr="00333034" w:rsidTr="00C868D4">
        <w:trPr>
          <w:trHeight w:val="76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Кількість захищених від шкідливої дії вод населених пунктів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7</w:t>
            </w:r>
          </w:p>
        </w:tc>
      </w:tr>
      <w:tr w:rsidR="00376AFA" w:rsidRPr="00333034" w:rsidTr="00C868D4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Кількість населених пунктів, забезпечених централізованим водопостачанням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12</w:t>
            </w:r>
          </w:p>
        </w:tc>
      </w:tr>
      <w:tr w:rsidR="00376AFA" w:rsidRPr="00333034" w:rsidTr="00C868D4">
        <w:trPr>
          <w:trHeight w:val="99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885"/>
              </w:tabs>
              <w:spacing w:after="0" w:line="216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Екологічні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E129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Зменшення обсягів викидів забруднюючих речовин в атмосферне повітря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тис. тонн/рік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282,15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191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40" w:lineRule="exact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25,15</w:t>
            </w:r>
          </w:p>
        </w:tc>
      </w:tr>
      <w:tr w:rsidR="00376AFA" w:rsidRPr="00333034" w:rsidTr="00C868D4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Площа земель, на якій планується</w:t>
            </w:r>
            <w:r>
              <w:rPr>
                <w:spacing w:val="-6"/>
                <w:sz w:val="18"/>
                <w:lang w:val="uk-UA"/>
              </w:rPr>
              <w:t xml:space="preserve"> </w:t>
            </w:r>
            <w:r w:rsidRPr="003E1294">
              <w:rPr>
                <w:spacing w:val="-6"/>
                <w:sz w:val="18"/>
                <w:lang w:val="uk-UA"/>
              </w:rPr>
              <w:t xml:space="preserve"> провести реконструкцію інженерної інфраструктури зрошувальних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тис.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5,084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2,084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0,5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lang w:val="uk-UA"/>
              </w:rPr>
            </w:pPr>
            <w:r w:rsidRPr="003E1294">
              <w:rPr>
                <w:spacing w:val="-6"/>
                <w:sz w:val="18"/>
                <w:lang w:val="uk-UA"/>
              </w:rPr>
              <w:t>0,5</w:t>
            </w:r>
          </w:p>
        </w:tc>
      </w:tr>
      <w:tr w:rsidR="00376AFA" w:rsidRPr="00333034" w:rsidTr="00C868D4">
        <w:trPr>
          <w:trHeight w:val="130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Довжина</w:t>
            </w:r>
            <w:r w:rsidRPr="003E1294">
              <w:rPr>
                <w:spacing w:val="-6"/>
                <w:sz w:val="18"/>
                <w:szCs w:val="18"/>
                <w:lang w:val="uk-UA"/>
              </w:rPr>
              <w:t xml:space="preserve"> русел річок і водойм, на яких </w:t>
            </w:r>
            <w:r>
              <w:rPr>
                <w:spacing w:val="-6"/>
                <w:sz w:val="18"/>
                <w:szCs w:val="18"/>
                <w:lang w:val="uk-UA"/>
              </w:rPr>
              <w:t xml:space="preserve">планується здійснити </w:t>
            </w:r>
            <w:r w:rsidRPr="003E1294">
              <w:rPr>
                <w:spacing w:val="-6"/>
                <w:sz w:val="18"/>
                <w:szCs w:val="18"/>
                <w:lang w:val="uk-UA"/>
              </w:rPr>
              <w:t xml:space="preserve"> розчищення та врегулювання гідрологічного режиму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ind w:right="-108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E1294">
              <w:rPr>
                <w:spacing w:val="-6"/>
                <w:sz w:val="18"/>
                <w:szCs w:val="18"/>
                <w:lang w:val="uk-UA"/>
              </w:rPr>
              <w:t>кілометрів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215,311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95,311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E129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>
              <w:rPr>
                <w:spacing w:val="-6"/>
                <w:sz w:val="18"/>
                <w:szCs w:val="18"/>
                <w:lang w:val="uk-UA"/>
              </w:rPr>
              <w:t>20</w:t>
            </w:r>
          </w:p>
        </w:tc>
      </w:tr>
      <w:tr w:rsidR="00376AFA" w:rsidRPr="00333034" w:rsidTr="00C868D4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Зменшення кількості забруднюючих речовин, що скидаються зі зворотними водами у поверхневі водні об’єкти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тис. 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230,0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20"/>
                <w:lang w:val="uk-UA"/>
              </w:rPr>
            </w:pPr>
            <w:r w:rsidRPr="00333034">
              <w:rPr>
                <w:spacing w:val="-6"/>
                <w:sz w:val="20"/>
                <w:lang w:val="uk-UA"/>
              </w:rPr>
              <w:t>173,0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20"/>
                <w:lang w:val="uk-UA"/>
              </w:rPr>
            </w:pPr>
            <w:r w:rsidRPr="00333034">
              <w:rPr>
                <w:spacing w:val="-6"/>
                <w:sz w:val="20"/>
                <w:lang w:val="uk-UA"/>
              </w:rPr>
              <w:t>9,2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20"/>
                <w:lang w:val="uk-UA"/>
              </w:rPr>
            </w:pPr>
            <w:r w:rsidRPr="00333034">
              <w:rPr>
                <w:spacing w:val="-6"/>
                <w:sz w:val="20"/>
                <w:lang w:val="uk-UA"/>
              </w:rPr>
              <w:t>10,1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20"/>
                <w:lang w:val="uk-UA"/>
              </w:rPr>
            </w:pPr>
            <w:r w:rsidRPr="00333034">
              <w:rPr>
                <w:spacing w:val="-6"/>
                <w:sz w:val="20"/>
                <w:lang w:val="uk-UA"/>
              </w:rPr>
              <w:t>11,2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20"/>
                <w:lang w:val="uk-UA"/>
              </w:rPr>
            </w:pPr>
            <w:r w:rsidRPr="00333034">
              <w:rPr>
                <w:spacing w:val="-6"/>
                <w:sz w:val="20"/>
                <w:lang w:val="uk-UA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20"/>
                <w:lang w:val="uk-UA"/>
              </w:rPr>
            </w:pPr>
            <w:r w:rsidRPr="00333034">
              <w:rPr>
                <w:spacing w:val="-6"/>
                <w:sz w:val="20"/>
                <w:lang w:val="uk-UA"/>
              </w:rPr>
              <w:t>14,0</w:t>
            </w:r>
          </w:p>
        </w:tc>
      </w:tr>
      <w:tr w:rsidR="00376AFA" w:rsidRPr="00333034" w:rsidTr="00C868D4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</w:pPr>
            <w:r w:rsidRPr="00333034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Кількість створених (розширених) об’єктів природно-заповідного фонду місцевого значення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124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333034">
              <w:rPr>
                <w:spacing w:val="-6"/>
                <w:sz w:val="18"/>
                <w:szCs w:val="18"/>
                <w:lang w:val="uk-UA"/>
              </w:rPr>
              <w:t>32</w:t>
            </w:r>
          </w:p>
        </w:tc>
      </w:tr>
      <w:tr w:rsidR="00376AFA" w:rsidRPr="00333034" w:rsidTr="00C868D4">
        <w:trPr>
          <w:trHeight w:val="40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944489">
              <w:rPr>
                <w:rFonts w:eastAsia="Calibri"/>
                <w:spacing w:val="-6"/>
                <w:sz w:val="18"/>
                <w:szCs w:val="18"/>
                <w:lang w:val="uk-UA"/>
              </w:rPr>
              <w:t>Збільшення площі лісів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944489">
              <w:rPr>
                <w:rFonts w:eastAsia="Calibri"/>
                <w:spacing w:val="-6"/>
                <w:sz w:val="18"/>
                <w:szCs w:val="18"/>
                <w:lang w:val="uk-U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944489">
              <w:rPr>
                <w:rFonts w:eastAsia="Calibri"/>
                <w:spacing w:val="-6"/>
                <w:sz w:val="18"/>
                <w:szCs w:val="18"/>
                <w:lang w:val="uk-UA"/>
              </w:rPr>
              <w:t>3810,0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326,3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696,7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696,7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696,7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696,7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696,7</w:t>
            </w:r>
          </w:p>
        </w:tc>
      </w:tr>
      <w:tr w:rsidR="00376AFA" w:rsidRPr="00333034" w:rsidTr="00C868D4">
        <w:trPr>
          <w:trHeight w:val="11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944489">
              <w:rPr>
                <w:rFonts w:eastAsia="Calibri"/>
                <w:spacing w:val="-6"/>
                <w:sz w:val="18"/>
                <w:szCs w:val="18"/>
                <w:lang w:val="uk-UA"/>
              </w:rPr>
              <w:t>Відновлення лісів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944489">
              <w:rPr>
                <w:rFonts w:eastAsia="Calibri"/>
                <w:spacing w:val="-6"/>
                <w:sz w:val="18"/>
                <w:szCs w:val="18"/>
                <w:lang w:val="uk-U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2427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214,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442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445</w:t>
            </w:r>
          </w:p>
        </w:tc>
      </w:tr>
      <w:tr w:rsidR="00376AFA" w:rsidRPr="00333034" w:rsidTr="00C868D4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spacing w:line="216" w:lineRule="auto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Охорона лісів від пожеж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тис.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104,09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34,0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14,09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14</w:t>
            </w:r>
          </w:p>
        </w:tc>
      </w:tr>
      <w:tr w:rsidR="00376AFA" w:rsidRPr="00333034" w:rsidTr="00C868D4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333034" w:rsidRDefault="00376AFA" w:rsidP="00C868D4">
            <w:pPr>
              <w:pStyle w:val="1"/>
              <w:widowControl w:val="0"/>
              <w:tabs>
                <w:tab w:val="left" w:pos="709"/>
              </w:tabs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tabs>
                <w:tab w:val="left" w:pos="709"/>
              </w:tabs>
              <w:spacing w:line="216" w:lineRule="auto"/>
              <w:rPr>
                <w:rFonts w:eastAsia="Calibri"/>
                <w:spacing w:val="-6"/>
                <w:sz w:val="18"/>
                <w:szCs w:val="18"/>
                <w:lang w:val="uk-UA"/>
              </w:rPr>
            </w:pPr>
            <w:r w:rsidRPr="00944489">
              <w:rPr>
                <w:rFonts w:eastAsia="Calibri"/>
                <w:spacing w:val="-6"/>
                <w:sz w:val="18"/>
                <w:szCs w:val="18"/>
                <w:lang w:val="uk-UA"/>
              </w:rPr>
              <w:t>Лісозахисні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тис.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widowControl w:val="0"/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325,00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108,5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43,3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43,3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FA" w:rsidRPr="00944489" w:rsidRDefault="00376AFA" w:rsidP="00C868D4">
            <w:pPr>
              <w:spacing w:line="216" w:lineRule="auto"/>
              <w:jc w:val="center"/>
              <w:rPr>
                <w:spacing w:val="-6"/>
                <w:sz w:val="18"/>
                <w:szCs w:val="18"/>
              </w:rPr>
            </w:pPr>
            <w:r w:rsidRPr="00944489">
              <w:rPr>
                <w:spacing w:val="-6"/>
                <w:sz w:val="18"/>
                <w:szCs w:val="18"/>
                <w:lang w:val="uk-UA"/>
              </w:rPr>
              <w:t>43,3</w:t>
            </w:r>
          </w:p>
        </w:tc>
      </w:tr>
    </w:tbl>
    <w:p w:rsidR="00376AFA" w:rsidRPr="00D44ECD" w:rsidRDefault="00376AFA" w:rsidP="00376AFA">
      <w:pPr>
        <w:pStyle w:val="1"/>
        <w:tabs>
          <w:tab w:val="left" w:pos="709"/>
        </w:tabs>
        <w:spacing w:after="0" w:line="240" w:lineRule="auto"/>
        <w:ind w:left="993" w:firstLine="709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376AFA" w:rsidRPr="00BD799B" w:rsidRDefault="00376AFA" w:rsidP="00376AFA">
      <w:pPr>
        <w:pStyle w:val="2"/>
        <w:widowControl w:val="0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17"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99B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та контроль за виконанням: координацію щодо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D799B">
        <w:rPr>
          <w:rFonts w:ascii="Times New Roman" w:hAnsi="Times New Roman" w:cs="Times New Roman"/>
          <w:sz w:val="28"/>
          <w:szCs w:val="28"/>
          <w:lang w:val="uk-UA"/>
        </w:rPr>
        <w:t xml:space="preserve">рограми здійснює замовник – департамент екології та природних ресурсів облдержадміністрації, контроль – постійна комісія обласної ради з питань екології та енергозбереження. Замовник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D799B">
        <w:rPr>
          <w:rFonts w:ascii="Times New Roman" w:hAnsi="Times New Roman" w:cs="Times New Roman"/>
          <w:sz w:val="28"/>
          <w:szCs w:val="28"/>
          <w:lang w:val="uk-UA"/>
        </w:rPr>
        <w:t>рограми щоквартал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799B">
        <w:rPr>
          <w:rFonts w:ascii="Times New Roman" w:hAnsi="Times New Roman" w:cs="Times New Roman"/>
          <w:sz w:val="28"/>
          <w:szCs w:val="28"/>
          <w:lang w:val="uk-UA"/>
        </w:rPr>
        <w:t xml:space="preserve">, до 15 числа другого місяця, </w:t>
      </w:r>
      <w:r>
        <w:rPr>
          <w:rFonts w:ascii="Times New Roman" w:hAnsi="Times New Roman" w:cs="Times New Roman"/>
          <w:sz w:val="28"/>
          <w:szCs w:val="28"/>
          <w:lang w:val="uk-UA"/>
        </w:rPr>
        <w:t>що настає</w:t>
      </w:r>
      <w:r w:rsidRPr="00BD799B">
        <w:rPr>
          <w:rFonts w:ascii="Times New Roman" w:hAnsi="Times New Roman" w:cs="Times New Roman"/>
          <w:sz w:val="28"/>
          <w:szCs w:val="28"/>
          <w:lang w:val="uk-UA"/>
        </w:rPr>
        <w:t xml:space="preserve"> за звітним періодом, надає інформацію про хід її виконання до обласної ради та облдержадміністрації.</w:t>
      </w:r>
    </w:p>
    <w:p w:rsidR="00376AFA" w:rsidRDefault="00376AFA" w:rsidP="00376AFA">
      <w:pPr>
        <w:widowControl w:val="0"/>
        <w:rPr>
          <w:lang w:val="uk-UA"/>
        </w:rPr>
      </w:pPr>
    </w:p>
    <w:p w:rsidR="00376AFA" w:rsidRDefault="00376AFA" w:rsidP="00376AFA">
      <w:pPr>
        <w:widowControl w:val="0"/>
        <w:rPr>
          <w:lang w:val="uk-UA"/>
        </w:rPr>
      </w:pPr>
    </w:p>
    <w:p w:rsidR="00376AFA" w:rsidRDefault="00376AFA" w:rsidP="00376AFA">
      <w:pPr>
        <w:widowControl w:val="0"/>
        <w:rPr>
          <w:lang w:val="uk-UA"/>
        </w:rPr>
      </w:pPr>
    </w:p>
    <w:p w:rsidR="00376AFA" w:rsidRDefault="00376AFA" w:rsidP="00376AFA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376AFA" w:rsidRPr="00C04EE9" w:rsidRDefault="00376AFA" w:rsidP="00376AFA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90176A">
        <w:rPr>
          <w:b/>
          <w:sz w:val="28"/>
          <w:szCs w:val="28"/>
        </w:rPr>
        <w:t xml:space="preserve"> </w:t>
      </w:r>
      <w:proofErr w:type="spellStart"/>
      <w:r w:rsidRPr="0090176A">
        <w:rPr>
          <w:b/>
          <w:sz w:val="28"/>
          <w:szCs w:val="28"/>
        </w:rPr>
        <w:t>обласної</w:t>
      </w:r>
      <w:proofErr w:type="spellEnd"/>
      <w:r w:rsidRPr="0090176A">
        <w:rPr>
          <w:b/>
          <w:sz w:val="28"/>
          <w:szCs w:val="28"/>
        </w:rPr>
        <w:t xml:space="preserve"> ради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90176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</w:t>
      </w:r>
      <w:r w:rsidRPr="0090176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9017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Г</w:t>
      </w:r>
      <w:r w:rsidRPr="0090176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ГУФМАН</w:t>
      </w:r>
    </w:p>
    <w:p w:rsidR="00C42818" w:rsidRPr="00376AFA" w:rsidRDefault="003E2D1F">
      <w:pPr>
        <w:rPr>
          <w:lang w:val="uk-UA"/>
        </w:rPr>
      </w:pPr>
    </w:p>
    <w:sectPr w:rsidR="00C42818" w:rsidRPr="00376AFA" w:rsidSect="00F63A60">
      <w:headerReference w:type="default" r:id="rId9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1F" w:rsidRDefault="003E2D1F" w:rsidP="00C17B07">
      <w:r>
        <w:separator/>
      </w:r>
    </w:p>
  </w:endnote>
  <w:endnote w:type="continuationSeparator" w:id="0">
    <w:p w:rsidR="003E2D1F" w:rsidRDefault="003E2D1F" w:rsidP="00C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1F" w:rsidRDefault="003E2D1F" w:rsidP="00C17B07">
      <w:r>
        <w:separator/>
      </w:r>
    </w:p>
  </w:footnote>
  <w:footnote w:type="continuationSeparator" w:id="0">
    <w:p w:rsidR="003E2D1F" w:rsidRDefault="003E2D1F" w:rsidP="00C1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E9" w:rsidRPr="00C04EE9" w:rsidRDefault="00D3325D">
    <w:pPr>
      <w:pStyle w:val="a3"/>
      <w:jc w:val="center"/>
      <w:rPr>
        <w:sz w:val="28"/>
        <w:szCs w:val="28"/>
      </w:rPr>
    </w:pPr>
    <w:r w:rsidRPr="00C04EE9">
      <w:rPr>
        <w:sz w:val="28"/>
        <w:szCs w:val="28"/>
      </w:rPr>
      <w:fldChar w:fldCharType="begin"/>
    </w:r>
    <w:r w:rsidR="00376AFA" w:rsidRPr="00C04EE9">
      <w:rPr>
        <w:sz w:val="28"/>
        <w:szCs w:val="28"/>
      </w:rPr>
      <w:instrText>PAGE   \* MERGEFORMAT</w:instrText>
    </w:r>
    <w:r w:rsidRPr="00C04EE9">
      <w:rPr>
        <w:sz w:val="28"/>
        <w:szCs w:val="28"/>
      </w:rPr>
      <w:fldChar w:fldCharType="separate"/>
    </w:r>
    <w:r w:rsidR="007B2E92">
      <w:rPr>
        <w:noProof/>
        <w:sz w:val="28"/>
        <w:szCs w:val="28"/>
      </w:rPr>
      <w:t>2</w:t>
    </w:r>
    <w:r w:rsidRPr="00C04EE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1F6"/>
    <w:multiLevelType w:val="hybridMultilevel"/>
    <w:tmpl w:val="3E92D132"/>
    <w:lvl w:ilvl="0" w:tplc="172C5B3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83"/>
    <w:rsid w:val="000321B2"/>
    <w:rsid w:val="00057C2E"/>
    <w:rsid w:val="0027591D"/>
    <w:rsid w:val="00376AFA"/>
    <w:rsid w:val="003C0744"/>
    <w:rsid w:val="003E2D1F"/>
    <w:rsid w:val="004F596C"/>
    <w:rsid w:val="004F6AE6"/>
    <w:rsid w:val="00573283"/>
    <w:rsid w:val="005A1043"/>
    <w:rsid w:val="00621260"/>
    <w:rsid w:val="0064241B"/>
    <w:rsid w:val="00681C9D"/>
    <w:rsid w:val="006A4CF8"/>
    <w:rsid w:val="00771C0C"/>
    <w:rsid w:val="007B2E92"/>
    <w:rsid w:val="008A18B8"/>
    <w:rsid w:val="0093393F"/>
    <w:rsid w:val="00A64026"/>
    <w:rsid w:val="00AA6ED6"/>
    <w:rsid w:val="00C17B07"/>
    <w:rsid w:val="00C51DAC"/>
    <w:rsid w:val="00D3325D"/>
    <w:rsid w:val="00E318C0"/>
    <w:rsid w:val="00E42D80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76AFA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76A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6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76AFA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76A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6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743C-0BF6-43F0-9D56-739DB09F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2021-10-21T09:14:00Z</cp:lastPrinted>
  <dcterms:created xsi:type="dcterms:W3CDTF">2021-09-24T10:11:00Z</dcterms:created>
  <dcterms:modified xsi:type="dcterms:W3CDTF">2021-10-21T09:29:00Z</dcterms:modified>
</cp:coreProperties>
</file>