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D0B9A" w:rsidRDefault="00CD0B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5E4A" w:rsidRPr="00853477" w:rsidRDefault="00995E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Pr="00995E4A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„Про місцеве самоврядування в Україні”, „Про оренду державного та комунального майна”,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86150C" w:rsidRPr="00995E4A" w:rsidRDefault="0086150C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1E21CF" w:rsidRPr="00995E4A" w:rsidRDefault="001E21CF" w:rsidP="00AC7628">
      <w:pPr>
        <w:ind w:right="-25"/>
        <w:jc w:val="both"/>
        <w:rPr>
          <w:color w:val="000000"/>
        </w:rPr>
      </w:pPr>
    </w:p>
    <w:p w:rsidR="001C31C9" w:rsidRDefault="001C31C9" w:rsidP="001C31C9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B17922" w:rsidRDefault="00B17922" w:rsidP="001C31C9">
      <w:pPr>
        <w:ind w:right="-25" w:firstLine="700"/>
        <w:jc w:val="both"/>
        <w:rPr>
          <w:color w:val="000000"/>
          <w:sz w:val="28"/>
          <w:szCs w:val="28"/>
        </w:rPr>
      </w:pPr>
    </w:p>
    <w:p w:rsidR="00B17922" w:rsidRDefault="00B17922" w:rsidP="00B17922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BB707B"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</w:t>
      </w:r>
      <w:r>
        <w:rPr>
          <w:color w:val="000000"/>
          <w:sz w:val="28"/>
          <w:szCs w:val="28"/>
        </w:rPr>
        <w:t>,</w:t>
      </w:r>
      <w:r w:rsidRPr="00BB707B">
        <w:rPr>
          <w:color w:val="000000"/>
          <w:sz w:val="28"/>
          <w:szCs w:val="28"/>
        </w:rPr>
        <w:t xml:space="preserve"> згідно з додатком 3.</w:t>
      </w:r>
    </w:p>
    <w:p w:rsidR="003416B5" w:rsidRDefault="003416B5" w:rsidP="001C31C9">
      <w:pPr>
        <w:ind w:right="-25" w:firstLine="700"/>
        <w:jc w:val="both"/>
        <w:rPr>
          <w:color w:val="000000"/>
          <w:sz w:val="28"/>
          <w:szCs w:val="28"/>
        </w:rPr>
      </w:pPr>
    </w:p>
    <w:p w:rsidR="004D3408" w:rsidRDefault="00B17922" w:rsidP="004D3408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3408">
        <w:rPr>
          <w:color w:val="000000"/>
          <w:sz w:val="28"/>
          <w:szCs w:val="28"/>
        </w:rPr>
        <w:t xml:space="preserve">. </w:t>
      </w:r>
      <w:r w:rsidR="007619CC">
        <w:rPr>
          <w:color w:val="000000"/>
          <w:sz w:val="28"/>
          <w:szCs w:val="28"/>
        </w:rPr>
        <w:t>Для цілей застосування частини другої статті 18 Закону України „Про оренду державного та комунального майна” підприємствами, установами, організаціями, що надають соціально важливі послуги населенню</w:t>
      </w:r>
      <w:r w:rsidR="00745AF0">
        <w:rPr>
          <w:color w:val="000000"/>
          <w:sz w:val="28"/>
          <w:szCs w:val="28"/>
        </w:rPr>
        <w:t>,</w:t>
      </w:r>
      <w:r w:rsidR="007619CC">
        <w:rPr>
          <w:color w:val="000000"/>
          <w:sz w:val="28"/>
          <w:szCs w:val="28"/>
        </w:rPr>
        <w:t xml:space="preserve"> з</w:t>
      </w:r>
      <w:r w:rsidR="004D3408">
        <w:rPr>
          <w:color w:val="000000"/>
          <w:sz w:val="28"/>
          <w:szCs w:val="28"/>
        </w:rPr>
        <w:t>атвердити Перелік підприємств,</w:t>
      </w:r>
      <w:r w:rsidR="007619CC">
        <w:rPr>
          <w:color w:val="000000"/>
          <w:sz w:val="28"/>
          <w:szCs w:val="28"/>
        </w:rPr>
        <w:t xml:space="preserve"> установ, організацій,</w:t>
      </w:r>
      <w:r w:rsidR="004D3408">
        <w:rPr>
          <w:color w:val="000000"/>
          <w:sz w:val="28"/>
          <w:szCs w:val="28"/>
        </w:rPr>
        <w:t xml:space="preserve"> що надають соціально важливі послуг</w:t>
      </w:r>
      <w:r w:rsidR="00237E76">
        <w:rPr>
          <w:color w:val="000000"/>
          <w:sz w:val="28"/>
          <w:szCs w:val="28"/>
        </w:rPr>
        <w:t>и населенню, згідно з додатком 4</w:t>
      </w:r>
      <w:r w:rsidR="004D3408">
        <w:rPr>
          <w:color w:val="000000"/>
          <w:sz w:val="28"/>
          <w:szCs w:val="28"/>
        </w:rPr>
        <w:t xml:space="preserve">. </w:t>
      </w:r>
    </w:p>
    <w:p w:rsidR="004D3408" w:rsidRDefault="004D3408" w:rsidP="001C31C9">
      <w:pPr>
        <w:ind w:right="-25" w:firstLine="700"/>
        <w:jc w:val="both"/>
        <w:rPr>
          <w:color w:val="000000"/>
          <w:sz w:val="28"/>
          <w:szCs w:val="28"/>
        </w:rPr>
      </w:pPr>
    </w:p>
    <w:p w:rsidR="003416B5" w:rsidRDefault="00B17922" w:rsidP="003416B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16B5" w:rsidRPr="0021625F">
        <w:rPr>
          <w:color w:val="000000"/>
          <w:sz w:val="28"/>
          <w:szCs w:val="28"/>
        </w:rPr>
        <w:t>. Внести зміни</w:t>
      </w:r>
      <w:r w:rsidR="003416B5">
        <w:rPr>
          <w:color w:val="000000"/>
          <w:sz w:val="28"/>
          <w:szCs w:val="28"/>
        </w:rPr>
        <w:t xml:space="preserve"> до рішення обласної ради від 05 листопада 2021 року    № 122-8</w:t>
      </w:r>
      <w:r w:rsidR="003416B5"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3416B5" w:rsidRDefault="00B17922" w:rsidP="003416B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16B5" w:rsidRPr="001E21CF">
        <w:rPr>
          <w:color w:val="000000"/>
          <w:sz w:val="28"/>
          <w:szCs w:val="28"/>
        </w:rPr>
        <w:t xml:space="preserve">.1. </w:t>
      </w:r>
      <w:r w:rsidR="003416B5">
        <w:rPr>
          <w:color w:val="000000"/>
          <w:sz w:val="28"/>
          <w:szCs w:val="28"/>
        </w:rPr>
        <w:t xml:space="preserve">Виключити майно, зазначене у пункті 13 додатка 1 до рішення, з </w:t>
      </w:r>
      <w:r w:rsidR="000F2A05">
        <w:rPr>
          <w:color w:val="000000"/>
          <w:sz w:val="28"/>
          <w:szCs w:val="28"/>
        </w:rPr>
        <w:t>П</w:t>
      </w:r>
      <w:r w:rsidR="003416B5">
        <w:rPr>
          <w:color w:val="000000"/>
          <w:sz w:val="28"/>
          <w:szCs w:val="28"/>
        </w:rPr>
        <w:t>ереліку першого типу об’єктів оренди, які підлягають передачі в оренду  шляхом проведення аукціону.</w:t>
      </w:r>
    </w:p>
    <w:p w:rsidR="00812D70" w:rsidRDefault="00812D70" w:rsidP="003416B5">
      <w:pPr>
        <w:ind w:right="-25" w:firstLine="700"/>
        <w:jc w:val="both"/>
        <w:rPr>
          <w:color w:val="000000"/>
          <w:sz w:val="28"/>
          <w:szCs w:val="28"/>
        </w:rPr>
      </w:pPr>
    </w:p>
    <w:p w:rsidR="00812D70" w:rsidRDefault="00812D70" w:rsidP="00812D70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Надати згоду КП ,,</w:t>
      </w:r>
      <w:proofErr w:type="spellStart"/>
      <w:r>
        <w:rPr>
          <w:color w:val="000000"/>
          <w:sz w:val="28"/>
          <w:szCs w:val="28"/>
        </w:rPr>
        <w:t>Жовто</w:t>
      </w:r>
      <w:r w:rsidRPr="00984E59">
        <w:rPr>
          <w:color w:val="000000"/>
          <w:sz w:val="28"/>
          <w:szCs w:val="28"/>
        </w:rPr>
        <w:t>водський</w:t>
      </w:r>
      <w:proofErr w:type="spellEnd"/>
      <w:r w:rsidRPr="00984E59">
        <w:rPr>
          <w:color w:val="000000"/>
          <w:sz w:val="28"/>
          <w:szCs w:val="28"/>
        </w:rPr>
        <w:t xml:space="preserve"> водоканал”</w:t>
      </w:r>
      <w:r w:rsidRPr="00763463">
        <w:rPr>
          <w:color w:val="000000"/>
          <w:sz w:val="28"/>
          <w:szCs w:val="28"/>
        </w:rPr>
        <w:t xml:space="preserve"> </w:t>
      </w:r>
      <w:r w:rsidRPr="00984E59">
        <w:rPr>
          <w:color w:val="000000"/>
          <w:sz w:val="28"/>
          <w:szCs w:val="28"/>
        </w:rPr>
        <w:t>ДОР”</w:t>
      </w:r>
      <w:r>
        <w:rPr>
          <w:color w:val="000000"/>
          <w:sz w:val="28"/>
          <w:szCs w:val="28"/>
        </w:rPr>
        <w:t xml:space="preserve"> до 31 грудня 2022</w:t>
      </w:r>
      <w:r w:rsidRPr="00763463"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 xml:space="preserve">залишати </w:t>
      </w:r>
      <w:r w:rsidRPr="00763463">
        <w:rPr>
          <w:color w:val="000000"/>
          <w:sz w:val="28"/>
          <w:szCs w:val="28"/>
        </w:rPr>
        <w:t>100 відсотків орендної плати, отриманої від здачі в оренду нерухомого майна, яке перебуває</w:t>
      </w:r>
      <w:r>
        <w:rPr>
          <w:color w:val="000000"/>
          <w:sz w:val="28"/>
          <w:szCs w:val="28"/>
        </w:rPr>
        <w:t xml:space="preserve"> у господарському відданні</w:t>
      </w:r>
      <w:r w:rsidRPr="007634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тому числі і для приміщень, площа яких перевищує 200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м, у зв’язку із скрутним фінансовим становищем підприємства на відшкодування витрат на утримання майна</w:t>
      </w:r>
      <w:r w:rsidRPr="00763463">
        <w:rPr>
          <w:color w:val="000000"/>
          <w:sz w:val="28"/>
          <w:szCs w:val="28"/>
        </w:rPr>
        <w:t>.</w:t>
      </w:r>
    </w:p>
    <w:p w:rsidR="00533803" w:rsidRDefault="00533803" w:rsidP="00812D70">
      <w:pPr>
        <w:ind w:right="-25"/>
        <w:jc w:val="both"/>
        <w:rPr>
          <w:color w:val="000000"/>
          <w:sz w:val="28"/>
          <w:szCs w:val="28"/>
        </w:rPr>
      </w:pPr>
    </w:p>
    <w:p w:rsidR="00A757BF" w:rsidRDefault="00812D70" w:rsidP="001D01A3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01A3">
        <w:rPr>
          <w:color w:val="000000"/>
          <w:sz w:val="28"/>
          <w:szCs w:val="28"/>
        </w:rPr>
        <w:t>.</w:t>
      </w:r>
      <w:r w:rsidR="00A757BF" w:rsidRPr="0021625F">
        <w:rPr>
          <w:color w:val="000000"/>
          <w:sz w:val="28"/>
          <w:szCs w:val="28"/>
        </w:rPr>
        <w:t xml:space="preserve"> Внести зміни</w:t>
      </w:r>
      <w:r w:rsidR="00A757BF">
        <w:rPr>
          <w:color w:val="000000"/>
          <w:sz w:val="28"/>
          <w:szCs w:val="28"/>
        </w:rPr>
        <w:t xml:space="preserve"> до рішення обласної ради від </w:t>
      </w:r>
      <w:r w:rsidR="00A757BF" w:rsidRPr="001E21CF">
        <w:rPr>
          <w:color w:val="000000"/>
          <w:sz w:val="28"/>
          <w:szCs w:val="28"/>
        </w:rPr>
        <w:t>16</w:t>
      </w:r>
      <w:r w:rsidR="00A757BF">
        <w:rPr>
          <w:color w:val="000000"/>
          <w:sz w:val="28"/>
          <w:szCs w:val="28"/>
        </w:rPr>
        <w:t xml:space="preserve"> червня 2021 року    № 85-6</w:t>
      </w:r>
      <w:r w:rsidR="00A757BF"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A757BF" w:rsidRDefault="00812D70" w:rsidP="00A757B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57BF">
        <w:rPr>
          <w:color w:val="000000"/>
          <w:sz w:val="28"/>
          <w:szCs w:val="28"/>
        </w:rPr>
        <w:t>.</w:t>
      </w:r>
      <w:r w:rsidR="00ED2424">
        <w:rPr>
          <w:color w:val="000000"/>
          <w:sz w:val="28"/>
          <w:szCs w:val="28"/>
        </w:rPr>
        <w:t>1</w:t>
      </w:r>
      <w:r w:rsidR="00A757BF" w:rsidRPr="001E21CF">
        <w:rPr>
          <w:color w:val="000000"/>
          <w:sz w:val="28"/>
          <w:szCs w:val="28"/>
        </w:rPr>
        <w:t xml:space="preserve">. </w:t>
      </w:r>
      <w:r w:rsidR="00A757BF">
        <w:rPr>
          <w:color w:val="000000"/>
          <w:sz w:val="28"/>
          <w:szCs w:val="28"/>
        </w:rPr>
        <w:t xml:space="preserve">Виключити майно, зазначене у пункті 54 додатка 1 до рішення, з </w:t>
      </w:r>
      <w:r w:rsidR="003C092C">
        <w:rPr>
          <w:color w:val="000000"/>
          <w:sz w:val="28"/>
          <w:szCs w:val="28"/>
        </w:rPr>
        <w:t>П</w:t>
      </w:r>
      <w:r w:rsidR="00A757BF">
        <w:rPr>
          <w:color w:val="000000"/>
          <w:sz w:val="28"/>
          <w:szCs w:val="28"/>
        </w:rPr>
        <w:t>ереліку першого типу об’єктів оренди, які підлягають передачі в оренду  шляхом проведення аукціону.</w:t>
      </w:r>
    </w:p>
    <w:p w:rsidR="00366C7E" w:rsidRDefault="00366C7E" w:rsidP="00A757BF">
      <w:pPr>
        <w:ind w:right="-25" w:firstLine="700"/>
        <w:jc w:val="both"/>
        <w:rPr>
          <w:color w:val="000000"/>
          <w:sz w:val="28"/>
          <w:szCs w:val="28"/>
        </w:rPr>
      </w:pPr>
    </w:p>
    <w:p w:rsidR="00366C7E" w:rsidRDefault="00812D70" w:rsidP="00366C7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66C7E" w:rsidRPr="0021625F">
        <w:rPr>
          <w:color w:val="000000"/>
          <w:sz w:val="28"/>
          <w:szCs w:val="28"/>
        </w:rPr>
        <w:t>. Внести зміни</w:t>
      </w:r>
      <w:r w:rsidR="00366C7E">
        <w:rPr>
          <w:color w:val="000000"/>
          <w:sz w:val="28"/>
          <w:szCs w:val="28"/>
        </w:rPr>
        <w:t xml:space="preserve"> до рішення обласної ради від 03 грудня 2021 року    № 165-9</w:t>
      </w:r>
      <w:r w:rsidR="00366C7E"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366C7E" w:rsidRPr="00E938F6" w:rsidRDefault="00812D70" w:rsidP="00366C7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66C7E" w:rsidRPr="001E21CF">
        <w:rPr>
          <w:color w:val="000000"/>
          <w:sz w:val="28"/>
          <w:szCs w:val="28"/>
        </w:rPr>
        <w:t xml:space="preserve">.1. </w:t>
      </w:r>
      <w:r w:rsidR="003C092C">
        <w:rPr>
          <w:color w:val="000000"/>
          <w:sz w:val="28"/>
          <w:szCs w:val="28"/>
        </w:rPr>
        <w:t>У</w:t>
      </w:r>
      <w:r w:rsidR="006B1169">
        <w:rPr>
          <w:color w:val="000000"/>
          <w:sz w:val="28"/>
          <w:szCs w:val="28"/>
        </w:rPr>
        <w:t xml:space="preserve"> пункті 18 додатка 2 до рішення</w:t>
      </w:r>
      <w:r w:rsidR="00366C7E" w:rsidRPr="00E938F6">
        <w:rPr>
          <w:color w:val="000000"/>
          <w:sz w:val="28"/>
          <w:szCs w:val="28"/>
        </w:rPr>
        <w:t xml:space="preserve"> </w:t>
      </w:r>
      <w:r w:rsidR="003C092C">
        <w:rPr>
          <w:color w:val="000000"/>
          <w:sz w:val="28"/>
          <w:szCs w:val="28"/>
        </w:rPr>
        <w:t>П</w:t>
      </w:r>
      <w:r w:rsidR="00366C7E" w:rsidRPr="00E938F6">
        <w:rPr>
          <w:color w:val="000000"/>
          <w:sz w:val="28"/>
          <w:szCs w:val="28"/>
        </w:rPr>
        <w:t>ереліку другого типу об’єктів оренди, які підлягають передачі в оренду  без проведення аукціону</w:t>
      </w:r>
      <w:r w:rsidR="006B1169">
        <w:rPr>
          <w:color w:val="000000"/>
          <w:sz w:val="28"/>
          <w:szCs w:val="28"/>
        </w:rPr>
        <w:t xml:space="preserve">, слова </w:t>
      </w:r>
      <w:r w:rsidR="006B1169" w:rsidRPr="0021625F">
        <w:rPr>
          <w:color w:val="000000"/>
          <w:sz w:val="28"/>
          <w:szCs w:val="28"/>
        </w:rPr>
        <w:t>„</w:t>
      </w:r>
      <w:r w:rsidR="00366C7E" w:rsidRPr="00E938F6">
        <w:rPr>
          <w:sz w:val="28"/>
          <w:szCs w:val="28"/>
        </w:rPr>
        <w:t>Розміщення установи, діяльність якої фінансується за рахунок державного або місцевих бюджетів (Дніпропетровський місцевий центр з надання безоплатної вторинної правової допомоги)</w:t>
      </w:r>
      <w:r w:rsidR="006B1169" w:rsidRPr="0021625F">
        <w:rPr>
          <w:color w:val="000000"/>
          <w:sz w:val="28"/>
          <w:szCs w:val="28"/>
        </w:rPr>
        <w:t>”</w:t>
      </w:r>
      <w:r w:rsidR="006B1169">
        <w:rPr>
          <w:sz w:val="28"/>
          <w:szCs w:val="28"/>
        </w:rPr>
        <w:t xml:space="preserve"> замінити словами </w:t>
      </w:r>
      <w:r w:rsidR="006B1169" w:rsidRPr="0021625F">
        <w:rPr>
          <w:color w:val="000000"/>
          <w:sz w:val="28"/>
          <w:szCs w:val="28"/>
        </w:rPr>
        <w:t>„</w:t>
      </w:r>
      <w:r w:rsidR="00366C7E" w:rsidRPr="00E938F6">
        <w:rPr>
          <w:sz w:val="28"/>
          <w:szCs w:val="28"/>
        </w:rPr>
        <w:t>Розміщення установи, діяльність якої фінансується за рахунок державного або місцевих бюджетів (Дніпровський місцевий центр з надання безоплатної вторинної правової допомоги)</w:t>
      </w:r>
      <w:r w:rsidR="006B1169" w:rsidRPr="0021625F">
        <w:rPr>
          <w:color w:val="000000"/>
          <w:sz w:val="28"/>
          <w:szCs w:val="28"/>
        </w:rPr>
        <w:t>”</w:t>
      </w:r>
      <w:r w:rsidR="00366C7E" w:rsidRPr="00E938F6">
        <w:rPr>
          <w:sz w:val="28"/>
          <w:szCs w:val="28"/>
        </w:rPr>
        <w:t>.</w:t>
      </w:r>
    </w:p>
    <w:p w:rsidR="002112E2" w:rsidRPr="00F33641" w:rsidRDefault="00812D70" w:rsidP="00F33641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112E2">
        <w:rPr>
          <w:color w:val="000000"/>
          <w:sz w:val="28"/>
          <w:szCs w:val="28"/>
        </w:rPr>
        <w:t>.2</w:t>
      </w:r>
      <w:r w:rsidR="002112E2" w:rsidRPr="001E21CF">
        <w:rPr>
          <w:color w:val="000000"/>
          <w:sz w:val="28"/>
          <w:szCs w:val="28"/>
        </w:rPr>
        <w:t xml:space="preserve">. </w:t>
      </w:r>
      <w:r w:rsidR="00E41414">
        <w:rPr>
          <w:color w:val="000000"/>
          <w:sz w:val="28"/>
          <w:szCs w:val="28"/>
        </w:rPr>
        <w:t>У</w:t>
      </w:r>
      <w:r w:rsidR="002112E2">
        <w:rPr>
          <w:color w:val="000000"/>
          <w:sz w:val="28"/>
          <w:szCs w:val="28"/>
        </w:rPr>
        <w:t xml:space="preserve"> пункті 6</w:t>
      </w:r>
      <w:r w:rsidR="006B1169">
        <w:rPr>
          <w:color w:val="000000"/>
          <w:sz w:val="28"/>
          <w:szCs w:val="28"/>
        </w:rPr>
        <w:t xml:space="preserve"> додатка 2 до рішення</w:t>
      </w:r>
      <w:r w:rsidR="002112E2" w:rsidRPr="00E938F6">
        <w:rPr>
          <w:color w:val="000000"/>
          <w:sz w:val="28"/>
          <w:szCs w:val="28"/>
        </w:rPr>
        <w:t xml:space="preserve"> </w:t>
      </w:r>
      <w:r w:rsidR="00CB0EB3">
        <w:rPr>
          <w:color w:val="000000"/>
          <w:sz w:val="28"/>
          <w:szCs w:val="28"/>
        </w:rPr>
        <w:t>П</w:t>
      </w:r>
      <w:r w:rsidR="002112E2" w:rsidRPr="00E938F6">
        <w:rPr>
          <w:color w:val="000000"/>
          <w:sz w:val="28"/>
          <w:szCs w:val="28"/>
        </w:rPr>
        <w:t>ереліку другого типу об’єктів оренди, які підлягають передачі в оренду  без пров</w:t>
      </w:r>
      <w:r w:rsidR="006B1169">
        <w:rPr>
          <w:color w:val="000000"/>
          <w:sz w:val="28"/>
          <w:szCs w:val="28"/>
        </w:rPr>
        <w:t xml:space="preserve">едення аукціону, слова </w:t>
      </w:r>
      <w:r w:rsidR="006B1169" w:rsidRPr="0021625F">
        <w:rPr>
          <w:color w:val="000000"/>
          <w:sz w:val="28"/>
          <w:szCs w:val="28"/>
        </w:rPr>
        <w:t>„</w:t>
      </w:r>
      <w:r w:rsidR="00F33641" w:rsidRPr="00F33641">
        <w:rPr>
          <w:sz w:val="28"/>
          <w:szCs w:val="28"/>
        </w:rPr>
        <w:t>Розмі</w:t>
      </w:r>
      <w:r w:rsidR="00F33641">
        <w:rPr>
          <w:sz w:val="28"/>
          <w:szCs w:val="28"/>
        </w:rPr>
        <w:t xml:space="preserve">щення установи, діяльність якої </w:t>
      </w:r>
      <w:r w:rsidR="00F33641" w:rsidRPr="00F33641">
        <w:rPr>
          <w:sz w:val="28"/>
          <w:szCs w:val="28"/>
        </w:rPr>
        <w:t>фінансується за рахунок державн</w:t>
      </w:r>
      <w:r w:rsidR="00F33641">
        <w:rPr>
          <w:sz w:val="28"/>
          <w:szCs w:val="28"/>
        </w:rPr>
        <w:t xml:space="preserve">ого або місцевих бюджетів </w:t>
      </w:r>
      <w:r w:rsidR="00F33641" w:rsidRPr="00F33641">
        <w:rPr>
          <w:sz w:val="28"/>
          <w:szCs w:val="28"/>
        </w:rPr>
        <w:t>(Національна комісія, що здійснює державне регулювання у сфері зв’язку та інформатизації)</w:t>
      </w:r>
      <w:r w:rsidR="006B1169" w:rsidRPr="0021625F">
        <w:rPr>
          <w:color w:val="000000"/>
          <w:sz w:val="28"/>
          <w:szCs w:val="28"/>
        </w:rPr>
        <w:t>”</w:t>
      </w:r>
      <w:r w:rsidR="006B1169">
        <w:rPr>
          <w:sz w:val="28"/>
          <w:szCs w:val="28"/>
        </w:rPr>
        <w:t xml:space="preserve"> замінити словами </w:t>
      </w:r>
      <w:r w:rsidR="006B1169" w:rsidRPr="0021625F">
        <w:rPr>
          <w:color w:val="000000"/>
          <w:sz w:val="28"/>
          <w:szCs w:val="28"/>
        </w:rPr>
        <w:t>„</w:t>
      </w:r>
      <w:r w:rsidR="00F33641" w:rsidRPr="00F33641">
        <w:rPr>
          <w:sz w:val="28"/>
          <w:szCs w:val="28"/>
        </w:rPr>
        <w:t>Розміщення установи, діяльність якої фінансується за рахунок державного або місцевих бюджетів (Національна комісія, що здійс</w:t>
      </w:r>
      <w:r w:rsidR="00F33641">
        <w:rPr>
          <w:sz w:val="28"/>
          <w:szCs w:val="28"/>
        </w:rPr>
        <w:t>нює державне регулювання у сферах електронних комунікацій, радіочастотного сектора та надання послуг поштового</w:t>
      </w:r>
      <w:r w:rsidR="00F33641" w:rsidRPr="00F33641">
        <w:rPr>
          <w:sz w:val="28"/>
          <w:szCs w:val="28"/>
        </w:rPr>
        <w:t xml:space="preserve"> зв’язку)</w:t>
      </w:r>
      <w:r w:rsidR="006B1169" w:rsidRPr="0021625F">
        <w:rPr>
          <w:color w:val="000000"/>
          <w:sz w:val="28"/>
          <w:szCs w:val="28"/>
        </w:rPr>
        <w:t>”</w:t>
      </w:r>
      <w:r w:rsidR="006B1169">
        <w:rPr>
          <w:color w:val="000000"/>
          <w:sz w:val="28"/>
          <w:szCs w:val="28"/>
        </w:rPr>
        <w:t>.</w:t>
      </w:r>
    </w:p>
    <w:p w:rsidR="004E4ADF" w:rsidRPr="004E4ADF" w:rsidRDefault="00812D70" w:rsidP="004E4ADF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E4ADF">
        <w:rPr>
          <w:color w:val="000000"/>
          <w:sz w:val="28"/>
          <w:szCs w:val="28"/>
        </w:rPr>
        <w:t>.3</w:t>
      </w:r>
      <w:r w:rsidR="004E4ADF" w:rsidRPr="001E21CF">
        <w:rPr>
          <w:color w:val="000000"/>
          <w:sz w:val="28"/>
          <w:szCs w:val="28"/>
        </w:rPr>
        <w:t xml:space="preserve">. </w:t>
      </w:r>
      <w:r w:rsidR="006F2C90">
        <w:rPr>
          <w:color w:val="000000"/>
          <w:sz w:val="28"/>
          <w:szCs w:val="28"/>
        </w:rPr>
        <w:t xml:space="preserve">У </w:t>
      </w:r>
      <w:r w:rsidR="004E4ADF">
        <w:rPr>
          <w:color w:val="000000"/>
          <w:sz w:val="28"/>
          <w:szCs w:val="28"/>
        </w:rPr>
        <w:t>пункті 5</w:t>
      </w:r>
      <w:r w:rsidR="006B1169">
        <w:rPr>
          <w:color w:val="000000"/>
          <w:sz w:val="28"/>
          <w:szCs w:val="28"/>
        </w:rPr>
        <w:t xml:space="preserve"> додатка 2 до рішення</w:t>
      </w:r>
      <w:r w:rsidR="004E4ADF" w:rsidRPr="00E938F6">
        <w:rPr>
          <w:color w:val="000000"/>
          <w:sz w:val="28"/>
          <w:szCs w:val="28"/>
        </w:rPr>
        <w:t xml:space="preserve"> </w:t>
      </w:r>
      <w:r w:rsidR="006F2C90">
        <w:rPr>
          <w:color w:val="000000"/>
          <w:sz w:val="28"/>
          <w:szCs w:val="28"/>
        </w:rPr>
        <w:t>П</w:t>
      </w:r>
      <w:r w:rsidR="004E4ADF" w:rsidRPr="00E938F6">
        <w:rPr>
          <w:color w:val="000000"/>
          <w:sz w:val="28"/>
          <w:szCs w:val="28"/>
        </w:rPr>
        <w:t>ереліку другого типу об’єктів оренди, які підлягають передачі в оренду  без проведення аукціону</w:t>
      </w:r>
      <w:r w:rsidR="006B1169">
        <w:rPr>
          <w:color w:val="000000"/>
          <w:sz w:val="28"/>
          <w:szCs w:val="28"/>
        </w:rPr>
        <w:t xml:space="preserve">, слова </w:t>
      </w:r>
      <w:r w:rsidR="006B1169" w:rsidRPr="0021625F">
        <w:rPr>
          <w:color w:val="000000"/>
          <w:sz w:val="28"/>
          <w:szCs w:val="28"/>
        </w:rPr>
        <w:t>„</w:t>
      </w:r>
      <w:r w:rsidR="004E4ADF" w:rsidRPr="004E4ADF">
        <w:rPr>
          <w:sz w:val="28"/>
          <w:szCs w:val="28"/>
        </w:rPr>
        <w:t>Нежитлові приміщення на третьому та п’ятому поверхах адміністративної будівлі</w:t>
      </w:r>
      <w:r w:rsidR="006B1169" w:rsidRPr="0021625F">
        <w:rPr>
          <w:color w:val="000000"/>
          <w:sz w:val="28"/>
          <w:szCs w:val="28"/>
        </w:rPr>
        <w:t>”</w:t>
      </w:r>
      <w:r w:rsidR="004E4ADF" w:rsidRPr="004E4ADF">
        <w:rPr>
          <w:sz w:val="28"/>
          <w:szCs w:val="28"/>
        </w:rPr>
        <w:t xml:space="preserve"> </w:t>
      </w:r>
      <w:r w:rsidR="004E4ADF" w:rsidRPr="00E938F6">
        <w:rPr>
          <w:sz w:val="28"/>
          <w:szCs w:val="28"/>
        </w:rPr>
        <w:t>замінити словами</w:t>
      </w:r>
      <w:r w:rsidR="004E4ADF" w:rsidRPr="004E4ADF">
        <w:rPr>
          <w:sz w:val="28"/>
          <w:szCs w:val="28"/>
        </w:rPr>
        <w:t xml:space="preserve"> </w:t>
      </w:r>
      <w:r w:rsidR="006B1169" w:rsidRPr="0021625F">
        <w:rPr>
          <w:color w:val="000000"/>
          <w:sz w:val="28"/>
          <w:szCs w:val="28"/>
        </w:rPr>
        <w:t>„</w:t>
      </w:r>
      <w:r w:rsidR="004E4ADF" w:rsidRPr="004E4ADF">
        <w:rPr>
          <w:sz w:val="28"/>
          <w:szCs w:val="28"/>
        </w:rPr>
        <w:t>Нежитлові приміщення на третьому</w:t>
      </w:r>
      <w:r w:rsidR="004E4ADF">
        <w:rPr>
          <w:sz w:val="28"/>
          <w:szCs w:val="28"/>
        </w:rPr>
        <w:t>, четвертому</w:t>
      </w:r>
      <w:r w:rsidR="004E4ADF" w:rsidRPr="004E4ADF">
        <w:rPr>
          <w:sz w:val="28"/>
          <w:szCs w:val="28"/>
        </w:rPr>
        <w:t xml:space="preserve"> та п’ятому поверхах адміністративної будівлі</w:t>
      </w:r>
      <w:r w:rsidR="006B1169" w:rsidRPr="0021625F">
        <w:rPr>
          <w:color w:val="000000"/>
          <w:sz w:val="28"/>
          <w:szCs w:val="28"/>
        </w:rPr>
        <w:t>”</w:t>
      </w:r>
      <w:r w:rsidR="006B1169">
        <w:rPr>
          <w:color w:val="000000"/>
          <w:sz w:val="28"/>
          <w:szCs w:val="28"/>
        </w:rPr>
        <w:t>.</w:t>
      </w:r>
    </w:p>
    <w:p w:rsidR="004E4ADF" w:rsidRPr="004E4ADF" w:rsidRDefault="00812D70" w:rsidP="004E4ADF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4E4ADF">
        <w:rPr>
          <w:color w:val="000000"/>
          <w:sz w:val="28"/>
          <w:szCs w:val="28"/>
        </w:rPr>
        <w:t>.4</w:t>
      </w:r>
      <w:r w:rsidR="004E4ADF" w:rsidRPr="001E21CF">
        <w:rPr>
          <w:color w:val="000000"/>
          <w:sz w:val="28"/>
          <w:szCs w:val="28"/>
        </w:rPr>
        <w:t xml:space="preserve">. </w:t>
      </w:r>
      <w:r w:rsidR="006F2C90">
        <w:rPr>
          <w:color w:val="000000"/>
          <w:sz w:val="28"/>
          <w:szCs w:val="28"/>
        </w:rPr>
        <w:t>У</w:t>
      </w:r>
      <w:r w:rsidR="004E4ADF">
        <w:rPr>
          <w:color w:val="000000"/>
          <w:sz w:val="28"/>
          <w:szCs w:val="28"/>
        </w:rPr>
        <w:t xml:space="preserve"> пункті 9 додатка 1</w:t>
      </w:r>
      <w:r w:rsidR="006B1169">
        <w:rPr>
          <w:color w:val="000000"/>
          <w:sz w:val="28"/>
          <w:szCs w:val="28"/>
        </w:rPr>
        <w:t xml:space="preserve"> до рішення</w:t>
      </w:r>
      <w:r w:rsidR="004E4ADF" w:rsidRPr="00E938F6">
        <w:rPr>
          <w:color w:val="000000"/>
          <w:sz w:val="28"/>
          <w:szCs w:val="28"/>
        </w:rPr>
        <w:t xml:space="preserve"> </w:t>
      </w:r>
      <w:r w:rsidR="006F2C90">
        <w:rPr>
          <w:color w:val="000000"/>
          <w:sz w:val="28"/>
          <w:szCs w:val="28"/>
        </w:rPr>
        <w:t>П</w:t>
      </w:r>
      <w:r w:rsidR="004E4ADF">
        <w:rPr>
          <w:color w:val="000000"/>
          <w:sz w:val="28"/>
          <w:szCs w:val="28"/>
        </w:rPr>
        <w:t>ереліку першого типу об’єктів оренди, я</w:t>
      </w:r>
      <w:r w:rsidR="006B1169">
        <w:rPr>
          <w:color w:val="000000"/>
          <w:sz w:val="28"/>
          <w:szCs w:val="28"/>
        </w:rPr>
        <w:t>кі підлягають передачі в оренду</w:t>
      </w:r>
      <w:r w:rsidR="004E4ADF">
        <w:rPr>
          <w:color w:val="000000"/>
          <w:sz w:val="28"/>
          <w:szCs w:val="28"/>
        </w:rPr>
        <w:t xml:space="preserve"> шляхом проведення аукціону</w:t>
      </w:r>
      <w:r w:rsidR="006B1169">
        <w:rPr>
          <w:color w:val="000000"/>
          <w:sz w:val="28"/>
          <w:szCs w:val="28"/>
        </w:rPr>
        <w:t xml:space="preserve">, слова </w:t>
      </w:r>
      <w:r w:rsidR="006B1169" w:rsidRPr="0021625F">
        <w:rPr>
          <w:color w:val="000000"/>
          <w:sz w:val="28"/>
          <w:szCs w:val="28"/>
        </w:rPr>
        <w:t>„</w:t>
      </w:r>
      <w:r w:rsidR="004E4ADF">
        <w:rPr>
          <w:sz w:val="28"/>
          <w:szCs w:val="28"/>
        </w:rPr>
        <w:t>Нежитлове</w:t>
      </w:r>
      <w:r w:rsidR="004E4ADF" w:rsidRPr="004E4ADF">
        <w:rPr>
          <w:sz w:val="28"/>
          <w:szCs w:val="28"/>
        </w:rPr>
        <w:t xml:space="preserve"> приміщення на </w:t>
      </w:r>
      <w:r w:rsidR="004E4ADF">
        <w:rPr>
          <w:sz w:val="28"/>
          <w:szCs w:val="28"/>
        </w:rPr>
        <w:t>першому поверсі</w:t>
      </w:r>
      <w:r w:rsidR="004E4ADF" w:rsidRPr="004E4ADF">
        <w:rPr>
          <w:sz w:val="28"/>
          <w:szCs w:val="28"/>
        </w:rPr>
        <w:t xml:space="preserve"> адміністративної будівлі</w:t>
      </w:r>
      <w:r w:rsidR="006B1169" w:rsidRPr="0021625F">
        <w:rPr>
          <w:color w:val="000000"/>
          <w:sz w:val="28"/>
          <w:szCs w:val="28"/>
        </w:rPr>
        <w:t>”</w:t>
      </w:r>
      <w:r w:rsidR="004E4ADF" w:rsidRPr="004E4ADF">
        <w:rPr>
          <w:sz w:val="28"/>
          <w:szCs w:val="28"/>
        </w:rPr>
        <w:t xml:space="preserve"> </w:t>
      </w:r>
      <w:r w:rsidR="004E4ADF" w:rsidRPr="00E938F6">
        <w:rPr>
          <w:sz w:val="28"/>
          <w:szCs w:val="28"/>
        </w:rPr>
        <w:t>замінити словами</w:t>
      </w:r>
      <w:r w:rsidR="004E4ADF" w:rsidRPr="004E4ADF">
        <w:rPr>
          <w:sz w:val="28"/>
          <w:szCs w:val="28"/>
        </w:rPr>
        <w:t xml:space="preserve"> </w:t>
      </w:r>
      <w:r w:rsidR="006B1169" w:rsidRPr="0021625F">
        <w:rPr>
          <w:color w:val="000000"/>
          <w:sz w:val="28"/>
          <w:szCs w:val="28"/>
        </w:rPr>
        <w:t>„</w:t>
      </w:r>
      <w:r w:rsidR="004E4ADF">
        <w:rPr>
          <w:sz w:val="28"/>
          <w:szCs w:val="28"/>
        </w:rPr>
        <w:t>Нежитлове</w:t>
      </w:r>
      <w:r w:rsidR="004E4ADF" w:rsidRPr="004E4ADF">
        <w:rPr>
          <w:sz w:val="28"/>
          <w:szCs w:val="28"/>
        </w:rPr>
        <w:t xml:space="preserve"> приміщення на третьому</w:t>
      </w:r>
      <w:r w:rsidR="004E4ADF">
        <w:rPr>
          <w:sz w:val="28"/>
          <w:szCs w:val="28"/>
        </w:rPr>
        <w:t xml:space="preserve"> поверсі</w:t>
      </w:r>
      <w:r w:rsidR="004E4ADF" w:rsidRPr="004E4ADF">
        <w:rPr>
          <w:sz w:val="28"/>
          <w:szCs w:val="28"/>
        </w:rPr>
        <w:t xml:space="preserve"> адміністративної будівлі</w:t>
      </w:r>
      <w:r w:rsidR="006B1169" w:rsidRPr="0021625F">
        <w:rPr>
          <w:color w:val="000000"/>
          <w:sz w:val="28"/>
          <w:szCs w:val="28"/>
        </w:rPr>
        <w:t>”</w:t>
      </w:r>
      <w:r w:rsidR="004E4ADF">
        <w:rPr>
          <w:sz w:val="28"/>
          <w:szCs w:val="28"/>
        </w:rPr>
        <w:t>.</w:t>
      </w:r>
      <w:r w:rsidR="004E4ADF" w:rsidRPr="004E4ADF">
        <w:rPr>
          <w:sz w:val="28"/>
          <w:szCs w:val="28"/>
        </w:rPr>
        <w:t xml:space="preserve"> </w:t>
      </w:r>
    </w:p>
    <w:p w:rsidR="003416B5" w:rsidRDefault="003416B5" w:rsidP="001C31C9">
      <w:pPr>
        <w:ind w:right="-25" w:firstLine="700"/>
        <w:jc w:val="both"/>
        <w:rPr>
          <w:color w:val="000000"/>
          <w:sz w:val="28"/>
          <w:szCs w:val="28"/>
        </w:rPr>
      </w:pPr>
    </w:p>
    <w:p w:rsidR="007F093D" w:rsidRDefault="00812D70" w:rsidP="005E37E3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37E3">
        <w:rPr>
          <w:sz w:val="28"/>
          <w:szCs w:val="28"/>
        </w:rPr>
        <w:t xml:space="preserve">. Контроль за виконанням цього рішення покласти на постійну комісію обласної ради з питань </w:t>
      </w:r>
      <w:r w:rsidR="005E37E3">
        <w:rPr>
          <w:iCs/>
          <w:sz w:val="28"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="005E37E3">
        <w:rPr>
          <w:sz w:val="28"/>
          <w:szCs w:val="28"/>
        </w:rPr>
        <w:t>.</w:t>
      </w:r>
    </w:p>
    <w:p w:rsidR="005E37E3" w:rsidRDefault="005E37E3" w:rsidP="005E37E3">
      <w:pPr>
        <w:ind w:right="-25" w:firstLine="700"/>
        <w:jc w:val="both"/>
        <w:rPr>
          <w:sz w:val="16"/>
          <w:szCs w:val="16"/>
        </w:rPr>
      </w:pPr>
    </w:p>
    <w:p w:rsidR="006916CE" w:rsidRDefault="006916CE" w:rsidP="005E37E3">
      <w:pPr>
        <w:ind w:right="-25" w:firstLine="700"/>
        <w:jc w:val="both"/>
        <w:rPr>
          <w:sz w:val="16"/>
          <w:szCs w:val="16"/>
        </w:rPr>
      </w:pPr>
    </w:p>
    <w:p w:rsidR="006916CE" w:rsidRDefault="006916CE" w:rsidP="005E37E3">
      <w:pPr>
        <w:ind w:right="-25" w:firstLine="700"/>
        <w:jc w:val="both"/>
        <w:rPr>
          <w:sz w:val="16"/>
          <w:szCs w:val="16"/>
        </w:rPr>
      </w:pPr>
    </w:p>
    <w:p w:rsidR="006916CE" w:rsidRDefault="006916CE" w:rsidP="005E37E3">
      <w:pPr>
        <w:ind w:right="-25" w:firstLine="700"/>
        <w:jc w:val="both"/>
        <w:rPr>
          <w:sz w:val="16"/>
          <w:szCs w:val="16"/>
        </w:rPr>
      </w:pPr>
    </w:p>
    <w:p w:rsidR="006916CE" w:rsidRDefault="006916CE" w:rsidP="005E37E3">
      <w:pPr>
        <w:ind w:right="-25" w:firstLine="700"/>
        <w:jc w:val="both"/>
        <w:rPr>
          <w:sz w:val="16"/>
          <w:szCs w:val="16"/>
        </w:rPr>
      </w:pPr>
    </w:p>
    <w:p w:rsidR="006916CE" w:rsidRDefault="006916CE" w:rsidP="005E37E3">
      <w:pPr>
        <w:ind w:right="-25" w:firstLine="700"/>
        <w:jc w:val="both"/>
        <w:rPr>
          <w:sz w:val="16"/>
          <w:szCs w:val="16"/>
        </w:rPr>
      </w:pPr>
    </w:p>
    <w:p w:rsidR="006916CE" w:rsidRDefault="006916CE" w:rsidP="005E37E3">
      <w:pPr>
        <w:ind w:right="-25" w:firstLine="700"/>
        <w:jc w:val="both"/>
        <w:rPr>
          <w:sz w:val="16"/>
          <w:szCs w:val="16"/>
        </w:rPr>
      </w:pPr>
    </w:p>
    <w:p w:rsidR="007619CC" w:rsidRPr="005E37E3" w:rsidRDefault="007619CC" w:rsidP="005E37E3">
      <w:pPr>
        <w:ind w:right="-25" w:firstLine="700"/>
        <w:jc w:val="both"/>
        <w:rPr>
          <w:sz w:val="16"/>
          <w:szCs w:val="16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605D45" w:rsidRDefault="00605D45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605D45" w:rsidRDefault="00605D45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605D45" w:rsidRDefault="00605D45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605D45" w:rsidRDefault="00605D45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605D45" w:rsidRPr="00605D45" w:rsidRDefault="00605D45" w:rsidP="0060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sz w:val="28"/>
          <w:szCs w:val="28"/>
          <w:lang w:val="en-US" w:eastAsia="ar-SA"/>
        </w:rPr>
      </w:pPr>
      <w:r w:rsidRPr="00605D45">
        <w:rPr>
          <w:rFonts w:eastAsia="Arial Unicode MS"/>
          <w:color w:val="000000"/>
          <w:sz w:val="28"/>
          <w:szCs w:val="28"/>
          <w:lang w:eastAsia="ar-SA"/>
        </w:rPr>
        <w:t>№ 1</w:t>
      </w:r>
      <w:r>
        <w:rPr>
          <w:rFonts w:eastAsia="Arial Unicode MS"/>
          <w:color w:val="000000"/>
          <w:sz w:val="28"/>
          <w:szCs w:val="28"/>
          <w:lang w:eastAsia="ar-SA"/>
        </w:rPr>
        <w:t>84</w:t>
      </w:r>
      <w:bookmarkStart w:id="0" w:name="_GoBack"/>
      <w:bookmarkEnd w:id="0"/>
      <w:r w:rsidRPr="00605D45">
        <w:rPr>
          <w:rFonts w:eastAsia="Arial Unicode MS"/>
          <w:color w:val="000000"/>
          <w:sz w:val="28"/>
          <w:szCs w:val="28"/>
          <w:lang w:eastAsia="ar-SA"/>
        </w:rPr>
        <w:t>-11/</w:t>
      </w:r>
      <w:r w:rsidRPr="00605D45">
        <w:rPr>
          <w:rFonts w:eastAsia="Arial Unicode MS"/>
          <w:color w:val="000000"/>
          <w:sz w:val="28"/>
          <w:szCs w:val="28"/>
          <w:lang w:val="en-US" w:eastAsia="ar-SA"/>
        </w:rPr>
        <w:t>VIII</w:t>
      </w:r>
    </w:p>
    <w:p w:rsidR="00605D45" w:rsidRPr="00605D45" w:rsidRDefault="00605D45" w:rsidP="0060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sz w:val="22"/>
          <w:szCs w:val="22"/>
          <w:lang w:val="en-US" w:eastAsia="ar-SA"/>
        </w:rPr>
      </w:pPr>
      <w:r w:rsidRPr="00605D45">
        <w:rPr>
          <w:rFonts w:eastAsia="Arial Unicode MS"/>
          <w:color w:val="000000"/>
          <w:sz w:val="28"/>
          <w:szCs w:val="28"/>
          <w:lang w:val="en-US" w:eastAsia="ar-SA"/>
        </w:rPr>
        <w:t>13.05.2022</w:t>
      </w:r>
    </w:p>
    <w:p w:rsidR="00605D45" w:rsidRPr="0004570C" w:rsidRDefault="00605D45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sectPr w:rsidR="00605D45" w:rsidRPr="0004570C" w:rsidSect="00133A55">
      <w:headerReference w:type="even" r:id="rId8"/>
      <w:headerReference w:type="default" r:id="rId9"/>
      <w:headerReference w:type="first" r:id="rId10"/>
      <w:pgSz w:w="11906" w:h="16838"/>
      <w:pgMar w:top="1418" w:right="1191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1" w:rsidRDefault="00394BA1">
      <w:r>
        <w:separator/>
      </w:r>
    </w:p>
  </w:endnote>
  <w:endnote w:type="continuationSeparator" w:id="0">
    <w:p w:rsidR="00394BA1" w:rsidRDefault="0039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1" w:rsidRDefault="00394BA1">
      <w:r>
        <w:separator/>
      </w:r>
    </w:p>
  </w:footnote>
  <w:footnote w:type="continuationSeparator" w:id="0">
    <w:p w:rsidR="00394BA1" w:rsidRDefault="0039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605D45" w:rsidRPr="00605D45">
          <w:rPr>
            <w:noProof/>
            <w:sz w:val="28"/>
            <w:szCs w:val="28"/>
            <w:lang w:val="ru-RU"/>
          </w:rPr>
          <w:t>3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403E4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FFA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6FB5"/>
    <w:rsid w:val="000F2A05"/>
    <w:rsid w:val="000F5B86"/>
    <w:rsid w:val="000F5BC6"/>
    <w:rsid w:val="000F645B"/>
    <w:rsid w:val="000F64AA"/>
    <w:rsid w:val="001005C1"/>
    <w:rsid w:val="001074DF"/>
    <w:rsid w:val="001104CD"/>
    <w:rsid w:val="00112027"/>
    <w:rsid w:val="00114AC8"/>
    <w:rsid w:val="001213F8"/>
    <w:rsid w:val="00123A5C"/>
    <w:rsid w:val="0012440A"/>
    <w:rsid w:val="00132455"/>
    <w:rsid w:val="00133A55"/>
    <w:rsid w:val="00133DF9"/>
    <w:rsid w:val="001357DC"/>
    <w:rsid w:val="00142FFB"/>
    <w:rsid w:val="001432BF"/>
    <w:rsid w:val="00143612"/>
    <w:rsid w:val="0014371F"/>
    <w:rsid w:val="0015140F"/>
    <w:rsid w:val="00160210"/>
    <w:rsid w:val="0016609E"/>
    <w:rsid w:val="00167312"/>
    <w:rsid w:val="00167893"/>
    <w:rsid w:val="00170AC0"/>
    <w:rsid w:val="00171A98"/>
    <w:rsid w:val="00172165"/>
    <w:rsid w:val="00173FA6"/>
    <w:rsid w:val="0017660F"/>
    <w:rsid w:val="00182044"/>
    <w:rsid w:val="001867D2"/>
    <w:rsid w:val="00186C62"/>
    <w:rsid w:val="0019100E"/>
    <w:rsid w:val="00191672"/>
    <w:rsid w:val="00193673"/>
    <w:rsid w:val="001A29C9"/>
    <w:rsid w:val="001A4ADB"/>
    <w:rsid w:val="001A6688"/>
    <w:rsid w:val="001B55CF"/>
    <w:rsid w:val="001B5BE1"/>
    <w:rsid w:val="001C099C"/>
    <w:rsid w:val="001C3109"/>
    <w:rsid w:val="001C31C9"/>
    <w:rsid w:val="001C5BD2"/>
    <w:rsid w:val="001D01A3"/>
    <w:rsid w:val="001D0B7A"/>
    <w:rsid w:val="001D3937"/>
    <w:rsid w:val="001D5AFD"/>
    <w:rsid w:val="001D7097"/>
    <w:rsid w:val="001E21CF"/>
    <w:rsid w:val="001E3538"/>
    <w:rsid w:val="001E68F2"/>
    <w:rsid w:val="001E6F60"/>
    <w:rsid w:val="001F252D"/>
    <w:rsid w:val="001F286A"/>
    <w:rsid w:val="001F305B"/>
    <w:rsid w:val="001F7872"/>
    <w:rsid w:val="002054CD"/>
    <w:rsid w:val="00211229"/>
    <w:rsid w:val="002112E2"/>
    <w:rsid w:val="00211DB9"/>
    <w:rsid w:val="0021625F"/>
    <w:rsid w:val="00217430"/>
    <w:rsid w:val="00217C3F"/>
    <w:rsid w:val="002274F9"/>
    <w:rsid w:val="00234EF3"/>
    <w:rsid w:val="00237E76"/>
    <w:rsid w:val="00241F8E"/>
    <w:rsid w:val="00257540"/>
    <w:rsid w:val="00263740"/>
    <w:rsid w:val="002652B2"/>
    <w:rsid w:val="0027109D"/>
    <w:rsid w:val="00274B0E"/>
    <w:rsid w:val="0028181D"/>
    <w:rsid w:val="002851CD"/>
    <w:rsid w:val="002878A8"/>
    <w:rsid w:val="002A017E"/>
    <w:rsid w:val="002A1ED5"/>
    <w:rsid w:val="002A5AEB"/>
    <w:rsid w:val="002B0557"/>
    <w:rsid w:val="002B0788"/>
    <w:rsid w:val="002B4213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30447"/>
    <w:rsid w:val="00330A93"/>
    <w:rsid w:val="00331F99"/>
    <w:rsid w:val="00335D5B"/>
    <w:rsid w:val="003410D7"/>
    <w:rsid w:val="003416B5"/>
    <w:rsid w:val="00343F8C"/>
    <w:rsid w:val="0034562E"/>
    <w:rsid w:val="003466E2"/>
    <w:rsid w:val="0035762C"/>
    <w:rsid w:val="00362072"/>
    <w:rsid w:val="00364799"/>
    <w:rsid w:val="00365AB3"/>
    <w:rsid w:val="00366C7E"/>
    <w:rsid w:val="00370238"/>
    <w:rsid w:val="00386745"/>
    <w:rsid w:val="00391C38"/>
    <w:rsid w:val="00394BA1"/>
    <w:rsid w:val="003A2667"/>
    <w:rsid w:val="003A7B81"/>
    <w:rsid w:val="003B6147"/>
    <w:rsid w:val="003C092C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1D3D"/>
    <w:rsid w:val="0042631D"/>
    <w:rsid w:val="00426A7E"/>
    <w:rsid w:val="004305F8"/>
    <w:rsid w:val="00436787"/>
    <w:rsid w:val="00443C0B"/>
    <w:rsid w:val="004448F5"/>
    <w:rsid w:val="00446A79"/>
    <w:rsid w:val="00446DAB"/>
    <w:rsid w:val="0045072C"/>
    <w:rsid w:val="0045611C"/>
    <w:rsid w:val="004619B4"/>
    <w:rsid w:val="0046427B"/>
    <w:rsid w:val="004642E9"/>
    <w:rsid w:val="0046487C"/>
    <w:rsid w:val="00464D0A"/>
    <w:rsid w:val="0046778D"/>
    <w:rsid w:val="0047114D"/>
    <w:rsid w:val="004A0AD0"/>
    <w:rsid w:val="004A1420"/>
    <w:rsid w:val="004A4603"/>
    <w:rsid w:val="004A561B"/>
    <w:rsid w:val="004A6B57"/>
    <w:rsid w:val="004B3FE2"/>
    <w:rsid w:val="004C15F3"/>
    <w:rsid w:val="004C2A05"/>
    <w:rsid w:val="004C429A"/>
    <w:rsid w:val="004C71C0"/>
    <w:rsid w:val="004D11D5"/>
    <w:rsid w:val="004D3408"/>
    <w:rsid w:val="004D4675"/>
    <w:rsid w:val="004D50DA"/>
    <w:rsid w:val="004E220B"/>
    <w:rsid w:val="004E4592"/>
    <w:rsid w:val="004E4ADF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14572"/>
    <w:rsid w:val="00517F5E"/>
    <w:rsid w:val="0052064E"/>
    <w:rsid w:val="00523C47"/>
    <w:rsid w:val="00525AFE"/>
    <w:rsid w:val="00531A8E"/>
    <w:rsid w:val="00533803"/>
    <w:rsid w:val="00535756"/>
    <w:rsid w:val="00535F2B"/>
    <w:rsid w:val="0054680A"/>
    <w:rsid w:val="005506A3"/>
    <w:rsid w:val="00554D23"/>
    <w:rsid w:val="00563CB3"/>
    <w:rsid w:val="0057062E"/>
    <w:rsid w:val="005778E8"/>
    <w:rsid w:val="00582D21"/>
    <w:rsid w:val="00584225"/>
    <w:rsid w:val="005859D2"/>
    <w:rsid w:val="005A1EBD"/>
    <w:rsid w:val="005A3023"/>
    <w:rsid w:val="005A5353"/>
    <w:rsid w:val="005B13B5"/>
    <w:rsid w:val="005B1A7D"/>
    <w:rsid w:val="005B4287"/>
    <w:rsid w:val="005C45C9"/>
    <w:rsid w:val="005D562C"/>
    <w:rsid w:val="005D574A"/>
    <w:rsid w:val="005E37E3"/>
    <w:rsid w:val="005F7CE4"/>
    <w:rsid w:val="0060146B"/>
    <w:rsid w:val="006021C2"/>
    <w:rsid w:val="006043C5"/>
    <w:rsid w:val="00605D45"/>
    <w:rsid w:val="00613AAC"/>
    <w:rsid w:val="006233E5"/>
    <w:rsid w:val="00623AE3"/>
    <w:rsid w:val="00623FF0"/>
    <w:rsid w:val="00624C51"/>
    <w:rsid w:val="00625ACB"/>
    <w:rsid w:val="006300EF"/>
    <w:rsid w:val="006311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70E45"/>
    <w:rsid w:val="00681EA2"/>
    <w:rsid w:val="00690611"/>
    <w:rsid w:val="006916CE"/>
    <w:rsid w:val="00691BAE"/>
    <w:rsid w:val="0069316E"/>
    <w:rsid w:val="00697628"/>
    <w:rsid w:val="006A2933"/>
    <w:rsid w:val="006A306B"/>
    <w:rsid w:val="006A7A11"/>
    <w:rsid w:val="006A7E22"/>
    <w:rsid w:val="006B1169"/>
    <w:rsid w:val="006B294B"/>
    <w:rsid w:val="006B686B"/>
    <w:rsid w:val="006B6C94"/>
    <w:rsid w:val="006C1790"/>
    <w:rsid w:val="006C2D72"/>
    <w:rsid w:val="006C384C"/>
    <w:rsid w:val="006C6800"/>
    <w:rsid w:val="006C7875"/>
    <w:rsid w:val="006C7FE5"/>
    <w:rsid w:val="006D1BA9"/>
    <w:rsid w:val="006D42A9"/>
    <w:rsid w:val="006D5C10"/>
    <w:rsid w:val="006D62D8"/>
    <w:rsid w:val="006E5FF6"/>
    <w:rsid w:val="006F243B"/>
    <w:rsid w:val="006F2C90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5AF0"/>
    <w:rsid w:val="00747C27"/>
    <w:rsid w:val="00751161"/>
    <w:rsid w:val="00751314"/>
    <w:rsid w:val="00756536"/>
    <w:rsid w:val="00757BA6"/>
    <w:rsid w:val="00761751"/>
    <w:rsid w:val="007619CC"/>
    <w:rsid w:val="00761FE7"/>
    <w:rsid w:val="00763463"/>
    <w:rsid w:val="00774FB8"/>
    <w:rsid w:val="007805F3"/>
    <w:rsid w:val="00782B50"/>
    <w:rsid w:val="00791CEB"/>
    <w:rsid w:val="007C098E"/>
    <w:rsid w:val="007C44D1"/>
    <w:rsid w:val="007C5174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4202"/>
    <w:rsid w:val="00805200"/>
    <w:rsid w:val="00810211"/>
    <w:rsid w:val="00812D70"/>
    <w:rsid w:val="00812D78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3FF9"/>
    <w:rsid w:val="00853477"/>
    <w:rsid w:val="00857097"/>
    <w:rsid w:val="00857BEA"/>
    <w:rsid w:val="00860594"/>
    <w:rsid w:val="0086150C"/>
    <w:rsid w:val="00862E9F"/>
    <w:rsid w:val="00864485"/>
    <w:rsid w:val="00865095"/>
    <w:rsid w:val="008752E9"/>
    <w:rsid w:val="008810C1"/>
    <w:rsid w:val="008856E6"/>
    <w:rsid w:val="008910AA"/>
    <w:rsid w:val="0089233D"/>
    <w:rsid w:val="008957F0"/>
    <w:rsid w:val="008A3770"/>
    <w:rsid w:val="008A4CD1"/>
    <w:rsid w:val="008A6E15"/>
    <w:rsid w:val="008B0D83"/>
    <w:rsid w:val="008B407B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E7566"/>
    <w:rsid w:val="008F067B"/>
    <w:rsid w:val="008F455B"/>
    <w:rsid w:val="008F509B"/>
    <w:rsid w:val="008F61A5"/>
    <w:rsid w:val="00900FFF"/>
    <w:rsid w:val="00902350"/>
    <w:rsid w:val="00902DA8"/>
    <w:rsid w:val="009070A3"/>
    <w:rsid w:val="00911D7F"/>
    <w:rsid w:val="00912AAD"/>
    <w:rsid w:val="00913208"/>
    <w:rsid w:val="00913F7A"/>
    <w:rsid w:val="009158BE"/>
    <w:rsid w:val="00917D0A"/>
    <w:rsid w:val="00920D87"/>
    <w:rsid w:val="00922DCA"/>
    <w:rsid w:val="00925A46"/>
    <w:rsid w:val="009301A1"/>
    <w:rsid w:val="009307AC"/>
    <w:rsid w:val="00930F14"/>
    <w:rsid w:val="009332AF"/>
    <w:rsid w:val="00935732"/>
    <w:rsid w:val="00940F95"/>
    <w:rsid w:val="00944A9C"/>
    <w:rsid w:val="00945A53"/>
    <w:rsid w:val="009472C9"/>
    <w:rsid w:val="00951DA3"/>
    <w:rsid w:val="00956EF0"/>
    <w:rsid w:val="00957F0F"/>
    <w:rsid w:val="0096269A"/>
    <w:rsid w:val="00963E54"/>
    <w:rsid w:val="00970E73"/>
    <w:rsid w:val="00970FD7"/>
    <w:rsid w:val="00974259"/>
    <w:rsid w:val="00976E36"/>
    <w:rsid w:val="00981CDF"/>
    <w:rsid w:val="00984E59"/>
    <w:rsid w:val="00995E4A"/>
    <w:rsid w:val="009A3898"/>
    <w:rsid w:val="009B1616"/>
    <w:rsid w:val="009C00AC"/>
    <w:rsid w:val="009C7A9B"/>
    <w:rsid w:val="009D29BE"/>
    <w:rsid w:val="009D38F0"/>
    <w:rsid w:val="009E0C38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4905"/>
    <w:rsid w:val="00A05163"/>
    <w:rsid w:val="00A1201F"/>
    <w:rsid w:val="00A13CC5"/>
    <w:rsid w:val="00A13D6F"/>
    <w:rsid w:val="00A16071"/>
    <w:rsid w:val="00A16072"/>
    <w:rsid w:val="00A205B5"/>
    <w:rsid w:val="00A2086A"/>
    <w:rsid w:val="00A21666"/>
    <w:rsid w:val="00A221E7"/>
    <w:rsid w:val="00A243D2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62792"/>
    <w:rsid w:val="00A7059F"/>
    <w:rsid w:val="00A74277"/>
    <w:rsid w:val="00A753AB"/>
    <w:rsid w:val="00A75670"/>
    <w:rsid w:val="00A757BF"/>
    <w:rsid w:val="00A77200"/>
    <w:rsid w:val="00A77234"/>
    <w:rsid w:val="00A8335A"/>
    <w:rsid w:val="00A86B31"/>
    <w:rsid w:val="00A9217E"/>
    <w:rsid w:val="00AA0179"/>
    <w:rsid w:val="00AA09DE"/>
    <w:rsid w:val="00AB4E1B"/>
    <w:rsid w:val="00AC7628"/>
    <w:rsid w:val="00AC7694"/>
    <w:rsid w:val="00AC7D9E"/>
    <w:rsid w:val="00AD0035"/>
    <w:rsid w:val="00AD2CB4"/>
    <w:rsid w:val="00AD751A"/>
    <w:rsid w:val="00AE42B3"/>
    <w:rsid w:val="00B10220"/>
    <w:rsid w:val="00B10D5F"/>
    <w:rsid w:val="00B12F4F"/>
    <w:rsid w:val="00B13236"/>
    <w:rsid w:val="00B1632E"/>
    <w:rsid w:val="00B16FB5"/>
    <w:rsid w:val="00B17922"/>
    <w:rsid w:val="00B21BEF"/>
    <w:rsid w:val="00B24671"/>
    <w:rsid w:val="00B30A0F"/>
    <w:rsid w:val="00B34758"/>
    <w:rsid w:val="00B35D24"/>
    <w:rsid w:val="00B37EDC"/>
    <w:rsid w:val="00B45AD8"/>
    <w:rsid w:val="00B45C02"/>
    <w:rsid w:val="00B47971"/>
    <w:rsid w:val="00B52073"/>
    <w:rsid w:val="00B56227"/>
    <w:rsid w:val="00B6085C"/>
    <w:rsid w:val="00B60C52"/>
    <w:rsid w:val="00B64361"/>
    <w:rsid w:val="00B66BAB"/>
    <w:rsid w:val="00B670BA"/>
    <w:rsid w:val="00B70CF9"/>
    <w:rsid w:val="00B74A19"/>
    <w:rsid w:val="00B769F4"/>
    <w:rsid w:val="00B95163"/>
    <w:rsid w:val="00BA089E"/>
    <w:rsid w:val="00BB072D"/>
    <w:rsid w:val="00BC3FF8"/>
    <w:rsid w:val="00BC62DE"/>
    <w:rsid w:val="00BD02FE"/>
    <w:rsid w:val="00BD1038"/>
    <w:rsid w:val="00BD1DF3"/>
    <w:rsid w:val="00BE29D5"/>
    <w:rsid w:val="00BF6D30"/>
    <w:rsid w:val="00C06A86"/>
    <w:rsid w:val="00C0742F"/>
    <w:rsid w:val="00C16975"/>
    <w:rsid w:val="00C225A9"/>
    <w:rsid w:val="00C25EB7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70246"/>
    <w:rsid w:val="00C712C9"/>
    <w:rsid w:val="00C7323E"/>
    <w:rsid w:val="00C7788F"/>
    <w:rsid w:val="00C8111D"/>
    <w:rsid w:val="00C8144B"/>
    <w:rsid w:val="00C9131C"/>
    <w:rsid w:val="00C91CAD"/>
    <w:rsid w:val="00C93F69"/>
    <w:rsid w:val="00C947F5"/>
    <w:rsid w:val="00CA2783"/>
    <w:rsid w:val="00CA31EC"/>
    <w:rsid w:val="00CA3B41"/>
    <w:rsid w:val="00CB0EB3"/>
    <w:rsid w:val="00CB106B"/>
    <w:rsid w:val="00CC1630"/>
    <w:rsid w:val="00CC1953"/>
    <w:rsid w:val="00CD0B9A"/>
    <w:rsid w:val="00CD5687"/>
    <w:rsid w:val="00CD6305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115"/>
    <w:rsid w:val="00D15B35"/>
    <w:rsid w:val="00D174E7"/>
    <w:rsid w:val="00D244EB"/>
    <w:rsid w:val="00D35714"/>
    <w:rsid w:val="00D420D4"/>
    <w:rsid w:val="00D44610"/>
    <w:rsid w:val="00D543B0"/>
    <w:rsid w:val="00D632C6"/>
    <w:rsid w:val="00D67FEE"/>
    <w:rsid w:val="00D71000"/>
    <w:rsid w:val="00D73C74"/>
    <w:rsid w:val="00D744D3"/>
    <w:rsid w:val="00D8253C"/>
    <w:rsid w:val="00D86C44"/>
    <w:rsid w:val="00D90267"/>
    <w:rsid w:val="00DA0410"/>
    <w:rsid w:val="00DA1AC5"/>
    <w:rsid w:val="00DA531E"/>
    <w:rsid w:val="00DB1FEA"/>
    <w:rsid w:val="00DB2D7E"/>
    <w:rsid w:val="00DB3478"/>
    <w:rsid w:val="00DB6941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306B"/>
    <w:rsid w:val="00E243BA"/>
    <w:rsid w:val="00E273D5"/>
    <w:rsid w:val="00E3742B"/>
    <w:rsid w:val="00E41414"/>
    <w:rsid w:val="00E43A3C"/>
    <w:rsid w:val="00E440E4"/>
    <w:rsid w:val="00E44256"/>
    <w:rsid w:val="00E51E32"/>
    <w:rsid w:val="00E54195"/>
    <w:rsid w:val="00E61D40"/>
    <w:rsid w:val="00E74299"/>
    <w:rsid w:val="00E75590"/>
    <w:rsid w:val="00E84F95"/>
    <w:rsid w:val="00E875BE"/>
    <w:rsid w:val="00E938F6"/>
    <w:rsid w:val="00E94320"/>
    <w:rsid w:val="00E94F37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2424"/>
    <w:rsid w:val="00ED50AA"/>
    <w:rsid w:val="00ED7558"/>
    <w:rsid w:val="00EE32F4"/>
    <w:rsid w:val="00EE3F90"/>
    <w:rsid w:val="00EE681C"/>
    <w:rsid w:val="00EE6FA0"/>
    <w:rsid w:val="00EF0BD9"/>
    <w:rsid w:val="00EF2CA5"/>
    <w:rsid w:val="00EF7B47"/>
    <w:rsid w:val="00F141B1"/>
    <w:rsid w:val="00F156DC"/>
    <w:rsid w:val="00F16C17"/>
    <w:rsid w:val="00F21465"/>
    <w:rsid w:val="00F2153A"/>
    <w:rsid w:val="00F2455C"/>
    <w:rsid w:val="00F31C9B"/>
    <w:rsid w:val="00F33641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D173E"/>
    <w:rsid w:val="00FD73B5"/>
    <w:rsid w:val="00FE2F75"/>
    <w:rsid w:val="00FF138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31C6-97CF-4039-AF38-19FE486A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176</cp:revision>
  <cp:lastPrinted>2022-02-22T09:54:00Z</cp:lastPrinted>
  <dcterms:created xsi:type="dcterms:W3CDTF">2020-05-15T06:59:00Z</dcterms:created>
  <dcterms:modified xsi:type="dcterms:W3CDTF">2022-05-16T12:08:00Z</dcterms:modified>
</cp:coreProperties>
</file>