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46" w:rsidRDefault="00045A19" w:rsidP="00045A19">
      <w:pPr>
        <w:suppressAutoHyphens w:val="0"/>
        <w:ind w:firstLine="595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045A1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Додаток 3</w:t>
      </w:r>
      <w:r w:rsidR="006E6146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6E6146" w:rsidRPr="00B42F42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 додатка </w:t>
      </w:r>
    </w:p>
    <w:p w:rsidR="00045A19" w:rsidRDefault="006E6146" w:rsidP="00045A19">
      <w:pPr>
        <w:suppressAutoHyphens w:val="0"/>
        <w:ind w:firstLine="595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д</w:t>
      </w:r>
      <w:r w:rsidRPr="00B42F42">
        <w:rPr>
          <w:rFonts w:ascii="Times New Roman" w:hAnsi="Times New Roman" w:cs="Times New Roman"/>
          <w:noProof/>
          <w:sz w:val="28"/>
          <w:szCs w:val="28"/>
          <w:lang w:eastAsia="uk-UA"/>
        </w:rPr>
        <w:t>о рішення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045A19" w:rsidRPr="00045A1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обласної</w:t>
      </w:r>
      <w:r w:rsidR="00045A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45A19" w:rsidRPr="00045A19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ради</w:t>
      </w:r>
    </w:p>
    <w:p w:rsidR="00045A19" w:rsidRDefault="00045A19" w:rsidP="00411B22">
      <w:pPr>
        <w:suppressAutoHyphens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1B22" w:rsidRPr="00324C95" w:rsidRDefault="00411B22" w:rsidP="00411B22">
      <w:pPr>
        <w:suppressAutoHyphens w:val="0"/>
        <w:ind w:firstLine="567"/>
        <w:jc w:val="center"/>
      </w:pP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ПАСПОРТ</w:t>
      </w:r>
    </w:p>
    <w:p w:rsidR="00411B22" w:rsidRPr="00324C95" w:rsidRDefault="00411B22" w:rsidP="00411B22">
      <w:pPr>
        <w:suppressAutoHyphens w:val="0"/>
        <w:ind w:firstLine="567"/>
        <w:jc w:val="center"/>
      </w:pPr>
      <w:r w:rsidRPr="00324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регіональної цільової програми</w:t>
      </w:r>
    </w:p>
    <w:p w:rsidR="00411B22" w:rsidRPr="00324C95" w:rsidRDefault="00411B22" w:rsidP="00411B22">
      <w:pPr>
        <w:suppressAutoHyphens w:val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324C95" w:rsidRDefault="00411B22" w:rsidP="000938C2">
      <w:pPr>
        <w:suppressAutoHyphens w:val="0"/>
        <w:ind w:firstLine="709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Назва: </w:t>
      </w:r>
      <w:r w:rsidR="00045A19" w:rsidRP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Регіональн</w:t>
      </w:r>
      <w:r w:rsid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45A19" w:rsidRP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комплексн</w:t>
      </w:r>
      <w:r w:rsid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45A19" w:rsidRP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програм</w:t>
      </w:r>
      <w:r w:rsid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</w:t>
      </w:r>
      <w:r w:rsidR="00045A19" w:rsidRP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профілактики залежностей та їх соціальних наслідків серед дітей у Дніпропетровській області на 2022</w:t>
      </w:r>
      <w:r w:rsidR="00D84000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="00045A19" w:rsidRP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– 2026 роки</w:t>
      </w:r>
      <w:r w:rsidR="00E909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(далі – </w:t>
      </w:r>
      <w:r w:rsidR="00045A1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="00E909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рограма)</w:t>
      </w: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11B22" w:rsidRPr="00B05B58" w:rsidRDefault="00411B22" w:rsidP="000938C2">
      <w:pPr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A05C8" w:rsidRPr="00D53512" w:rsidRDefault="00411B22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0A05C8"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Підстав</w:t>
      </w:r>
      <w:r w:rsidR="009307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0A05C8"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для розроблення: </w:t>
      </w:r>
      <w:r w:rsidR="009307F8">
        <w:rPr>
          <w:rFonts w:ascii="Times New Roman" w:hAnsi="Times New Roman" w:cs="Times New Roman"/>
          <w:sz w:val="28"/>
          <w:szCs w:val="28"/>
        </w:rPr>
        <w:t>з</w:t>
      </w:r>
      <w:r w:rsidR="000A05C8" w:rsidRPr="00045A19">
        <w:rPr>
          <w:rFonts w:ascii="Times New Roman" w:hAnsi="Times New Roman" w:cs="Times New Roman"/>
          <w:sz w:val="28"/>
          <w:szCs w:val="28"/>
        </w:rPr>
        <w:t>акон</w:t>
      </w:r>
      <w:r w:rsidR="000A05C8">
        <w:rPr>
          <w:rFonts w:ascii="Times New Roman" w:hAnsi="Times New Roman" w:cs="Times New Roman"/>
          <w:sz w:val="28"/>
          <w:szCs w:val="28"/>
        </w:rPr>
        <w:t>и</w:t>
      </w:r>
      <w:r w:rsidR="000A05C8" w:rsidRPr="00045A19">
        <w:rPr>
          <w:rFonts w:ascii="Times New Roman" w:hAnsi="Times New Roman" w:cs="Times New Roman"/>
          <w:sz w:val="28"/>
          <w:szCs w:val="28"/>
        </w:rPr>
        <w:t xml:space="preserve"> України „Про наркотичні засоби, психотропні речовини і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прекурсориˮ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заходи протидії незаконному обігу наркотичних засобів, психотропних речовин і прекурсорів та зловживання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нимиˮ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екстрену медичну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допомогуˮ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охорону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дитинстваˮ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„Про соціальну роботу з сім’ями, дітьми та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молоддюˮ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заходи щодо попередження та зменшення вживання тютюнових виробів і їх шкідливого впливу на здоров’я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населенняˮ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>, Сімейн</w:t>
      </w:r>
      <w:r w:rsidR="00D84000" w:rsidRPr="00D84000">
        <w:rPr>
          <w:rFonts w:ascii="Times New Roman" w:hAnsi="Times New Roman" w:cs="Times New Roman"/>
          <w:sz w:val="28"/>
          <w:szCs w:val="28"/>
        </w:rPr>
        <w:t>ий</w:t>
      </w:r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кодекс України, Указ Президента України „Про Національну стратегію у сфері прав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людиниˮ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>, розпорядження Кабінету Міністрів України від 23 червня 2021 року № 756-р „Про затвердження плану дій реалізації Національної стратегії у сфері прав людини на 2021 – 2023</w:t>
      </w:r>
      <w:r w:rsidR="00D8400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A05C8" w:rsidRPr="00045A19">
        <w:rPr>
          <w:rFonts w:ascii="Times New Roman" w:hAnsi="Times New Roman" w:cs="Times New Roman"/>
          <w:sz w:val="28"/>
          <w:szCs w:val="28"/>
        </w:rPr>
        <w:t>роки”, постанов</w:t>
      </w:r>
      <w:r w:rsidR="00D84000" w:rsidRPr="00D84000">
        <w:rPr>
          <w:rFonts w:ascii="Times New Roman" w:hAnsi="Times New Roman" w:cs="Times New Roman"/>
          <w:sz w:val="28"/>
          <w:szCs w:val="28"/>
        </w:rPr>
        <w:t>а</w:t>
      </w:r>
      <w:r w:rsidR="000A05C8" w:rsidRPr="00045A19">
        <w:rPr>
          <w:rFonts w:ascii="Times New Roman" w:hAnsi="Times New Roman" w:cs="Times New Roman"/>
          <w:sz w:val="28"/>
          <w:szCs w:val="28"/>
        </w:rPr>
        <w:t xml:space="preserve"> Верховної Ради України від 03 лютого 2004 року №</w:t>
      </w:r>
      <w:r w:rsidR="00085359">
        <w:rPr>
          <w:rFonts w:ascii="Times New Roman" w:hAnsi="Times New Roman" w:cs="Times New Roman"/>
          <w:sz w:val="28"/>
          <w:szCs w:val="28"/>
        </w:rPr>
        <w:t> </w:t>
      </w:r>
      <w:r w:rsidR="000A05C8" w:rsidRPr="00045A19">
        <w:rPr>
          <w:rFonts w:ascii="Times New Roman" w:hAnsi="Times New Roman" w:cs="Times New Roman"/>
          <w:sz w:val="28"/>
          <w:szCs w:val="28"/>
        </w:rPr>
        <w:t xml:space="preserve">1426-IV „Про Рекомендації парламентських слухань на тему: „Соціально-економічні проблеми ВІЛ/СНІДу, наркоманії та алкоголізму в Україні та шляхи їх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розв</w:t>
      </w:r>
      <w:r w:rsidR="00D84000">
        <w:rPr>
          <w:rFonts w:ascii="Times New Roman" w:hAnsi="Times New Roman" w:cs="Times New Roman"/>
          <w:sz w:val="28"/>
          <w:szCs w:val="28"/>
        </w:rPr>
        <w:t>’</w:t>
      </w:r>
      <w:r w:rsidR="000A05C8" w:rsidRPr="00045A19">
        <w:rPr>
          <w:rFonts w:ascii="Times New Roman" w:hAnsi="Times New Roman" w:cs="Times New Roman"/>
          <w:sz w:val="28"/>
          <w:szCs w:val="28"/>
        </w:rPr>
        <w:t>язанняˮ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 xml:space="preserve">, наказ Міністерства соціальної політики України „Про затвердження Державного стандарту соціальної послуги соціально-психологічної реабілітації осіб із залежністю від наркотичних засобів чи психотропних </w:t>
      </w:r>
      <w:proofErr w:type="spellStart"/>
      <w:r w:rsidR="000A05C8" w:rsidRPr="00045A19">
        <w:rPr>
          <w:rFonts w:ascii="Times New Roman" w:hAnsi="Times New Roman" w:cs="Times New Roman"/>
          <w:sz w:val="28"/>
          <w:szCs w:val="28"/>
        </w:rPr>
        <w:t>речовинˮ</w:t>
      </w:r>
      <w:proofErr w:type="spellEnd"/>
      <w:r w:rsidR="000A05C8" w:rsidRPr="00045A19">
        <w:rPr>
          <w:rFonts w:ascii="Times New Roman" w:hAnsi="Times New Roman" w:cs="Times New Roman"/>
          <w:sz w:val="28"/>
          <w:szCs w:val="28"/>
        </w:rPr>
        <w:t>, рішення Дніпропетровської обласної ради від 07 серпня 2020</w:t>
      </w:r>
      <w:r w:rsidR="00F207F4">
        <w:rPr>
          <w:rFonts w:ascii="Times New Roman" w:hAnsi="Times New Roman" w:cs="Times New Roman"/>
          <w:sz w:val="28"/>
          <w:szCs w:val="28"/>
        </w:rPr>
        <w:t> </w:t>
      </w:r>
      <w:r w:rsidR="000A05C8" w:rsidRPr="00045A19">
        <w:rPr>
          <w:rFonts w:ascii="Times New Roman" w:hAnsi="Times New Roman" w:cs="Times New Roman"/>
          <w:sz w:val="28"/>
          <w:szCs w:val="28"/>
        </w:rPr>
        <w:t xml:space="preserve">року № 624-24/VII „Про Стратегію регіонального розвитку </w:t>
      </w:r>
      <w:r w:rsidR="000A05C8" w:rsidRPr="00D53512">
        <w:rPr>
          <w:rFonts w:ascii="Times New Roman" w:hAnsi="Times New Roman" w:cs="Times New Roman"/>
          <w:sz w:val="28"/>
          <w:szCs w:val="28"/>
        </w:rPr>
        <w:t>Дніпропетровської област</w:t>
      </w:r>
      <w:r w:rsidR="00D84000" w:rsidRPr="00D53512">
        <w:rPr>
          <w:rFonts w:ascii="Times New Roman" w:hAnsi="Times New Roman" w:cs="Times New Roman"/>
          <w:sz w:val="28"/>
          <w:szCs w:val="28"/>
        </w:rPr>
        <w:t xml:space="preserve">і на період до 2027 </w:t>
      </w:r>
      <w:proofErr w:type="spellStart"/>
      <w:r w:rsidR="00D84000" w:rsidRPr="00D53512">
        <w:rPr>
          <w:rFonts w:ascii="Times New Roman" w:hAnsi="Times New Roman" w:cs="Times New Roman"/>
          <w:sz w:val="28"/>
          <w:szCs w:val="28"/>
        </w:rPr>
        <w:t>рокуˮ</w:t>
      </w:r>
      <w:proofErr w:type="spellEnd"/>
      <w:r w:rsidR="00D84000" w:rsidRPr="00D53512">
        <w:rPr>
          <w:rFonts w:ascii="Times New Roman" w:hAnsi="Times New Roman" w:cs="Times New Roman"/>
          <w:sz w:val="28"/>
          <w:szCs w:val="28"/>
        </w:rPr>
        <w:t>, План</w:t>
      </w:r>
      <w:r w:rsidR="000A05C8" w:rsidRPr="00D53512">
        <w:rPr>
          <w:rFonts w:ascii="Times New Roman" w:hAnsi="Times New Roman" w:cs="Times New Roman"/>
          <w:sz w:val="28"/>
          <w:szCs w:val="28"/>
        </w:rPr>
        <w:t xml:space="preserve"> заходів, спрямованих на протидію поширенню наркоманії серед неповнолітніх у Дніпропетровській області до 2025 року, затверджен</w:t>
      </w:r>
      <w:r w:rsidR="00D84000" w:rsidRPr="00D53512">
        <w:rPr>
          <w:rFonts w:ascii="Times New Roman" w:hAnsi="Times New Roman" w:cs="Times New Roman"/>
          <w:sz w:val="28"/>
          <w:szCs w:val="28"/>
        </w:rPr>
        <w:t>ий</w:t>
      </w:r>
      <w:r w:rsidR="000A05C8" w:rsidRPr="00D53512">
        <w:rPr>
          <w:rFonts w:ascii="Times New Roman" w:hAnsi="Times New Roman" w:cs="Times New Roman"/>
          <w:sz w:val="28"/>
          <w:szCs w:val="28"/>
        </w:rPr>
        <w:t xml:space="preserve"> спільним розпорядженням голови обласної державної адміністрації та голови обласної ради від 28 травня 2021 року № Р-494/0/3-21/118-р.</w:t>
      </w:r>
    </w:p>
    <w:p w:rsidR="000A05C8" w:rsidRPr="00B05B58" w:rsidRDefault="000A05C8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A05C8" w:rsidRPr="00D53512" w:rsidRDefault="00D84000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3</w:t>
      </w:r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276764" w:rsidRPr="00D53512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>Регіональн</w:t>
      </w:r>
      <w:r w:rsidR="00085359">
        <w:rPr>
          <w:rFonts w:ascii="Times New Roman" w:hAnsi="Times New Roman" w:cs="Times New Roman"/>
          <w:sz w:val="28"/>
          <w:szCs w:val="28"/>
          <w:lang w:val="ru-RU" w:eastAsia="uk-UA"/>
        </w:rPr>
        <w:t>ий</w:t>
      </w:r>
      <w:proofErr w:type="spellEnd"/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замовник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>: Дніпропетровська обласна рада.</w:t>
      </w:r>
    </w:p>
    <w:p w:rsidR="000A05C8" w:rsidRPr="00B05B58" w:rsidRDefault="000A05C8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A05C8" w:rsidRPr="00D53512" w:rsidRDefault="00276764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. Відповідальний </w:t>
      </w:r>
      <w:r w:rsidR="00D84000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>викона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r w:rsidR="000A05C8" w:rsidRPr="00D53512">
        <w:rPr>
          <w:rFonts w:ascii="Times New Roman" w:hAnsi="Times New Roman" w:cs="Times New Roman"/>
          <w:sz w:val="28"/>
          <w:szCs w:val="28"/>
          <w:lang w:eastAsia="uk-UA"/>
        </w:rPr>
        <w:t>: Дніпропетровська обласна рада.</w:t>
      </w:r>
    </w:p>
    <w:p w:rsidR="00D84000" w:rsidRPr="00B05B58" w:rsidRDefault="00D84000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A05C8" w:rsidRPr="00D53512" w:rsidRDefault="00276764" w:rsidP="000938C2">
      <w:pPr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>. Співвиконавці Програми</w:t>
      </w:r>
      <w:r w:rsidR="004248DC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виконавчі органи сільських, селищних, міських рад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(за згодою),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управління взаємодії з правоохоронними органами та оборонної роботи обл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асної 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>держа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вної а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>дміністрації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згодою),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департамент освіти і науки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обласної державної адміністрації (за згодою),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департамент охорони здоров’я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обласної державної адміністрації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(за згодою),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департамент молоді і спорту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обласної державної адміністрації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згодою), 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служба у справах дітей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обласної державної адміністрації (за згодою)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, департамент соціального захисту населення 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>обласної державної адміністрації (за згодою),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Головне управління Національної поліції України у Дніпропетровській області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</w:t>
      </w:r>
      <w:r w:rsidR="000A05C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управління боротьби з 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наркозлочинністю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в Дніпропетровській області </w:t>
      </w:r>
      <w:r w:rsidR="009014EA" w:rsidRPr="003C79EB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епартаменту боротьби з 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наркозлочинністю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Національної поліції України (за згодою), </w:t>
      </w:r>
      <w:r w:rsidR="009014EA" w:rsidRPr="003C79E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правління протидії </w:t>
      </w:r>
      <w:proofErr w:type="spellStart"/>
      <w:r w:rsidRPr="003C79EB">
        <w:rPr>
          <w:rFonts w:ascii="Times New Roman" w:hAnsi="Times New Roman" w:cs="Times New Roman"/>
          <w:sz w:val="28"/>
          <w:szCs w:val="28"/>
          <w:lang w:eastAsia="uk-UA"/>
        </w:rPr>
        <w:t>кіберзлочинам</w:t>
      </w:r>
      <w:proofErr w:type="spellEnd"/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в Дніпропетровській області </w:t>
      </w:r>
      <w:r w:rsidR="009014EA" w:rsidRPr="003C79EB">
        <w:rPr>
          <w:rFonts w:ascii="Times New Roman" w:hAnsi="Times New Roman" w:cs="Times New Roman"/>
          <w:sz w:val="28"/>
          <w:szCs w:val="28"/>
          <w:lang w:eastAsia="uk-UA"/>
        </w:rPr>
        <w:t>д</w:t>
      </w:r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епартаменту </w:t>
      </w:r>
      <w:proofErr w:type="spellStart"/>
      <w:r w:rsidRPr="003C79EB">
        <w:rPr>
          <w:rFonts w:ascii="Times New Roman" w:hAnsi="Times New Roman" w:cs="Times New Roman"/>
          <w:sz w:val="28"/>
          <w:szCs w:val="28"/>
          <w:lang w:eastAsia="uk-UA"/>
        </w:rPr>
        <w:t>кіберполіції</w:t>
      </w:r>
      <w:proofErr w:type="spellEnd"/>
      <w:r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Національної поліції України (за згодою), 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комунальне підприємство „Дніпропетровська багатопрофільна клінічна лікарня з надання психіатричної допомоги” Дніпропетровської обласної 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радиˮ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згодою), </w:t>
      </w:r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Дніпропетровський обласний центр соціальних служб (за згодою), </w:t>
      </w:r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комунальний заклад вищої освіти ,,Дніпровська академія неперервної освіти” Дніпропетровської обласної </w:t>
      </w:r>
      <w:proofErr w:type="spellStart"/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>радиˮ</w:t>
      </w:r>
      <w:proofErr w:type="spellEnd"/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згодою), комунальне підприємство „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Обласний центр громадського здоров’я</w:t>
      </w:r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” </w:t>
      </w:r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Дніпропетровської обласної </w:t>
      </w:r>
      <w:proofErr w:type="spellStart"/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>радиˮ</w:t>
      </w:r>
      <w:proofErr w:type="spellEnd"/>
      <w:r w:rsidR="009D195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згодою), </w:t>
      </w:r>
      <w:r w:rsidR="003C79EB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управління культури, туризму, національностей і релігій обласної державної адміністрації (за згодою), </w:t>
      </w:r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>комунальне підприємство ,,</w:t>
      </w:r>
      <w:proofErr w:type="spellStart"/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>Дніпроінвестпроект</w:t>
      </w:r>
      <w:proofErr w:type="spellEnd"/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” Дніпропетровської обласної </w:t>
      </w:r>
      <w:proofErr w:type="spellStart"/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>радиˮ</w:t>
      </w:r>
      <w:proofErr w:type="spellEnd"/>
      <w:r w:rsidR="00A6543B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 (за згодою)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55C3A">
        <w:rPr>
          <w:rFonts w:ascii="Times New Roman" w:hAnsi="Times New Roman" w:cs="Times New Roman"/>
          <w:sz w:val="28"/>
          <w:szCs w:val="28"/>
          <w:lang w:eastAsia="uk-UA"/>
        </w:rPr>
        <w:t>комунальне підприємство</w:t>
      </w:r>
      <w:r w:rsidR="00C55C3A" w:rsidRPr="00C55C3A">
        <w:rPr>
          <w:rFonts w:ascii="Times New Roman" w:hAnsi="Times New Roman" w:cs="Times New Roman"/>
          <w:sz w:val="28"/>
          <w:szCs w:val="28"/>
          <w:lang w:eastAsia="uk-UA"/>
        </w:rPr>
        <w:t xml:space="preserve"> „Дніпропетровська обласна дитяча клінічна лікарня” </w:t>
      </w:r>
      <w:r w:rsidR="00C55C3A">
        <w:rPr>
          <w:rFonts w:ascii="Times New Roman" w:hAnsi="Times New Roman" w:cs="Times New Roman"/>
          <w:sz w:val="28"/>
          <w:szCs w:val="28"/>
          <w:lang w:eastAsia="uk-UA"/>
        </w:rPr>
        <w:t>Дніпропетровської обласної ради</w:t>
      </w:r>
      <w:r w:rsidR="00C55C3A" w:rsidRPr="00C55C3A">
        <w:rPr>
          <w:rFonts w:ascii="Times New Roman" w:hAnsi="Times New Roman" w:cs="Times New Roman"/>
          <w:sz w:val="28"/>
          <w:szCs w:val="28"/>
          <w:lang w:eastAsia="uk-UA"/>
        </w:rPr>
        <w:t>” (за згодою)</w:t>
      </w:r>
      <w:r w:rsidR="009014EA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комунальне підприємство 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„Центр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народної творчості ,,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Дивокрай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” Дніпропетровської обласної </w:t>
      </w:r>
      <w:proofErr w:type="spellStart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>радиˮ</w:t>
      </w:r>
      <w:proofErr w:type="spellEnd"/>
      <w:r w:rsidR="00504288" w:rsidRPr="003C79EB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</w:t>
      </w:r>
      <w:r w:rsidR="001E5517" w:rsidRPr="003C79EB">
        <w:rPr>
          <w:rFonts w:ascii="Times New Roman" w:hAnsi="Times New Roman" w:cs="Times New Roman"/>
          <w:sz w:val="28"/>
          <w:szCs w:val="28"/>
          <w:lang w:eastAsia="uk-UA"/>
        </w:rPr>
        <w:t>, Дніпровський державний медичний університет</w:t>
      </w:r>
      <w:r w:rsidR="001E5517">
        <w:rPr>
          <w:rFonts w:ascii="Times New Roman" w:hAnsi="Times New Roman" w:cs="Times New Roman"/>
          <w:sz w:val="28"/>
          <w:szCs w:val="28"/>
          <w:lang w:eastAsia="uk-UA"/>
        </w:rPr>
        <w:t xml:space="preserve"> (за згодою)</w:t>
      </w:r>
      <w:r w:rsidR="00D31918" w:rsidRPr="00A902C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6C4EC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45A19" w:rsidRPr="00B05B58" w:rsidRDefault="00045A19" w:rsidP="00045A19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045A19" w:rsidRPr="00D53512" w:rsidRDefault="00D452C5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411B22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. Мета: </w:t>
      </w:r>
      <w:r w:rsidR="00A6543B" w:rsidRPr="00D53512">
        <w:rPr>
          <w:rFonts w:ascii="Times New Roman" w:hAnsi="Times New Roman" w:cs="Times New Roman"/>
          <w:sz w:val="28"/>
          <w:szCs w:val="28"/>
          <w:lang w:eastAsia="uk-UA"/>
        </w:rPr>
        <w:t>стабілізація та зниження рівня залежності</w:t>
      </w:r>
      <w:r w:rsidR="00E94A10">
        <w:rPr>
          <w:rFonts w:ascii="Times New Roman" w:hAnsi="Times New Roman" w:cs="Times New Roman"/>
          <w:sz w:val="28"/>
          <w:szCs w:val="28"/>
          <w:lang w:eastAsia="uk-UA"/>
        </w:rPr>
        <w:t xml:space="preserve"> дітей</w:t>
      </w:r>
      <w:r w:rsidR="00A6543B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від ПАР шляхом реалізації державної політики у сфері протидії алкоголізму, тютюнопалінню, наркоманії, боротьби з незаконним обігом наркотичних засобів, психотропних речовин та прекурсорів, зміцнення здоров’я дітей, а також проведення профілактичних заходів із метою зменшення негативних соціальних, економічних та інших наслідків, пов’язаних із вживанням ПАР не за медичним призначенням; покращення взаємодії між державними, виконавчими </w:t>
      </w:r>
      <w:r w:rsidR="009307F8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органами </w:t>
      </w:r>
      <w:r w:rsidR="00A6543B" w:rsidRPr="00D53512">
        <w:rPr>
          <w:rFonts w:ascii="Times New Roman" w:hAnsi="Times New Roman" w:cs="Times New Roman"/>
          <w:sz w:val="28"/>
          <w:szCs w:val="28"/>
          <w:lang w:eastAsia="uk-UA"/>
        </w:rPr>
        <w:t>і органами місцевого самоврядування, закладами охорони здоров’я та інституціями громадянського суспільства; залучення засобів масової інформації для проведення широкої просвітницької роботи стосовно шкідливого впливу ПАР для здоров’я дітей, надання повної, всебічної, об’єктивної, науково-обґрунтованої інформації про небезпеку, пов’язану із їх вживанням</w:t>
      </w:r>
      <w:r w:rsidR="00045A19" w:rsidRPr="00D5351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A6543B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DC7EB4" w:rsidRPr="00B05B58" w:rsidRDefault="00DC7EB4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11B22" w:rsidRPr="00D53512" w:rsidRDefault="00D452C5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val="ru-RU" w:eastAsia="uk-UA"/>
        </w:rPr>
        <w:t>7</w:t>
      </w:r>
      <w:r w:rsidR="00045A19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>Початок</w:t>
      </w:r>
      <w:r w:rsidR="00045A19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: 2022 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>рік, закінчення:</w:t>
      </w:r>
      <w:r w:rsidR="00045A19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2026 р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="00045A19" w:rsidRPr="00D53512">
        <w:rPr>
          <w:rFonts w:ascii="Times New Roman" w:hAnsi="Times New Roman" w:cs="Times New Roman"/>
          <w:sz w:val="28"/>
          <w:szCs w:val="28"/>
          <w:lang w:eastAsia="uk-UA"/>
        </w:rPr>
        <w:t>к.</w:t>
      </w:r>
    </w:p>
    <w:p w:rsidR="00045A19" w:rsidRPr="00B05B58" w:rsidRDefault="00045A19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248DC" w:rsidRPr="00D53512" w:rsidRDefault="00D452C5" w:rsidP="000938C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val="ru-RU" w:eastAsia="uk-UA"/>
        </w:rPr>
        <w:t>8</w:t>
      </w:r>
      <w:r w:rsidR="00411B22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Етапи виконання: програма </w:t>
      </w:r>
      <w:r w:rsidR="00A6543B" w:rsidRPr="00D53512">
        <w:rPr>
          <w:rFonts w:ascii="Times New Roman" w:hAnsi="Times New Roman" w:cs="Times New Roman"/>
          <w:sz w:val="28"/>
          <w:szCs w:val="28"/>
        </w:rPr>
        <w:t xml:space="preserve">реалізується </w:t>
      </w:r>
      <w:r w:rsidR="004248DC" w:rsidRPr="00D53512">
        <w:rPr>
          <w:rFonts w:ascii="Times New Roman" w:hAnsi="Times New Roman" w:cs="Times New Roman"/>
          <w:sz w:val="28"/>
          <w:szCs w:val="28"/>
          <w:lang w:eastAsia="uk-UA"/>
        </w:rPr>
        <w:t>в один етап.</w:t>
      </w:r>
    </w:p>
    <w:p w:rsidR="004248DC" w:rsidRDefault="004248DC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5064C7" w:rsidRDefault="005064C7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B05B58" w:rsidRDefault="00B05B58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B05B58" w:rsidRDefault="00B05B58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B05B58" w:rsidRDefault="00B05B58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B05B58" w:rsidRDefault="00B05B58" w:rsidP="007E06B7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654DB4" w:rsidRPr="00D53512" w:rsidRDefault="00D452C5" w:rsidP="000938C2">
      <w:pPr>
        <w:suppressAutoHyphens w:val="0"/>
        <w:ind w:firstLine="709"/>
        <w:jc w:val="both"/>
      </w:pPr>
      <w:r w:rsidRPr="00D53512"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>9</w:t>
      </w:r>
      <w:r w:rsidR="00654DB4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Загальні обсяги фінансування</w:t>
      </w:r>
      <w:r w:rsidR="00654DB4" w:rsidRPr="00D5351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54DB4" w:rsidRPr="00924C82" w:rsidRDefault="00654DB4" w:rsidP="00654DB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0"/>
          <w:lang w:eastAsia="uk-U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992"/>
        <w:gridCol w:w="992"/>
        <w:gridCol w:w="993"/>
        <w:gridCol w:w="992"/>
        <w:gridCol w:w="992"/>
      </w:tblGrid>
      <w:tr w:rsidR="00654DB4" w:rsidRPr="00324C95" w:rsidTr="009307F8">
        <w:trPr>
          <w:trHeight w:val="342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ind w:left="-57" w:right="-57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452C5" w:rsidRDefault="00654DB4" w:rsidP="00263B50">
            <w:pPr>
              <w:suppressAutoHyphens w:val="0"/>
              <w:ind w:left="-57" w:right="-113"/>
              <w:jc w:val="center"/>
              <w:rPr>
                <w:sz w:val="24"/>
                <w:szCs w:val="24"/>
                <w:lang w:val="ru-RU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Обсяг фінансування, усього</w:t>
            </w:r>
            <w:r w:rsidR="00D452C5" w:rsidRPr="00783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, тис. </w:t>
            </w:r>
            <w:proofErr w:type="spellStart"/>
            <w:r w:rsidR="00D452C5" w:rsidRPr="007837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DB4" w:rsidRPr="00924C82" w:rsidRDefault="00654DB4" w:rsidP="00263B50">
            <w:pPr>
              <w:suppressAutoHyphens w:val="0"/>
              <w:ind w:firstLine="567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роками виконання</w:t>
            </w:r>
          </w:p>
        </w:tc>
      </w:tr>
      <w:tr w:rsidR="00654DB4" w:rsidRPr="00324C95" w:rsidTr="009307F8"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924C82" w:rsidRDefault="00654DB4" w:rsidP="00263B50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924C82" w:rsidRDefault="00654DB4" w:rsidP="00263B50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452C5" w:rsidRDefault="00654DB4" w:rsidP="00D452C5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D452C5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D452C5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D452C5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D452C5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2026</w:t>
            </w:r>
          </w:p>
        </w:tc>
      </w:tr>
      <w:tr w:rsidR="00654DB4" w:rsidRPr="00324C95" w:rsidTr="00930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jc w:val="center"/>
              <w:rPr>
                <w:sz w:val="24"/>
                <w:szCs w:val="24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Державний</w:t>
            </w:r>
          </w:p>
          <w:p w:rsidR="00654DB4" w:rsidRPr="00924C82" w:rsidRDefault="00654DB4" w:rsidP="00263B5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  <w:r w:rsidRPr="00924C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DB4" w:rsidRPr="00924C8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53512" w:rsidRPr="00D53512" w:rsidTr="00930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jc w:val="center"/>
              <w:rPr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Обласний</w:t>
            </w:r>
          </w:p>
          <w:p w:rsidR="00654DB4" w:rsidRPr="00D53512" w:rsidRDefault="00654DB4" w:rsidP="00263B5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12" w:rsidRPr="00D53512" w:rsidTr="009307F8">
        <w:trPr>
          <w:trHeight w:val="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jc w:val="center"/>
              <w:rPr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Місцеві</w:t>
            </w:r>
          </w:p>
          <w:p w:rsidR="00654DB4" w:rsidRPr="00D53512" w:rsidRDefault="00654DB4" w:rsidP="00263B5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бюджети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512" w:rsidRPr="00D53512" w:rsidTr="009307F8">
        <w:trPr>
          <w:trHeight w:val="40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Інші </w:t>
            </w:r>
          </w:p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53512" w:rsidRPr="00D53512" w:rsidTr="009307F8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suppressAutoHyphens w:val="0"/>
              <w:jc w:val="center"/>
              <w:rPr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54DB4" w:rsidRPr="00D53512" w:rsidRDefault="00654DB4" w:rsidP="00263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B4" w:rsidRPr="00D53512" w:rsidRDefault="00654DB4" w:rsidP="00654DB4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p w:rsidR="00654DB4" w:rsidRPr="00D53512" w:rsidRDefault="00654DB4" w:rsidP="00D452C5">
      <w:pPr>
        <w:suppressAutoHyphens w:val="0"/>
        <w:ind w:firstLine="709"/>
        <w:jc w:val="both"/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10. Очікувані </w:t>
      </w:r>
      <w:r w:rsidR="00D452C5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кінцеві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результати виконання</w:t>
      </w:r>
      <w:r w:rsidR="00D452C5"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Програми</w:t>
      </w:r>
      <w:r w:rsidR="00F207F4" w:rsidRPr="00D53512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54DB4" w:rsidRPr="00D53512" w:rsidRDefault="00654DB4" w:rsidP="00654DB4">
      <w:pPr>
        <w:suppressAutoHyphens w:val="0"/>
        <w:ind w:firstLine="567"/>
        <w:jc w:val="both"/>
        <w:rPr>
          <w:rFonts w:ascii="Times New Roman" w:hAnsi="Times New Roman" w:cs="Times New Roman"/>
          <w:sz w:val="20"/>
          <w:lang w:eastAsia="uk-UA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851"/>
        <w:gridCol w:w="850"/>
        <w:gridCol w:w="851"/>
        <w:gridCol w:w="850"/>
        <w:gridCol w:w="834"/>
        <w:gridCol w:w="1009"/>
        <w:gridCol w:w="850"/>
      </w:tblGrid>
      <w:tr w:rsidR="00D53512" w:rsidRPr="00D53512" w:rsidTr="009307F8">
        <w:trPr>
          <w:trHeight w:val="3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Напрями </w:t>
            </w:r>
            <w:proofErr w:type="spellStart"/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показни</w:t>
            </w:r>
            <w:r w:rsidR="00930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ків</w:t>
            </w:r>
            <w:proofErr w:type="spellEnd"/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Програми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52C5" w:rsidRPr="009307F8" w:rsidRDefault="00D452C5" w:rsidP="00086D3D">
            <w:pPr>
              <w:suppressAutoHyphens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07F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Найменування показників виконання Програми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Одини-ця</w:t>
            </w:r>
            <w:proofErr w:type="spellEnd"/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виміру</w:t>
            </w:r>
          </w:p>
        </w:tc>
        <w:tc>
          <w:tcPr>
            <w:tcW w:w="5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9307F8">
            <w:pPr>
              <w:suppressAutoHyphens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Значення показників </w:t>
            </w:r>
            <w:r w:rsidR="009307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рограми</w:t>
            </w:r>
          </w:p>
        </w:tc>
      </w:tr>
      <w:tr w:rsidR="00D53512" w:rsidRPr="00D53512" w:rsidTr="009307F8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2C5" w:rsidRPr="00D53512" w:rsidRDefault="00D452C5" w:rsidP="00086D3D">
            <w:pPr>
              <w:suppressAutoHyphens w:val="0"/>
              <w:snapToGrid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D452C5">
            <w:pPr>
              <w:suppressAutoHyphens w:val="0"/>
              <w:snapToGrid w:val="0"/>
              <w:ind w:left="-12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9307F8">
            <w:pPr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D53512" w:rsidRDefault="00D452C5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2026</w:t>
            </w:r>
          </w:p>
        </w:tc>
      </w:tr>
      <w:tr w:rsidR="00D53512" w:rsidRPr="00F3214E" w:rsidTr="009307F8"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307F8" w:rsidRDefault="00D452C5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Кількість заходів,           </w:t>
            </w:r>
          </w:p>
          <w:p w:rsidR="00D452C5" w:rsidRPr="00D53512" w:rsidRDefault="00D452C5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у т.ч.:</w:t>
            </w:r>
          </w:p>
          <w:p w:rsidR="00D452C5" w:rsidRPr="00D53512" w:rsidRDefault="00D452C5" w:rsidP="009307F8">
            <w:pPr>
              <w:suppressAutoHyphens w:val="0"/>
              <w:ind w:left="-108" w:firstLine="567"/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9307F8">
              <w:rPr>
                <w:rFonts w:ascii="Times New Roman" w:hAnsi="Times New Roman" w:cs="Times New Roman"/>
                <w:bCs/>
                <w:sz w:val="23"/>
                <w:szCs w:val="23"/>
                <w:lang w:eastAsia="uk-UA"/>
              </w:rPr>
              <w:t>заходів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7675F2" w:rsidP="009307F8">
            <w:pPr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 w:rsidR="006D2B87"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3214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3214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097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3214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099</w:t>
            </w:r>
          </w:p>
        </w:tc>
        <w:tc>
          <w:tcPr>
            <w:tcW w:w="10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3214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3214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087</w:t>
            </w:r>
          </w:p>
        </w:tc>
      </w:tr>
      <w:tr w:rsidR="00D53512" w:rsidRPr="00D53512" w:rsidTr="009307F8"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452C5" w:rsidRPr="00D53512" w:rsidRDefault="00F207F4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D452C5"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світньо-виховних</w:t>
            </w:r>
            <w:proofErr w:type="spellEnd"/>
          </w:p>
          <w:p w:rsidR="00D452C5" w:rsidRPr="00D53512" w:rsidRDefault="00D452C5" w:rsidP="009307F8">
            <w:pPr>
              <w:suppressAutoHyphens w:val="0"/>
              <w:ind w:left="-108" w:right="-108" w:firstLine="567"/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6D2B87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EC22E7" w:rsidP="00F9558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F95588"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95588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95588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10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95588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F95588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</w:t>
            </w:r>
          </w:p>
        </w:tc>
      </w:tr>
      <w:tr w:rsidR="00D53512" w:rsidRPr="000A5CF2" w:rsidTr="009307F8"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452C5" w:rsidRPr="009307F8" w:rsidRDefault="00F207F4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9307F8">
              <w:rPr>
                <w:rFonts w:ascii="Times New Roman" w:hAnsi="Times New Roman" w:cs="Times New Roman"/>
                <w:bCs/>
                <w:sz w:val="23"/>
                <w:szCs w:val="23"/>
                <w:lang w:eastAsia="uk-UA"/>
              </w:rPr>
              <w:t>к</w:t>
            </w:r>
            <w:r w:rsidR="00D452C5" w:rsidRPr="009307F8">
              <w:rPr>
                <w:rFonts w:ascii="Times New Roman" w:hAnsi="Times New Roman" w:cs="Times New Roman"/>
                <w:bCs/>
                <w:sz w:val="23"/>
                <w:szCs w:val="23"/>
                <w:lang w:eastAsia="uk-UA"/>
              </w:rPr>
              <w:t>ультурологічних</w:t>
            </w:r>
          </w:p>
          <w:p w:rsidR="00D452C5" w:rsidRPr="009307F8" w:rsidRDefault="00D452C5" w:rsidP="009307F8">
            <w:pPr>
              <w:suppressAutoHyphens w:val="0"/>
              <w:ind w:left="-108" w:right="-108" w:firstLine="567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415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924C8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924C8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924C8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10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924C8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924C8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83</w:t>
            </w:r>
          </w:p>
        </w:tc>
      </w:tr>
      <w:tr w:rsidR="00D53512" w:rsidRPr="00D53512" w:rsidTr="009307F8"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452C5" w:rsidRPr="00D53512" w:rsidRDefault="00F207F4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="00D452C5"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нформаційно-просвітницьких</w:t>
            </w:r>
          </w:p>
          <w:p w:rsidR="00D452C5" w:rsidRPr="00D53512" w:rsidRDefault="00D452C5" w:rsidP="009307F8">
            <w:pPr>
              <w:suppressAutoHyphens w:val="0"/>
              <w:ind w:left="-108" w:right="-108" w:firstLine="567"/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6D2B87" w:rsidP="009F066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1598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0A5CF2" w:rsidP="000A5CF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0A5CF2" w:rsidP="000A5CF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319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0A5CF2" w:rsidP="000A5CF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319</w:t>
            </w:r>
          </w:p>
        </w:tc>
        <w:tc>
          <w:tcPr>
            <w:tcW w:w="10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0A5CF2" w:rsidP="000A5CF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319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0A5CF2" w:rsidP="000A5CF2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319</w:t>
            </w:r>
          </w:p>
        </w:tc>
      </w:tr>
      <w:tr w:rsidR="00D53512" w:rsidRPr="00D53512" w:rsidTr="009307F8">
        <w:tc>
          <w:tcPr>
            <w:tcW w:w="1134" w:type="dxa"/>
            <w:tcBorders>
              <w:left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snapToGrid w:val="0"/>
              <w:ind w:left="-108" w:right="-91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452C5" w:rsidRPr="00D53512" w:rsidRDefault="00F207F4" w:rsidP="009307F8">
            <w:pPr>
              <w:suppressAutoHyphens w:val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н</w:t>
            </w:r>
            <w:r w:rsidR="00D452C5"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ауково-методичних</w:t>
            </w:r>
          </w:p>
          <w:p w:rsidR="00D452C5" w:rsidRPr="00D53512" w:rsidRDefault="00D452C5" w:rsidP="009307F8">
            <w:pPr>
              <w:suppressAutoHyphens w:val="0"/>
              <w:ind w:left="-108" w:right="-108" w:firstLine="567"/>
              <w:rPr>
                <w:rFonts w:ascii="Times New Roman" w:hAnsi="Times New Roman" w:cs="Times New Roman"/>
                <w:sz w:val="8"/>
                <w:szCs w:val="8"/>
                <w:lang w:eastAsia="uk-UA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009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0938C2" w:rsidRDefault="00566BFE" w:rsidP="00263B50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</w:tr>
      <w:tr w:rsidR="00D53512" w:rsidRPr="00D53512" w:rsidTr="009307F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52C5" w:rsidRPr="00D53512" w:rsidRDefault="00D452C5" w:rsidP="00263B50">
            <w:pPr>
              <w:suppressAutoHyphens w:val="0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Соціальні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2C5" w:rsidRPr="00D53512" w:rsidRDefault="00D452C5" w:rsidP="009307F8">
            <w:pPr>
              <w:suppressAutoHyphens w:val="0"/>
              <w:ind w:left="-1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5351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Кількість залучених </w:t>
            </w:r>
            <w:r w:rsidRPr="00D5351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</w:p>
          <w:p w:rsidR="00D452C5" w:rsidRPr="00D53512" w:rsidRDefault="00D452C5" w:rsidP="009307F8">
            <w:pPr>
              <w:suppressAutoHyphens w:val="0"/>
              <w:ind w:left="-108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  <w:lang w:eastAsia="uk-UA"/>
              </w:rPr>
            </w:pPr>
            <w:r w:rsidRPr="009307F8">
              <w:rPr>
                <w:rFonts w:ascii="Times New Roman" w:hAnsi="Times New Roman" w:cs="Times New Roman"/>
                <w:sz w:val="23"/>
                <w:szCs w:val="23"/>
                <w:lang w:eastAsia="uk-UA"/>
              </w:rPr>
              <w:t>осіб</w:t>
            </w:r>
          </w:p>
          <w:p w:rsidR="00D452C5" w:rsidRPr="009307F8" w:rsidRDefault="00D452C5" w:rsidP="00D452C5">
            <w:pPr>
              <w:suppressAutoHyphens w:val="0"/>
              <w:ind w:left="-12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9307F8" w:rsidRDefault="00520E3D" w:rsidP="009307F8">
            <w:pPr>
              <w:suppressAutoHyphens w:val="0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307F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1143150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520E3D" w:rsidRDefault="00520E3D" w:rsidP="003C79EB">
            <w:pPr>
              <w:suppressAutoHyphens w:val="0"/>
              <w:ind w:left="-57" w:righ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520E3D" w:rsidP="003C79EB">
            <w:pPr>
              <w:suppressAutoHyphens w:val="0"/>
              <w:ind w:left="-57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520E3D" w:rsidP="003C79EB">
            <w:pPr>
              <w:suppressAutoHyphens w:val="0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52C5" w:rsidRPr="00D53512" w:rsidRDefault="00520E3D" w:rsidP="003C79EB">
            <w:pPr>
              <w:suppressAutoHyphens w:val="0"/>
              <w:ind w:left="-57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52C5" w:rsidRPr="00D53512" w:rsidRDefault="00520E3D" w:rsidP="003C79EB">
            <w:pPr>
              <w:suppressAutoHyphens w:val="0"/>
              <w:ind w:left="-57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="003C79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</w:tr>
    </w:tbl>
    <w:p w:rsidR="00654DB4" w:rsidRPr="00324C95" w:rsidRDefault="00654DB4" w:rsidP="00654DB4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207F4" w:rsidRPr="00D53512" w:rsidRDefault="00654DB4" w:rsidP="00D452C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11.</w:t>
      </w:r>
      <w:r w:rsidRPr="00D535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Координація</w:t>
      </w:r>
      <w:r w:rsidRPr="00D535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Pr="00D5351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</w:t>
      </w:r>
      <w:r w:rsidR="00F207F4" w:rsidRPr="00D5351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F207F4" w:rsidRPr="00D53512" w:rsidRDefault="00F207F4" w:rsidP="00D452C5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3512">
        <w:rPr>
          <w:rFonts w:ascii="Times New Roman" w:hAnsi="Times New Roman" w:cs="Times New Roman"/>
          <w:sz w:val="28"/>
          <w:szCs w:val="28"/>
          <w:lang w:eastAsia="uk-UA"/>
        </w:rPr>
        <w:t>Координацію виконання Програми здійсню</w:t>
      </w:r>
      <w:r w:rsidR="003C79EB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 xml:space="preserve"> її регіональн</w:t>
      </w:r>
      <w:r w:rsidR="003C79EB">
        <w:rPr>
          <w:rFonts w:ascii="Times New Roman" w:hAnsi="Times New Roman" w:cs="Times New Roman"/>
          <w:sz w:val="28"/>
          <w:szCs w:val="28"/>
          <w:lang w:eastAsia="uk-UA"/>
        </w:rPr>
        <w:t xml:space="preserve">ий </w:t>
      </w:r>
      <w:r w:rsidRPr="00D53512">
        <w:rPr>
          <w:rFonts w:ascii="Times New Roman" w:hAnsi="Times New Roman" w:cs="Times New Roman"/>
          <w:sz w:val="28"/>
          <w:szCs w:val="28"/>
          <w:lang w:eastAsia="uk-UA"/>
        </w:rPr>
        <w:t>замовник.  Управління з питань гуманітарної, соціально-культурної сфери та освіти виконавчого апарату Дніпропетровської обласної ради щокварталу до 25 числа місяця, що настає за звітним періодом, надає звіт про хід виконання Програми до постійної комісії обласної ради з питань сім’ї, молоді та спорту.</w:t>
      </w:r>
    </w:p>
    <w:p w:rsidR="00654DB4" w:rsidRPr="00324C95" w:rsidRDefault="00654DB4" w:rsidP="00D452C5">
      <w:pPr>
        <w:suppressAutoHyphens w:val="0"/>
        <w:ind w:firstLine="709"/>
        <w:jc w:val="both"/>
      </w:pPr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</w:t>
      </w:r>
      <w:r w:rsidR="000E4D93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spellStart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рограми</w:t>
      </w:r>
      <w:proofErr w:type="spellEnd"/>
      <w:r w:rsidRPr="00324C9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 постійна комісія обласної ради з питань сім’ї, молоді та спорту.</w:t>
      </w:r>
    </w:p>
    <w:p w:rsidR="00411B22" w:rsidRDefault="00411B22" w:rsidP="00411B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50EBE" w:rsidRPr="00324C95" w:rsidRDefault="00F50EBE" w:rsidP="00411B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411B22" w:rsidRPr="00BE41C9" w:rsidRDefault="00A902CB" w:rsidP="00411B22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11B22"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аступник </w:t>
      </w:r>
    </w:p>
    <w:p w:rsidR="00411B22" w:rsidRDefault="00411B22" w:rsidP="00411B22">
      <w:pPr>
        <w:ind w:right="-130"/>
        <w:rPr>
          <w:rFonts w:ascii="Times New Roman" w:hAnsi="Times New Roman" w:cs="Times New Roman"/>
          <w:b/>
          <w:bCs/>
          <w:sz w:val="28"/>
          <w:szCs w:val="28"/>
        </w:rPr>
      </w:pPr>
      <w:r w:rsidRPr="00BE41C9">
        <w:rPr>
          <w:rFonts w:ascii="Times New Roman" w:hAnsi="Times New Roman" w:cs="Times New Roman"/>
          <w:b/>
          <w:bCs/>
          <w:sz w:val="28"/>
          <w:szCs w:val="28"/>
        </w:rPr>
        <w:t xml:space="preserve">голови обласної ради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E41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A902CB">
        <w:rPr>
          <w:rFonts w:ascii="Times New Roman" w:hAnsi="Times New Roman" w:cs="Times New Roman"/>
          <w:b/>
          <w:bCs/>
          <w:sz w:val="28"/>
          <w:szCs w:val="28"/>
        </w:rPr>
        <w:t>І. КАШИРІН</w:t>
      </w:r>
      <w:bookmarkStart w:id="0" w:name="_GoBack"/>
      <w:bookmarkEnd w:id="0"/>
    </w:p>
    <w:sectPr w:rsidR="00411B22" w:rsidSect="007C454E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6C" w:rsidRDefault="009C256C">
      <w:r>
        <w:separator/>
      </w:r>
    </w:p>
  </w:endnote>
  <w:endnote w:type="continuationSeparator" w:id="0">
    <w:p w:rsidR="009C256C" w:rsidRDefault="009C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6C" w:rsidRDefault="009C256C">
      <w:r>
        <w:separator/>
      </w:r>
    </w:p>
  </w:footnote>
  <w:footnote w:type="continuationSeparator" w:id="0">
    <w:p w:rsidR="009C256C" w:rsidRDefault="009C2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277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454E" w:rsidRPr="007C454E" w:rsidRDefault="007C454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C454E">
          <w:rPr>
            <w:rFonts w:ascii="Times New Roman" w:hAnsi="Times New Roman"/>
            <w:sz w:val="28"/>
            <w:szCs w:val="28"/>
          </w:rPr>
          <w:fldChar w:fldCharType="begin"/>
        </w:r>
        <w:r w:rsidRPr="007C454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454E">
          <w:rPr>
            <w:rFonts w:ascii="Times New Roman" w:hAnsi="Times New Roman"/>
            <w:sz w:val="28"/>
            <w:szCs w:val="28"/>
          </w:rPr>
          <w:fldChar w:fldCharType="separate"/>
        </w:r>
        <w:r w:rsidR="00A902CB" w:rsidRPr="00A902CB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7C45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454E" w:rsidRDefault="007C45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4E" w:rsidRDefault="007C454E">
    <w:pPr>
      <w:pStyle w:val="a3"/>
      <w:jc w:val="center"/>
    </w:pPr>
  </w:p>
  <w:p w:rsidR="007C454E" w:rsidRDefault="007C4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22"/>
    <w:rsid w:val="000027D4"/>
    <w:rsid w:val="00026F1F"/>
    <w:rsid w:val="00027755"/>
    <w:rsid w:val="00045A19"/>
    <w:rsid w:val="000707BF"/>
    <w:rsid w:val="00085359"/>
    <w:rsid w:val="000938C2"/>
    <w:rsid w:val="000A05C8"/>
    <w:rsid w:val="000A5CF2"/>
    <w:rsid w:val="000B3240"/>
    <w:rsid w:val="000E4D93"/>
    <w:rsid w:val="00117362"/>
    <w:rsid w:val="00137F5D"/>
    <w:rsid w:val="00181377"/>
    <w:rsid w:val="001E1B33"/>
    <w:rsid w:val="001E5517"/>
    <w:rsid w:val="001E56F2"/>
    <w:rsid w:val="001F6A14"/>
    <w:rsid w:val="00243E5C"/>
    <w:rsid w:val="002462BD"/>
    <w:rsid w:val="00276764"/>
    <w:rsid w:val="00291B1F"/>
    <w:rsid w:val="002A7844"/>
    <w:rsid w:val="002E0E4F"/>
    <w:rsid w:val="00352FB1"/>
    <w:rsid w:val="00391F47"/>
    <w:rsid w:val="003C0025"/>
    <w:rsid w:val="003C79EB"/>
    <w:rsid w:val="00411B22"/>
    <w:rsid w:val="004248DC"/>
    <w:rsid w:val="004259DB"/>
    <w:rsid w:val="004E6F3F"/>
    <w:rsid w:val="00504288"/>
    <w:rsid w:val="005064C7"/>
    <w:rsid w:val="00513C0D"/>
    <w:rsid w:val="00520968"/>
    <w:rsid w:val="00520E3D"/>
    <w:rsid w:val="00566BFE"/>
    <w:rsid w:val="005D7869"/>
    <w:rsid w:val="005F5966"/>
    <w:rsid w:val="00611619"/>
    <w:rsid w:val="0062187F"/>
    <w:rsid w:val="00642A92"/>
    <w:rsid w:val="00645EA7"/>
    <w:rsid w:val="00654DB4"/>
    <w:rsid w:val="006C4ECD"/>
    <w:rsid w:val="006D2B87"/>
    <w:rsid w:val="006E6146"/>
    <w:rsid w:val="007675F2"/>
    <w:rsid w:val="00777205"/>
    <w:rsid w:val="007837A6"/>
    <w:rsid w:val="007C454E"/>
    <w:rsid w:val="007E06B7"/>
    <w:rsid w:val="00831DB5"/>
    <w:rsid w:val="00834E22"/>
    <w:rsid w:val="008C0D90"/>
    <w:rsid w:val="009014EA"/>
    <w:rsid w:val="00903501"/>
    <w:rsid w:val="00924C82"/>
    <w:rsid w:val="009307F8"/>
    <w:rsid w:val="00935F1F"/>
    <w:rsid w:val="009829E2"/>
    <w:rsid w:val="009A12C8"/>
    <w:rsid w:val="009C256C"/>
    <w:rsid w:val="009D195A"/>
    <w:rsid w:val="009F0668"/>
    <w:rsid w:val="00A6543B"/>
    <w:rsid w:val="00A902CB"/>
    <w:rsid w:val="00AC27FD"/>
    <w:rsid w:val="00AE233C"/>
    <w:rsid w:val="00B05B58"/>
    <w:rsid w:val="00B3196B"/>
    <w:rsid w:val="00B51D55"/>
    <w:rsid w:val="00B90554"/>
    <w:rsid w:val="00B92A59"/>
    <w:rsid w:val="00BB4EB1"/>
    <w:rsid w:val="00C44972"/>
    <w:rsid w:val="00C55C3A"/>
    <w:rsid w:val="00D31918"/>
    <w:rsid w:val="00D452C5"/>
    <w:rsid w:val="00D53512"/>
    <w:rsid w:val="00D84000"/>
    <w:rsid w:val="00D8602C"/>
    <w:rsid w:val="00DC7EB4"/>
    <w:rsid w:val="00E90958"/>
    <w:rsid w:val="00E94A10"/>
    <w:rsid w:val="00EB42AB"/>
    <w:rsid w:val="00EC22E7"/>
    <w:rsid w:val="00ED10F1"/>
    <w:rsid w:val="00EE3C52"/>
    <w:rsid w:val="00F207F4"/>
    <w:rsid w:val="00F3214E"/>
    <w:rsid w:val="00F50EBE"/>
    <w:rsid w:val="00F837D6"/>
    <w:rsid w:val="00F95588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2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B2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1B22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411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B22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rmal (Web)"/>
    <w:basedOn w:val="a"/>
    <w:rsid w:val="00411B22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1F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2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B2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1B22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5">
    <w:name w:val="footer"/>
    <w:basedOn w:val="a"/>
    <w:link w:val="a6"/>
    <w:rsid w:val="00411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B22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7">
    <w:name w:val="Normal (Web)"/>
    <w:basedOn w:val="a"/>
    <w:rsid w:val="00411B22"/>
    <w:pPr>
      <w:suppressAutoHyphens w:val="0"/>
      <w:spacing w:before="100" w:after="119"/>
      <w:ind w:firstLine="709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1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B1F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9</cp:revision>
  <cp:lastPrinted>2022-01-21T13:08:00Z</cp:lastPrinted>
  <dcterms:created xsi:type="dcterms:W3CDTF">2022-01-20T14:23:00Z</dcterms:created>
  <dcterms:modified xsi:type="dcterms:W3CDTF">2022-07-25T07:55:00Z</dcterms:modified>
</cp:coreProperties>
</file>