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46" w:rsidRDefault="003D0646" w:rsidP="003D0646">
      <w:pPr>
        <w:spacing w:after="0" w:line="240" w:lineRule="auto"/>
        <w:ind w:left="1168" w:firstLine="5069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Додаток     </w:t>
      </w:r>
    </w:p>
    <w:p w:rsidR="003D0646" w:rsidRPr="003D0646" w:rsidRDefault="003D0646" w:rsidP="003D0646">
      <w:pPr>
        <w:spacing w:after="0" w:line="240" w:lineRule="auto"/>
        <w:ind w:left="1168" w:firstLine="5069"/>
        <w:contextualSpacing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рішення обласної ради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                                                          </w:t>
      </w:r>
    </w:p>
    <w:p w:rsidR="003D0646" w:rsidRDefault="003D0646" w:rsidP="003D0646">
      <w:pPr>
        <w:tabs>
          <w:tab w:val="center" w:pos="5315"/>
          <w:tab w:val="right" w:pos="9921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ab/>
      </w:r>
    </w:p>
    <w:p w:rsidR="003D0646" w:rsidRDefault="003D0646" w:rsidP="003D0646">
      <w:pPr>
        <w:tabs>
          <w:tab w:val="center" w:pos="5315"/>
          <w:tab w:val="right" w:pos="992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center" w:pos="5315"/>
          <w:tab w:val="right" w:pos="9921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ЗАКЛЮЧНИЙ ЗВІТ</w:t>
      </w:r>
    </w:p>
    <w:p w:rsidR="00376598" w:rsidRDefault="003D0646" w:rsidP="003D064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про виконання </w:t>
      </w:r>
      <w:r w:rsidR="00376598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>Регіональної цільової соціальної п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рограми</w:t>
      </w:r>
      <w:r w:rsidR="005E6FE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</w:p>
    <w:p w:rsidR="005E6FE5" w:rsidRDefault="003D0646" w:rsidP="003D064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розвитку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сімейної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гендерної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політики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</w:p>
    <w:p w:rsidR="003D0646" w:rsidRPr="003D0646" w:rsidRDefault="003D0646" w:rsidP="003D064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Дніпропетровській</w:t>
      </w:r>
      <w:r w:rsidR="005E6FE5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області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на</w:t>
      </w: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 2012 − 2022 </w:t>
      </w:r>
      <w:r w:rsidRPr="003D0646">
        <w:rPr>
          <w:rFonts w:ascii="Times New Roman" w:eastAsia="Times New Roman" w:hAnsi="Times New Roman" w:cs="Times New Roman" w:hint="eastAsia"/>
          <w:b/>
          <w:spacing w:val="-4"/>
          <w:sz w:val="28"/>
          <w:szCs w:val="28"/>
          <w:lang w:val="uk-UA" w:eastAsia="ru-RU"/>
        </w:rPr>
        <w:t>роки</w:t>
      </w:r>
    </w:p>
    <w:p w:rsidR="003D0646" w:rsidRPr="003D0646" w:rsidRDefault="003D0646" w:rsidP="003D06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Рішенням Дніпропетровської обласної ради від 03</w:t>
      </w:r>
      <w:r w:rsidR="003C488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лютого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2012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року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      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241-11/V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(</w:t>
      </w:r>
      <w:r w:rsidR="003C488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змінами) затверджено регіональну цільову соціальну програму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сімейної та гендерної політики у Дніпропетровській області </w:t>
      </w:r>
      <w:r w:rsidR="00561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2012 – 2022 роки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(далі – Програма).</w:t>
      </w:r>
    </w:p>
    <w:p w:rsidR="003D0646" w:rsidRPr="003D0646" w:rsidRDefault="003D0646" w:rsidP="003D064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Метою Програми визначено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створення соціальних та економічних умов для належного функціонування та розвитку сім’ї як основи суспільства, утвердження духовно і фізично здорової, матеріально спроможної, соціально благополучної сім’ї, забезпечення виконання сім’єю її основних функцій, а також утвердження рівних прав та можливостей жінок і чоловіків.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Координатором Програми визначено департамент соціального захисту населення облдержадміністрації.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Для здійснення Програми та її заходів розпорядником коштів обласного бюджету було визначено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департамент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соціального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захисту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населення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облдержадміністрації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реалізації Програми виконувались завдання і заходи у напрямах: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t xml:space="preserve">1. Формування позитивного іміджу шлюбу та сім’ї. Підтримка сімей у вихованні дітей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 метою здійснення системи соціальних заходів, спрямованих на підтримку соціального статусу та повноцінної життєдіяльності сімей, дітей та молоді, за період виконання Програми були проведені такі обласні заходи: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акція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Привіт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 малюк”;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свято для дітей з вадами здоров’я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Дружна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сім’я”;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соціальна акція до Міжнародного дня інвалідів для жінок з вадами здоров’я 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Від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серця до серця”;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конкурси малюнків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Жінка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може все: погляд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дитини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ˮ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тренінги: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Формула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здорового способу життя”,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життя без наркотиків”,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Профілактика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деструктивної поведінки учнів”;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семінар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-практикум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и: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Сімейні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цінності”,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Форми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взаємодії класного керівника з батьками учнів”;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різдвяні  програми для дітей 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 малозабезпечених сімей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Спить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Ісус у яслах тихо”; </w:t>
      </w:r>
    </w:p>
    <w:p w:rsidR="003D0646" w:rsidRPr="003D0646" w:rsidRDefault="003D0646" w:rsidP="003D0646">
      <w:pPr>
        <w:tabs>
          <w:tab w:val="left" w:pos="567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 xml:space="preserve">виставки учнівських робіт: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Вічна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любов”,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Декорування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яєць до Великодніх свят”,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Моє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Придніпров’я”,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Бачити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щасливе життя”; </w:t>
      </w:r>
    </w:p>
    <w:p w:rsidR="003D0646" w:rsidRPr="003D0646" w:rsidRDefault="003D0646" w:rsidP="003D0646">
      <w:pPr>
        <w:tabs>
          <w:tab w:val="left" w:pos="567"/>
          <w:tab w:val="left" w:pos="482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виставка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Барви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ромської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душі”;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фестиваль творчих сімей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Родинне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коло”;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показ вистав на теми національних сімейних традицій і цінностей, формування позитивного іміджу шлюбу та сім’ї: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Івасик-Телесик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”, </w:t>
      </w:r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 де ж п’ятий?”,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Дитина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має право”,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Колобок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Три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ідеальні подружжя”.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До </w:t>
      </w:r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ня захисту дітей проведено: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арт-фестивалі дитячих талантів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Мрії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мого дитинства”;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цикл концертів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Обдаровані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діти – майбутнє України”;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цикл концертів-лекцій для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дітей-аутистів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учасниками та глядачами яких стали понад 500 осіб.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До Всесвітнього дня домашнього господарства для жінок проведено заходи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Жінки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вчаться перемагати” та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Вікно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 Америку”, заходом охоплено майже</w:t>
      </w:r>
      <w:r w:rsidR="00337AF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200 осіб.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 нагоди Всесвітнього дня без тютюну проведено ряд тематичних заходів з демонстрацією мультфільмів, спрямованих на профілактику згубного впливу куріння на здоров’я.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Крім того, з метою формування позитивного іміджу шлюбу та сім’ї, підтримки сімей у вихованні дітей: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розповсюджено понад 3,5 тис. екземплярів листівок: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Чи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потрібне планування сім’ї?”,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Психічне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здоров’я – основа щасливого життя”,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боротися зі стресом?”,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Що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потрібно знати про депресію?”,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Що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потрібно знати батькам дівчинки?”;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підготовлено статті: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Тиждень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планування сім’ї”,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Небезпека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слабоалкогольних напоїв”,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легалізацію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канабісу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 Україні”,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Деякі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поради на сьогоднішній день”,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шкідливий вплив марихуани”,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Шкідливість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вживання алкоголю”,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Всесвітній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день пам’яті померлих від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СНІДу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проведено семінар-практикум для батьків-вихователів  дитячих будинків сімейного типу, прийомних родин та родин-опікунів на тему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Особистий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простір батьків і дитини”;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проведено засідання клубів за інтересами. Під час зустрічей обговорювалися питання залежності в родині та довіри один одному. Проводилис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зустрічі та спілкування з питань виховання дітей у родинних клубах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Тернівський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вогник”,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Роксолана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”</w:t>
      </w:r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Молода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сім’я”,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Моє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серденько”,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Білий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лелека”.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Театрами області проведено показ вистав у сімейних клубах, центрах шкільного дозвілля, згідно з репертуарними планами. Заходами охоплено понад               1,5 тис. осіб.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F14210" w:rsidRDefault="00F14210" w:rsidP="003D06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376598" w:rsidRDefault="00376598" w:rsidP="003D06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F14210" w:rsidRDefault="00F14210" w:rsidP="003D06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  <w:lastRenderedPageBreak/>
        <w:t>2. Економічна та соціальна підтримка сімей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Робота з вирішення проблем сім’ї, які вона не може вирішити самостійно, без сторонньої підтримки, вимагає міжвідомчої співпраці, формування в кожному окремому випадку команди з представників різних підрозділів виконавчої влади, місцевого самоврядування, підприємств, установ та організацій.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Для розв’язання проблем зайнятості, підвищення конкурентоспроможності на сучасному ринку праці особам із багатодітних сімей, які звернулись до служби зайнятості</w:t>
      </w:r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надавалися профорієнтаційні послуги для професійного самовизначення.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 загальній кількості зареєстрованих безробітних традиційно більше було жінок – 61%. Найбільше безробітних зареєстровано  віком 34 − 44 роки та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45 − 55 років (29% і 28% відповідно), 26% зареєстрованих безробітних були у віці до  35 років; 17% – понад 55 років.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 урахуванням ситуації на ринку праці, для забезпечення конкурентоспроможності безробітних за направленнями міських та районних центрів зайнятості проводилось професійне навчання, перепідготовка та підвищення кваліфікації відповідно до вимог ринкової економіки.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Професійним навчанням, перепідготовкою та підвищенням кваліфікації охоплено понад 13,0 тис. осіб.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 метою інформування зареєстрованих безробітних про стан ринку праці та перспективи розвитку підприємництва в регіоні проведено ряд тематичних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профінформаційних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семінарів: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Генеруй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бізнес-ідею та розпочни свій бізнес”,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Кредитування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бізнесу”, </w:t>
      </w:r>
      <w:proofErr w:type="spellStart"/>
      <w:r w:rsidR="00561D6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Як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переграти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локдаун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відновлення або перезапуск власного бізнесу після пандемії” тощо.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Служба зайнятості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сприя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ла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розвитку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малого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підприємництва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серед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безробітних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громадян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Відповідно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Закону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України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07075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загальнообов’язкове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державне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соціальне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страхування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випадок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безробіття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”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допомога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безробіттю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може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виплачуватися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одноразово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організації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діяльності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безробітними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які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не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можуть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бути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працевлаштовані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зв’язку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відсутністю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ринку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праці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підходящої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роботи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Так 815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осіб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членів багатодітних сімей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числа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безробітних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започаткували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власну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справу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сприяння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служби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шляхом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отримання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виплати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одноразової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допомоги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безробіттю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організації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діяльності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отримання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необхідних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знань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питань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організації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ведення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підприємницької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діяльності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фахівці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служби зайнятості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пропонують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зацікавленим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особам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використовувати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такі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навчальні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нтернет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сервіси</w:t>
      </w:r>
      <w:proofErr w:type="spellEnd"/>
      <w:r w:rsidR="0037659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</w:t>
      </w:r>
      <w:proofErr w:type="spellStart"/>
      <w:r w:rsidR="0007075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Освітній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портал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Державної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служби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”,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онлайн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платформа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07075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Дія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Бізнес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”,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платформа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відкритих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курсів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07075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Prometheus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”.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Ф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ахівцями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міських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районних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центрів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всім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зацікавленим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особам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надаються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безоплатні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індивідуальні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та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групові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консультації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питань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lastRenderedPageBreak/>
        <w:t>організації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провадження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діяльності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Протягом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дії Програми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надано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8,7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тис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консультацій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із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зазначеної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тематики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Також у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центрах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області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проведено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5,7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тис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заходів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що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сприяють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активізації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ініціативи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мотивують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самозайнятості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яких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залучено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11,5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тис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осіб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тому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числі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840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заходів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8,1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тис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осіб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проведені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онлайн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режимі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використанням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сервісів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дистанційної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комунікації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звітний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період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міськ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ими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районн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ими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центр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ами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проводились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тому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числі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застосуванням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дистанційних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засобів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комунікації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семінари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вебінари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тренінги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майстер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класи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організації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діяльності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щотижневі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тренінги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основ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бізнес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планування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залученням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представників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управлінь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відділів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)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економіки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територіальних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органів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фіскальної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служби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інших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організацій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також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успішних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підприємців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Крім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центрах розвитку підприємництва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проводилась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інформаційно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мотиваційна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робота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залученню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суб’єктів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господарювання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участі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міжнародних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грантових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програмах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державному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проєкті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фінансової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підтримки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суб’єктів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мікропідприємництва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малого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підприємництва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07075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Доступні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кредити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5-7-9%”.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метою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створення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сприятливих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умов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розвитку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молодіжного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підприємництва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формування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підприємницької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культури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серед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учнівської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студентської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молоді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Дніпропетровським обласним центром 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організована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робота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="0007075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Бізнес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школ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молодого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підприємця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”.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Протягом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звітного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періоду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приміщеннях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центрів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зайнятості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закладах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загальної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середньої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освіти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молодіжних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центрах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а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також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онлайн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режимі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використанням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вебінарних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сервісів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Zoom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proofErr w:type="spellStart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Skype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)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проводились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конкурси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proofErr w:type="spellStart"/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квести</w:t>
      </w:r>
      <w:proofErr w:type="spellEnd"/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уроки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фінансової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грамотності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тренінги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Так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протягом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звітного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періоду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було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проведено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    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187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заходів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відповідної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тематики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3,9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тис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осіб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них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126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заходів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для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2,2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тис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осіб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проведено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pacing w:val="-4"/>
          <w:sz w:val="28"/>
          <w:szCs w:val="28"/>
          <w:lang w:val="uk-UA" w:eastAsia="ru-RU"/>
        </w:rPr>
        <w:t>дистанційно</w:t>
      </w: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Формування здорового способу життя у сім’ї, збереження репродуктивного здоров’я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 період виконання Програми були проведені такі обласні заходи:</w:t>
      </w:r>
    </w:p>
    <w:p w:rsidR="003D0646" w:rsidRPr="003D0646" w:rsidRDefault="007172C5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акція щодо знищення реклами наркотиків на будівлях міста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Намалюй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життя”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участ</w:t>
      </w:r>
      <w:r w:rsidR="00F0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соціальних служб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Міжнародної антинаркотичної асоціації, громадсь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ких організацій, правоохоронних</w:t>
      </w:r>
      <w:r w:rsidR="00F0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органів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роз’яснювальн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батьками та дітьми із малозабезпечених, багатодітних сімей, діт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ьми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-сир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отами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діт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ьми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позбавлени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батьківського піклування, діт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ьми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вадами здоров’я щодо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долучення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занять фізичною культурою і спортом </w:t>
      </w:r>
      <w:r w:rsidR="00F0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заходами охоплено понад 1,7 тис. осіб</w:t>
      </w:r>
      <w:r w:rsidR="00F0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лекції з питань статевого виховання та бесіди на теми </w:t>
      </w:r>
      <w:proofErr w:type="spellStart"/>
      <w:r w:rsidR="00E603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Здоровий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спосіб життя”, </w:t>
      </w:r>
      <w:proofErr w:type="spellStart"/>
      <w:r w:rsidR="00E603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Безпечна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поведінка”, </w:t>
      </w:r>
      <w:proofErr w:type="spellStart"/>
      <w:r w:rsidR="00E603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Профілактика</w:t>
      </w:r>
      <w:proofErr w:type="spellEnd"/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ІПСШ</w:t>
      </w:r>
      <w:proofErr w:type="spellEnd"/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ВІЛ/СНІД”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</w:t>
      </w:r>
      <w:r w:rsidR="007172C5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72C5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підлітк</w:t>
      </w:r>
      <w:r w:rsidR="007172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7172C5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знаходяться на лікуванні у стаціонарі,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заходами охоплено майже 800 осіб;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онлайн-конференції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планування сім’ї для медичних працівників закладів охорони здоров’я Дніпропетровської області;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603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мені дорогий!”, яка спрямована на пропагування сімейних цінностей;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розповсюджено понад 1,3 тис. буклетів </w:t>
      </w:r>
      <w:proofErr w:type="spellStart"/>
      <w:r w:rsidR="00E603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Тобі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варто про це знати!”.</w:t>
      </w:r>
    </w:p>
    <w:p w:rsidR="003D0646" w:rsidRPr="003D0646" w:rsidRDefault="003D0646" w:rsidP="003D0646">
      <w:pPr>
        <w:tabs>
          <w:tab w:val="left" w:pos="567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організації фізкультурно-спортивної роботи для осіб, які мають вади здоров’я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були проведені змагання, веселі старти з легкої атлетики,                 доміно, шашок, шахів, настільного тенісу, плаванн</w:t>
      </w:r>
      <w:r w:rsidR="00E603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картингу, гри у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боча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дартс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пауерліфтингу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айкідо, плавання.</w:t>
      </w:r>
    </w:p>
    <w:p w:rsidR="003D0646" w:rsidRPr="003D0646" w:rsidRDefault="003D0646" w:rsidP="003D0646">
      <w:pPr>
        <w:tabs>
          <w:tab w:val="left" w:pos="567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Створені умови для розширення системи комунальних закладів </w:t>
      </w:r>
      <w:proofErr w:type="spellStart"/>
      <w:r w:rsidR="00E603EA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Спорт</w:t>
      </w:r>
      <w:proofErr w:type="spellEnd"/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всіх” у містах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Кам’янське, Нікополь, Новомосковськ та у Дніпровському, Новомосковському,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Синельниківському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районах.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Патріотичне виховання сімей та дітей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утвердження патріотизму, духовності, моральності та формування загальнолюдських цінностей проведено низку наступних заходів: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здійснено походи з нагоди Дня Соборності України, учасниками якого стали члени скаутських організацій та члени Національної організації скаутів України (НОСУ) у Дніпропетровській області, заходами охоплено майже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50 учасників;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Дня Конституції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КЗК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Дніпропетровська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обласна універсальна наукова бібліотека імені Первоучителів слов’янських Кирила і Мефодія” відкрито експозицію, на якій представлені документи, що розповідають про історію творення Конституції нашої держави, конституційн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свобод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обов’язк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 і громадянина, розкрито зміст інституту конституційної скарги, конституційного правосуддя </w:t>
      </w:r>
      <w:r w:rsidR="00C53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тощо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Всеукраїнському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онлайн-конкурсі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правового просвітництва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всіх: і великих, і малих”;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оформлено інформаційну інсталяцію у форматі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Конституція-24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/7”;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онлайн-презентація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для школярів</w:t>
      </w:r>
      <w:r w:rsidRPr="003D0646">
        <w:rPr>
          <w:rFonts w:ascii="Calibri" w:eastAsia="Times New Roman" w:hAnsi="Calibri" w:cs="Times New Roman"/>
          <w:sz w:val="28"/>
          <w:szCs w:val="20"/>
          <w:lang w:val="uk-UA" w:eastAsia="ru-RU"/>
        </w:rPr>
        <w:t xml:space="preserve">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крізь призму історії”.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Дня Збройних Сил України для дітей внутрішньо переміщених осіб організовано: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майстер-клас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Намалюємо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Перемогу”;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святковий гала-концерт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Моє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ім’я – Україна”;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виставка художніх робіт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День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Соборності України”.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r w:rsidR="00357E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пам’яті жертв голодоморів проведено: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виховні години,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пам’яті: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плине, а пам’ять залишається”,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пам’ятає”,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Голодомор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1932 – 1933 рр. в Україні”, 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 знаю про Голодомор”; 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 презентацій та відеоматеріалів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Голодний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дух”, </w:t>
      </w:r>
      <w:proofErr w:type="spellStart"/>
      <w:r w:rsidR="00357EF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Голодомор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Зернятка надії”,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правду! Збережи пам’ять!”,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колись страшні часи”;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онлайн-виставки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фото та літератури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Минуле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стукає в наші серця”,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відповість за геноцид?”,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день в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історії̈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Українським товариством охорони пам’яток історії та культури проведено конкурс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Збережемо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спадщину – збережемо Україну” для учнів до 18 років, в якому взя</w:t>
      </w:r>
      <w:r w:rsidR="00650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участь понад 100 дітей нашої області.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Проведено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історико-просвітницький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захід про історію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Січеславщини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національно-визвольній боротьбі України. </w:t>
      </w:r>
    </w:p>
    <w:p w:rsidR="00F14210" w:rsidRDefault="00F14210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Запобігання насильству в сім’ї та протидія торгівлі людьми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області створена та діє мережа спеціалізованих служб підтримки осіб, які постраждали від домашнього насильства та/або насильства за ознакою статі (далі – Спеціалізовані служби), яка включає: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58 мобільних бригад соціально-психологічної допомоги;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притулки цілодобового перебування;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денних центри соціально-психологічної допомоги;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 спеціалізованих служб первинного соціально-психологічного консультування осіб, які постраждали від домашнього насильства;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кризових кімнат</w:t>
      </w:r>
      <w:r w:rsidR="00F037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bookmarkStart w:id="0" w:name="_GoBack"/>
      <w:bookmarkEnd w:id="0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короткострокового перебування;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інших заклад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постраждалих від домашнього насильства.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Державною соціальною програмою із запобігання та протидії домашньому насильству та насильству за ознакою статі на період </w:t>
      </w:r>
      <w:r w:rsidR="00F14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2025 року пер</w:t>
      </w:r>
      <w:r w:rsidR="00650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едбачено виділення субвенції з Д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ержавного бюджету місцевим бюджетам на створення мережі Спеціалізованих служб.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Така субвенція вперше була передбачена Законом України </w:t>
      </w:r>
      <w:proofErr w:type="spellStart"/>
      <w:r w:rsidR="00F14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Державний бюджет України на 2021 рік”. У 2021 році з </w:t>
      </w:r>
      <w:r w:rsidR="00650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ержавного бюджету місцевим бюджетам на створення мережі Спеціалізованих служб виділено кошти 6 територіальним громадам: Дніпровській, Криворізькій міським, Васильківській, Петриківській,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Петропавлівській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Покровській селищним територіальним громадам на загальну суму 7,5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удосконалення механізму запобігання та протидії домашньому насильству та насильству за ознакою статі в умовах децентралізації, а також підвищення ефективної взаємодії органів виконавчої влади, органів місцевого самоврядування, громадськості в області прийнято Регіональну соціальну програму запобігання та протидії домашньому насильству та насильству за ознакою статі в Дніпропетровській області на період </w:t>
      </w:r>
      <w:r w:rsidR="00F142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 2025 року, затверджену рішенням Дніпропетровської обласної ради від 06.08.2021 № 97-7/VIІІ (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змінами).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Щороку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з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метою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привернення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уваги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підвищення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рівня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обізнаності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громадськості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до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проблеми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вчинення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 w:hint="eastAsia"/>
          <w:sz w:val="28"/>
          <w:szCs w:val="28"/>
          <w:lang w:val="uk-UA" w:eastAsia="ru-RU"/>
        </w:rPr>
        <w:t>насильства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рамках Всеукраїнської кампанії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днів проти насильства” в області проведено низку заходів: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координаційної ради з питань сімейної та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ендерної політики, попередження насильства в сім’ї, протидії торгівлі людьми при Дніпропетровській обласній державній адміністрації;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робочі зустрічі суб’єктів взаємодії, які здійснюють заходи у сфері протидії торгівлі людьми на регіональному рівні;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семінари, приурочені до Всеукраїнської акції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днів проти насильства”;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навчальні тренінги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субʼєктів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здійснюють заходи у сфері запобігання та протидії домашньому насильству,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насильству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ознакою статі  на місцевому рівні в умовах воєнних дій в Україні;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профінформаційні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групові заходи за тематикою </w:t>
      </w:r>
      <w:proofErr w:type="spellStart"/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Ризики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нелегальної трудової міграції”;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групові консультації з надання вторинної правової допомоги для шукачів роботи.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учнівської та студентської молоді за участю центрів соціальних служб, служби у справах дітей, поліцейських офіцерів громад проведено інформаційно-просвітницькі акції </w:t>
      </w:r>
      <w:r w:rsidR="00F1421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днів проти насильства”, а саме: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творчі уроки-бесіди на теми: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проти насильства”,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улюблений світ без насильства”,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розв’язувати конфлікти”;</w:t>
      </w:r>
    </w:p>
    <w:p w:rsidR="003D0646" w:rsidRPr="003D0646" w:rsidRDefault="00650997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тему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Мережа</w:t>
      </w:r>
      <w:proofErr w:type="spellEnd"/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загальних та спеціальних служб підтримки осіб, які постраждали від домашнього насильства та гендерно зумовленого насильства”;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конкурси малюнків, соціальних плакатів, колажів: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насильства очима дітей”,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проти насильства” тощо;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тематичні виставки: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Стоп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насильству”,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порушення прав”,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Скажемо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насиллю СТОП”.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бібліотечних закладах громад проведені інформаційні та тематичні виставки, приурочен</w:t>
      </w:r>
      <w:r w:rsidR="0091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Всеукраїнської акції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днів проти насильства”</w:t>
      </w:r>
      <w:r w:rsidR="00650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тематичні книжкові виставки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різні, але права рівні”,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Стоп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насильству”, </w:t>
      </w:r>
      <w:proofErr w:type="spellStart"/>
      <w:r w:rsidR="006509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Жінка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сучасному світі”.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Надавачами соціальних послуг територіальних громад області розповсюджено понад 7,0 тис. буклетів соціальної реклами з питань запобігання протидії домашньому насильству,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насильству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ознакою статі, протидії торгівлі людьми. 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Забезпечено роботу телефонної гарячої лінії Дніпропетровського обласного центру соціальних служб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ображають дитину”.  </w:t>
      </w:r>
    </w:p>
    <w:p w:rsid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2CC8" w:rsidRPr="003D0646" w:rsidRDefault="00272CC8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6. Утвердження гендерної рівності в українському суспільстві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області проведено низку заходів, спрямованих на піднесення ролі жінки та чоловіка, з утвердження гендерної культури в суспільстві, а саме: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культурно-мистецькі акції, читацькі та науково-практичні конференції, круглі столи на теми: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Захист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 жінок в Україні”,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Просування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гендерної рівності в Україні: позитивні законодавчі кроки, громадські ініціативи та кращі практики”,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жінка, і я знаю свої права”,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жінок”,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жінок у сфері трудових відносин”,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дискримінація жінок, сутність та форми прояву”;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дискусії: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і можливості працюючих жінок”,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Децентралізація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роль жінок у створенні об’єднаних територіальних громад”,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Гендерне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виховання дітей в сім’ї,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Аспекти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гендерного виховання в родині”,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Гендерна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рівність та взаємна повага в сім’ї”,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Лицарі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лицарки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історії української державності”, “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Фемінітиви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українській мові”,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Гендерна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рівність та розширення прав жінок в сучасному світі”,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питання, які мають значення. Гендерна рівність в Україні”.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Вищезазначеними заходами охоплено понад 3,5 тис. осіб.</w:t>
      </w:r>
    </w:p>
    <w:p w:rsidR="003D0646" w:rsidRPr="003D0646" w:rsidRDefault="003D0646" w:rsidP="003D0646">
      <w:pPr>
        <w:tabs>
          <w:tab w:val="left" w:pos="0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Крім того, в засобах масової інформації висвітлювались питання щодо заборони в оголошеннях (рекламі) про вакансії пропонувати роботу лише за ознаками однієї статі, за винятком специфічної роботи, яка може виконуватися винят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особами певної статі, висувати різні вимоги, даючи перевагу одній із статей.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 при повідомній реєстрації колективних договорів керівникам підприємств, установ та організацій незалежно від форм власності і господарювання, які використовують найману працю, надаються рекомендації щодо включення положення, що рівною мірою враховують інтереси жінок і чоловіків під час здійснення заходів щодо їх соціального захисту.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 Організаційне, кадрове, науково-методичне та інформаційне забезпечення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забезпечення рівних прав та можливостей жінок і чоловіків у регіоні здійснюється системна робота стосовно реалізації положень Закону України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забезпечення рівних прав та можливостей жінок і чоловіків” з утвердження гендерної рівності в українському суспільстві, ролі жінок і чоловіків в усіх сферах діяльності: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обл</w:t>
      </w:r>
      <w:r w:rsidR="0096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асній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</w:t>
      </w:r>
      <w:r w:rsidR="0096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вній а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дміністрації та у всіх 86 територіальних громадах визначено координаторів з питань забезпечення рівних прав та можливостей жінок і чоловіків, запобігання та протидії насильству за ознакою статі;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діє координаційна рада з питань сімейної та гендерної політики, попередження насильства в сім’ї, протидії торгівлі людьми при Дніпропетровській обласній державній адміністрації;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створені і працюють 75 координаційних рад у сфері запобігання та протидії домашньому насильству і насильству за ознакою статі: 7 при райдержадміністраціях та 68 при міських радах та територіальних громадах;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План дій з виконання резолюції Ради Безпеки ООН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1325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Жінки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мир, безпека” на період до 2025 року в Дніпропетровській області.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виконання Плану дій залучені: управління взаємодії з правоохоронними органами та оборонної роботи облдержадміністрації,  управління з питань учасників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облдержадміністрації, департамент цивільного захисту облдержадміністрації, департамент молоді і спорту облдержадміністрації, Головне управління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ДСНС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у Дніпропетровській області, Головне управління Національної поліції в Дніпропетровській області, Головне управління Державної міграційної служби в Дніпропетровської області, Управління служби безпеки України у Дніпропетровської області, Оперативне командування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Схід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Сухопутних військ Збройних Сил України, Повітряне командування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Схід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” Повітряних сил Збройних Сил України, Центральне територіальне управління Національної гвардії України.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Облдержадміністрацією для підтримки осіб, що постраждали внаслідок військового конфлікту, до співпраці залучається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Правозахисна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рупа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СІЧ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”, яка проводить безоплатні юридичні консультації та надає комплексну юридичну допомогу вразливим верствам населення, зокрема постраждалим від збройного конфлікту.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до процесу оцінки базових потреб жінок і чоловіків, які постраждали від війни та потребують допомоги, залучені громадські об’єднання та міжнародні організації: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добром у серці”;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БТ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Позитивні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жінки” м. Дніпро”;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Благодійний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 “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ШЕЛТЕР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ПЛЮС”;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6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Промінь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Регіональне представництво Фонду народонаселення ООН в Україні;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БФ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Лікарі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 кордонів – Бельгія”;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96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Громадський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рух </w:t>
      </w:r>
      <w:proofErr w:type="spellStart"/>
      <w:r w:rsidR="00967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Джендер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Стрім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та інші.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Департаментом соціального захисту населення облдержадміністрації забезпечено співпрацю з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Кар’єрним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хабом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ВОНА”, відкриття якого відбулося 8 липня 2022 року у місті Дніпро Представництвом Фонду ООН у галузі народонаселення (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UNFPA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в Україні за фінансової підтримки Уряду Великобританії.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рамках роботи Кар’єрного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хабу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надаються такі послуги: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індивідуальна професійна підтримка жінок (визначення компетентності, консультації щодо стратегій та методів пошуку роботи, допомога у підготовці резюме, проходженні співбесіди, пошуку роботи, адаптації на новому робочому місці; підтримка у започаткуванні власного бізнесу);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для жінок професійних та підприємницьких курсів, стажування в компаніях з метою розширення можливостей працевлаштування або сприяння заснуванню власного бізнесу;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тренінгів з ефективного працевлаштування жінок, постраждалих від домашнього/гендерно зумовленого насильства, для працівників та працівниць соціальних служб та центрів зайнятості;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тренінгів для роботодавців задля впровадження ефективних алгоритмів протидії та запобіганню домашнього/гендерно зумовленого насильства на роботі.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Стратегія розвитку гендерної </w:t>
      </w:r>
      <w:r w:rsidR="00272CC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</w:t>
      </w: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сімейної політики у Дніпропетровському регіоні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реалізації державної сімейної та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ендерної політики, спрямованої на утвердження в суспільстві соціальної справедливості та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ендерної рівності, підтримки сім’ї, забезпечення рівних прав та можливостей жінок і чоловіків в області проведено низку заходів: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фотовиставка з нагоди 20-ї річниці від дня ухвалення Резолюції ООН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Жінки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мир, безпека”;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жіночий марш </w:t>
      </w:r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пандемії жіноче обличчя”;</w:t>
      </w:r>
    </w:p>
    <w:p w:rsidR="003D0646" w:rsidRPr="003D0646" w:rsidRDefault="003D0646" w:rsidP="003D0646">
      <w:pPr>
        <w:tabs>
          <w:tab w:val="left" w:pos="0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тренінги з обміну досвідом з надання допомоги в умовах пандемії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COVID-19 та напрацювання навичок кризової комунікації з контекстного гендерного аналізу плюс (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GBA+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тренінг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Гендерне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програмування  як інструмент до забезпечення рівності та захисту прав жінок в Україні”;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круглі столи: </w:t>
      </w:r>
    </w:p>
    <w:p w:rsidR="003D0646" w:rsidRPr="003D0646" w:rsidRDefault="00272CC8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Національний</w:t>
      </w:r>
      <w:proofErr w:type="spellEnd"/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гендерний механізм на місцевому рівні на прикладі Дніпропетровської </w:t>
      </w:r>
      <w:proofErr w:type="spellStart"/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  <w:r w:rsidR="00DC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ˮ</w:t>
      </w:r>
      <w:proofErr w:type="spellEnd"/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272CC8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Актуальні</w:t>
      </w:r>
      <w:proofErr w:type="spellEnd"/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проблеми захисту прав жінок з інвалідністю в Дніпропетровському регіоні”;.</w:t>
      </w:r>
      <w:r w:rsidR="003D0646"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вебінар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тему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„Г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ендерна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складова в проблемних питаннях жінок військових та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ветеранок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проживають </w:t>
      </w:r>
      <w:r w:rsidR="00DC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Дніпропетровській області”;</w:t>
      </w:r>
    </w:p>
    <w:p w:rsidR="003D0646" w:rsidRPr="003D0646" w:rsidRDefault="003D0646" w:rsidP="003D064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регіональна конференція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Протидія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гендерно зумовленому насильству в Україні: правовий захист та надання допомоги постраждалим” – захід загальнонаціональної значущості, який вже кілька років поспіль збирає небайдужих до цієї суспільно актуальної проблематики зарубіжних і вітчизняних науковців, представників правоохоронних і правозахисних органів, громадських та міжнародних організацій, політиків, юристів-практиків, журналістів;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покази вистав Дніпровським національним академічним українським музично-драматичним театром імені Т.Г.Шевченка на гендерну тематику: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Обережно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жінки!”,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Заради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любові”;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художні виставки та театральні покази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КПК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72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Дніпровський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академічний театр драми та комедії”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Крім того, в області проведено низку інформаційно-просвітницьких кампаній, заходів, зокрема виявлення та надання, в межах компетенції, комплексу соціальних послуг сім’ям, які опинились у складних життєвих ситуаціях, пов’язаних з проблемою домашнього насильства, підготовка молоді до сімейного життя, формування відповідального батьківства.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вихованців підліткових клубів проведено навчальний квест </w:t>
      </w:r>
      <w:proofErr w:type="spellStart"/>
      <w:r w:rsidR="0073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„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Впізнай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злочинця”. Під час квесту діти в ігровій формі </w:t>
      </w:r>
      <w:r w:rsidR="00DC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или розуміння та обізнаність про всі форми насильства</w:t>
      </w:r>
      <w:r w:rsidR="00DC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дізналися як</w:t>
      </w:r>
      <w:r w:rsidR="00DC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попередити прояви жорстокості та насильства серед дітей та молоді, насильства дорослих над дітьми, жорстокості одних дітей по відношенню до інших.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виконання Програми на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 2012 – 2016 років було передбачено 1596,4 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на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етап 2017– 2021 років – 6846,81 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на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 етап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2022 рік – 106,2 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напрямами: 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позитивного іміджу шлюбу та сім’ї, підтримка сімей у вихованні дітей;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економічна та соціальна підтримка сімей;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здорового способу життя у сім’ї, збереження репродуктивного здоров’я;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патріотичне виховання сімей та дітей;</w:t>
      </w:r>
    </w:p>
    <w:p w:rsidR="003D0646" w:rsidRPr="003D0646" w:rsidRDefault="003D0646" w:rsidP="003D064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насильству в сім’ї та протидія торгівлі людьми;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утвердження гендерної рівності в українському суспільстві;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організаційне, кадрове, науково-методичне та інформаційне забезпечення;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стратегія розвитку гендерної і сімейної політики у Дніпропетровському регіоні.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заходів Програми на 2012 – 2022 роки в обласному бюджеті було затверджено 8388,6 тис. грн. За 2012 – 2022 роки фактично освоєно коштів обласного бюджету 7343,2 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що склало 87,5% від затвердженого обсягу.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Програми та її пунктів освоєно за роками: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2012 році –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,0 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2013 році – 31,8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2014 році – 9,3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2015 році – 34,3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2016 році – 4,5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2017 році – 1044,2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2018 році – 1234,7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 році – 1443,5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2020 році – 1555,5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– 1945,4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тис.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0646" w:rsidRPr="003D0646" w:rsidRDefault="003D0646" w:rsidP="003D0646">
      <w:pPr>
        <w:tabs>
          <w:tab w:val="left" w:pos="0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 – 0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поширенням </w:t>
      </w:r>
      <w:r w:rsidRPr="003D064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пандемії </w:t>
      </w:r>
      <w:proofErr w:type="spellStart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СОVID-19</w:t>
      </w:r>
      <w:proofErr w:type="spellEnd"/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широкомасштабною збройною агресією російської федерації заходи Програми проводились в онлайн</w:t>
      </w:r>
      <w:r w:rsidR="0073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режимі та не у повному обсязі. 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Заходами Програми у кількості 4689 було охоплено 6801710 осіб: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2012 році – 418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заходів, 605000 осіб; 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2013 році – 411 заходів, 701000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2014 році – 465 заходів, 650800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2015 році – 473 заходів, 700500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2016 році – 458 заходів, 747000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2017 році – 586 заходів, 712910 осіб;</w:t>
      </w:r>
    </w:p>
    <w:p w:rsidR="003D0646" w:rsidRPr="003D0646" w:rsidRDefault="003D0646" w:rsidP="003D0646">
      <w:pPr>
        <w:tabs>
          <w:tab w:val="left" w:pos="567"/>
          <w:tab w:val="left" w:pos="2268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2018 році – 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заходів, 681300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 році – 520 заходів, 695000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 році – 265 заходів, 601000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– 408 заходів, 696200 осіб;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 – 180 заходів, 11000 осіб.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 заброньованих робочих місць 34%, що склало 59,6% запланованого показника, а саме за роками: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2012 році – 3%;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2013 році – 3%;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2014 році – 3%;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2015 році – 3%;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2016 році – 3%;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2017 році – 3%;</w:t>
      </w:r>
    </w:p>
    <w:p w:rsidR="003D0646" w:rsidRPr="003D0646" w:rsidRDefault="003D0646" w:rsidP="003D0646">
      <w:pPr>
        <w:tabs>
          <w:tab w:val="left" w:pos="567"/>
        </w:tabs>
        <w:spacing w:after="0" w:line="247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2018 році – 3%;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 році – 3%;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 році – 3%;</w:t>
      </w:r>
    </w:p>
    <w:p w:rsidR="003D0646" w:rsidRPr="003D0646" w:rsidRDefault="003D0646" w:rsidP="003D0646">
      <w:pPr>
        <w:tabs>
          <w:tab w:val="left" w:pos="567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– 3%;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 – 4%.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Виготовлено та розповсюджено книг, довідників, соціальної реклами             31880</w:t>
      </w:r>
      <w:r w:rsidR="00736A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шт., за роками: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2012 році – 2051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2013 році – 2409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2014 році – 2609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2015 році – 2909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2016 році – 3092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2017 році – 3020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2018 році – 3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 році – 3410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 році – 3710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– 4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шт.;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 2022 році – 1</w:t>
      </w:r>
      <w:r w:rsidRPr="003D0646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3D0646">
        <w:rPr>
          <w:rFonts w:ascii="SchoolDL" w:eastAsia="Times New Roman" w:hAnsi="SchoolDL" w:cs="Times New Roman"/>
          <w:sz w:val="28"/>
          <w:szCs w:val="20"/>
          <w:lang w:val="uk-UA" w:eastAsia="ru-RU"/>
        </w:rPr>
        <w:t xml:space="preserve"> </w:t>
      </w:r>
      <w:r w:rsidRPr="00736A8C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ш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Фактично пройшли навчання кандидати у прийомні батьки та батьки-вихователі 1027 </w:t>
      </w:r>
      <w:r w:rsidR="00DC45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</w:t>
      </w: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склало 105,5 % запланованого показника, а саме за роками: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2012 році – 211 осіб;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2013 році – 177 осіб;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2014 році – 118 осіб;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2015 році – 83 особи;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2016 році – 62 особи;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2017 році – 53 особи;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2018 році – 41 особи;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2019 році – 64 особи;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2020 році – 127 осіб;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2021 році – 39 осіб;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2022 році – 52 особи.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06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цілому реалізація Програми сприяла створенню оптимальних соціально-економічних умов для повноцінного функціонування сім’ї та виховання в ній дітей, формування культури сімейних відносин, підвищення відповідальності батьків за сім’ю, виховання дітей та забезпечення рівних прав усіх категорій жінок та чоловіків на отримання соціальних послуг та підтримки.</w:t>
      </w:r>
    </w:p>
    <w:p w:rsidR="003D0646" w:rsidRPr="003D0646" w:rsidRDefault="003D0646" w:rsidP="003D06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D0646" w:rsidRPr="003D0646" w:rsidRDefault="003D0646" w:rsidP="003D0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Заступник голови </w:t>
      </w:r>
    </w:p>
    <w:p w:rsidR="003D0646" w:rsidRPr="003D0646" w:rsidRDefault="003D0646" w:rsidP="003D0646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uk-UA" w:eastAsia="uk-UA"/>
        </w:rPr>
      </w:pP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обласної ради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</w:t>
      </w:r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І. </w:t>
      </w:r>
      <w:proofErr w:type="spellStart"/>
      <w:r w:rsidRPr="003D0646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КАШИРІН</w:t>
      </w:r>
      <w:proofErr w:type="spellEnd"/>
    </w:p>
    <w:p w:rsidR="003D0646" w:rsidRPr="003D0646" w:rsidRDefault="003D0646" w:rsidP="003D06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0646" w:rsidRPr="003D0646" w:rsidRDefault="003D0646" w:rsidP="003D0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D0646">
        <w:rPr>
          <w:rFonts w:ascii="Times New Roman" w:eastAsia="Times New Roman" w:hAnsi="Times New Roman" w:cs="Times New Roman"/>
          <w:sz w:val="2"/>
          <w:szCs w:val="2"/>
          <w:lang w:eastAsia="ru-RU"/>
        </w:rPr>
        <w:t>=</w:t>
      </w:r>
    </w:p>
    <w:p w:rsidR="000707BF" w:rsidRDefault="000707BF"/>
    <w:sectPr w:rsidR="000707BF" w:rsidSect="00F64CEF">
      <w:headerReference w:type="even" r:id="rId7"/>
      <w:headerReference w:type="default" r:id="rId8"/>
      <w:headerReference w:type="first" r:id="rId9"/>
      <w:pgSz w:w="11906" w:h="16838"/>
      <w:pgMar w:top="1134" w:right="849" w:bottom="1418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33" w:rsidRDefault="00315533" w:rsidP="00561D6C">
      <w:pPr>
        <w:spacing w:after="0" w:line="240" w:lineRule="auto"/>
      </w:pPr>
      <w:r>
        <w:separator/>
      </w:r>
    </w:p>
  </w:endnote>
  <w:endnote w:type="continuationSeparator" w:id="0">
    <w:p w:rsidR="00315533" w:rsidRDefault="00315533" w:rsidP="0056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33" w:rsidRDefault="00315533" w:rsidP="00561D6C">
      <w:pPr>
        <w:spacing w:after="0" w:line="240" w:lineRule="auto"/>
      </w:pPr>
      <w:r>
        <w:separator/>
      </w:r>
    </w:p>
  </w:footnote>
  <w:footnote w:type="continuationSeparator" w:id="0">
    <w:p w:rsidR="00315533" w:rsidRDefault="00315533" w:rsidP="0056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106" w:rsidRDefault="009F3636" w:rsidP="00755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106" w:rsidRDefault="00315533" w:rsidP="008F1E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979582"/>
      <w:docPartObj>
        <w:docPartGallery w:val="Page Numbers (Top of Page)"/>
        <w:docPartUnique/>
      </w:docPartObj>
    </w:sdtPr>
    <w:sdtEndPr/>
    <w:sdtContent>
      <w:p w:rsidR="00F64CEF" w:rsidRDefault="00F64C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E4" w:rsidRPr="00F037E4">
          <w:rPr>
            <w:noProof/>
            <w:lang w:val="ru-RU"/>
          </w:rPr>
          <w:t>8</w:t>
        </w:r>
        <w:r>
          <w:fldChar w:fldCharType="end"/>
        </w:r>
      </w:p>
    </w:sdtContent>
  </w:sdt>
  <w:p w:rsidR="00F14210" w:rsidRDefault="00F142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6C" w:rsidRDefault="00561D6C">
    <w:pPr>
      <w:pStyle w:val="a3"/>
      <w:jc w:val="center"/>
    </w:pPr>
  </w:p>
  <w:p w:rsidR="00561D6C" w:rsidRDefault="00561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F3"/>
    <w:rsid w:val="00070757"/>
    <w:rsid w:val="000707BF"/>
    <w:rsid w:val="00272CC8"/>
    <w:rsid w:val="002771E1"/>
    <w:rsid w:val="002A7844"/>
    <w:rsid w:val="00315533"/>
    <w:rsid w:val="00337AFB"/>
    <w:rsid w:val="00357EF7"/>
    <w:rsid w:val="00376598"/>
    <w:rsid w:val="00381A90"/>
    <w:rsid w:val="003C4889"/>
    <w:rsid w:val="003D0646"/>
    <w:rsid w:val="00561D6C"/>
    <w:rsid w:val="005E6FE5"/>
    <w:rsid w:val="00650997"/>
    <w:rsid w:val="007172C5"/>
    <w:rsid w:val="00736A8C"/>
    <w:rsid w:val="00830C36"/>
    <w:rsid w:val="00883A6F"/>
    <w:rsid w:val="008C3327"/>
    <w:rsid w:val="00913C1D"/>
    <w:rsid w:val="00942423"/>
    <w:rsid w:val="00967FD4"/>
    <w:rsid w:val="009F3636"/>
    <w:rsid w:val="00C362F3"/>
    <w:rsid w:val="00C53F8A"/>
    <w:rsid w:val="00DC45A2"/>
    <w:rsid w:val="00E603EA"/>
    <w:rsid w:val="00F037E4"/>
    <w:rsid w:val="00F14210"/>
    <w:rsid w:val="00F6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0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06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3D0646"/>
  </w:style>
  <w:style w:type="paragraph" w:styleId="a6">
    <w:name w:val="footer"/>
    <w:basedOn w:val="a"/>
    <w:link w:val="a7"/>
    <w:uiPriority w:val="99"/>
    <w:unhideWhenUsed/>
    <w:rsid w:val="0056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D6C"/>
  </w:style>
  <w:style w:type="paragraph" w:styleId="a8">
    <w:name w:val="Balloon Text"/>
    <w:basedOn w:val="a"/>
    <w:link w:val="a9"/>
    <w:uiPriority w:val="99"/>
    <w:semiHidden/>
    <w:unhideWhenUsed/>
    <w:rsid w:val="0033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0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064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3D0646"/>
  </w:style>
  <w:style w:type="paragraph" w:styleId="a6">
    <w:name w:val="footer"/>
    <w:basedOn w:val="a"/>
    <w:link w:val="a7"/>
    <w:uiPriority w:val="99"/>
    <w:unhideWhenUsed/>
    <w:rsid w:val="0056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1D6C"/>
  </w:style>
  <w:style w:type="paragraph" w:styleId="a8">
    <w:name w:val="Balloon Text"/>
    <w:basedOn w:val="a"/>
    <w:link w:val="a9"/>
    <w:uiPriority w:val="99"/>
    <w:semiHidden/>
    <w:unhideWhenUsed/>
    <w:rsid w:val="0033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2023-04-11T07:46:00Z</cp:lastPrinted>
  <dcterms:created xsi:type="dcterms:W3CDTF">2023-04-06T13:23:00Z</dcterms:created>
  <dcterms:modified xsi:type="dcterms:W3CDTF">2023-04-11T07:48:00Z</dcterms:modified>
</cp:coreProperties>
</file>