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E9" w:rsidRPr="00115FC5" w:rsidRDefault="007B24E9" w:rsidP="007B24E9">
      <w:pPr>
        <w:pStyle w:val="3"/>
        <w:jc w:val="center"/>
      </w:pPr>
      <w:r>
        <w:rPr>
          <w:noProof/>
          <w:lang w:eastAsia="uk-UA"/>
        </w:rPr>
        <w:drawing>
          <wp:inline distT="0" distB="0" distL="0" distR="0">
            <wp:extent cx="730250" cy="70993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250" cy="709930"/>
                    </a:xfrm>
                    <a:prstGeom prst="rect">
                      <a:avLst/>
                    </a:prstGeom>
                    <a:noFill/>
                    <a:ln>
                      <a:noFill/>
                    </a:ln>
                  </pic:spPr>
                </pic:pic>
              </a:graphicData>
            </a:graphic>
          </wp:inline>
        </w:drawing>
      </w:r>
    </w:p>
    <w:p w:rsidR="007B24E9" w:rsidRPr="00115FC5" w:rsidRDefault="007B24E9" w:rsidP="007B24E9">
      <w:pPr>
        <w:jc w:val="center"/>
        <w:rPr>
          <w:b/>
          <w:sz w:val="36"/>
          <w:szCs w:val="36"/>
        </w:rPr>
      </w:pPr>
      <w:r w:rsidRPr="00115FC5">
        <w:rPr>
          <w:b/>
          <w:sz w:val="36"/>
          <w:szCs w:val="36"/>
        </w:rPr>
        <w:t>ДНІПРОПЕТРОВСЬКА ОБЛАСНА РАДА</w:t>
      </w:r>
    </w:p>
    <w:p w:rsidR="007B24E9" w:rsidRPr="00115FC5" w:rsidRDefault="007B24E9" w:rsidP="007B24E9">
      <w:pPr>
        <w:shd w:val="clear" w:color="auto" w:fill="FFFFFF"/>
        <w:jc w:val="center"/>
        <w:rPr>
          <w:b/>
          <w:sz w:val="36"/>
          <w:szCs w:val="36"/>
        </w:rPr>
      </w:pPr>
      <w:r w:rsidRPr="00115FC5">
        <w:rPr>
          <w:b/>
          <w:sz w:val="36"/>
          <w:szCs w:val="36"/>
        </w:rPr>
        <w:t>V</w:t>
      </w:r>
      <w:r>
        <w:rPr>
          <w:b/>
          <w:sz w:val="36"/>
          <w:szCs w:val="36"/>
        </w:rPr>
        <w:t>Ш</w:t>
      </w:r>
      <w:r w:rsidRPr="00115FC5">
        <w:rPr>
          <w:b/>
          <w:sz w:val="36"/>
          <w:szCs w:val="36"/>
        </w:rPr>
        <w:t xml:space="preserve"> СКЛИКАННЯ</w:t>
      </w:r>
    </w:p>
    <w:p w:rsidR="007B24E9" w:rsidRPr="00115FC5" w:rsidRDefault="007B24E9" w:rsidP="007B24E9">
      <w:pPr>
        <w:shd w:val="clear" w:color="auto" w:fill="FFFFFF"/>
        <w:jc w:val="center"/>
        <w:rPr>
          <w:b/>
        </w:rPr>
      </w:pPr>
    </w:p>
    <w:p w:rsidR="007B24E9" w:rsidRPr="00115FC5" w:rsidRDefault="007B24E9" w:rsidP="007B24E9">
      <w:pPr>
        <w:shd w:val="clear" w:color="auto" w:fill="FFFFFF"/>
        <w:jc w:val="center"/>
        <w:rPr>
          <w:b/>
          <w:bCs/>
          <w:iCs/>
          <w:sz w:val="32"/>
          <w:szCs w:val="32"/>
        </w:rPr>
      </w:pPr>
      <w:r w:rsidRPr="00115FC5">
        <w:rPr>
          <w:b/>
          <w:bCs/>
          <w:iCs/>
          <w:sz w:val="32"/>
          <w:szCs w:val="32"/>
        </w:rPr>
        <w:t>Постійна комісія обласної ради з питань охорони здоров’я, дитинства та материнства</w:t>
      </w:r>
    </w:p>
    <w:p w:rsidR="007B24E9" w:rsidRDefault="007B24E9" w:rsidP="007B24E9">
      <w:pPr>
        <w:ind w:left="-8" w:right="-8"/>
        <w:jc w:val="center"/>
      </w:pPr>
      <w:r>
        <w:rPr>
          <w:b/>
          <w:bCs/>
          <w:iCs/>
          <w:noProof/>
          <w:sz w:val="32"/>
          <w:szCs w:val="32"/>
          <w:lang w:eastAsia="uk-UA"/>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68580</wp:posOffset>
                </wp:positionV>
                <wp:extent cx="6248400" cy="0"/>
                <wp:effectExtent l="36195" t="29210" r="30480" b="37465"/>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r w:rsidRPr="00115FC5">
        <w:t xml:space="preserve">49004, м. Дніпро, </w:t>
      </w:r>
      <w:proofErr w:type="spellStart"/>
      <w:r w:rsidRPr="00115FC5">
        <w:t>пр</w:t>
      </w:r>
      <w:proofErr w:type="spellEnd"/>
      <w:r w:rsidRPr="00115FC5">
        <w:rPr>
          <w:lang w:val="ru-RU"/>
        </w:rPr>
        <w:t>осп</w:t>
      </w:r>
      <w:r w:rsidRPr="00115FC5">
        <w:t xml:space="preserve">. </w:t>
      </w:r>
      <w:r w:rsidRPr="00115FC5">
        <w:rPr>
          <w:lang w:val="ru-RU"/>
        </w:rPr>
        <w:t>Поля</w:t>
      </w:r>
      <w:r w:rsidRPr="00115FC5">
        <w:t>, 2</w:t>
      </w:r>
    </w:p>
    <w:p w:rsidR="007B24E9" w:rsidRPr="00115FC5" w:rsidRDefault="007B24E9" w:rsidP="007B24E9">
      <w:pPr>
        <w:ind w:left="-8" w:right="-8"/>
        <w:jc w:val="center"/>
      </w:pPr>
    </w:p>
    <w:p w:rsidR="00B64AEC" w:rsidRPr="005950BC" w:rsidRDefault="005950BC" w:rsidP="005950BC">
      <w:pPr>
        <w:jc w:val="center"/>
        <w:rPr>
          <w:b/>
        </w:rPr>
      </w:pPr>
      <w:r w:rsidRPr="005950BC">
        <w:rPr>
          <w:b/>
        </w:rPr>
        <w:t xml:space="preserve">ВИСНОВКИ </w:t>
      </w:r>
      <w:r w:rsidR="00B0475D">
        <w:rPr>
          <w:b/>
        </w:rPr>
        <w:t>ТА</w:t>
      </w:r>
      <w:r w:rsidRPr="005950BC">
        <w:rPr>
          <w:b/>
        </w:rPr>
        <w:t xml:space="preserve"> РЕКОМЕНДАЦІЇ № </w:t>
      </w:r>
      <w:r w:rsidR="00B0475D">
        <w:rPr>
          <w:b/>
        </w:rPr>
        <w:t>15</w:t>
      </w:r>
    </w:p>
    <w:p w:rsidR="005950BC" w:rsidRDefault="005950BC" w:rsidP="005950BC">
      <w:pPr>
        <w:ind w:left="1416" w:firstLine="708"/>
      </w:pPr>
      <w:r>
        <w:t xml:space="preserve">засідання постійної комісії обласної ради </w:t>
      </w:r>
    </w:p>
    <w:p w:rsidR="005950BC" w:rsidRDefault="005950BC" w:rsidP="005950BC">
      <w:pPr>
        <w:ind w:left="1416" w:firstLine="708"/>
      </w:pPr>
    </w:p>
    <w:p w:rsidR="005950BC" w:rsidRPr="001E1ACE" w:rsidRDefault="005950BC" w:rsidP="005950BC">
      <w:pPr>
        <w:spacing w:line="223" w:lineRule="auto"/>
        <w:jc w:val="right"/>
      </w:pPr>
      <w:r w:rsidRPr="001E1ACE">
        <w:t>„</w:t>
      </w:r>
      <w:r w:rsidR="00B0475D">
        <w:t>25</w:t>
      </w:r>
      <w:r w:rsidRPr="001E1ACE">
        <w:t xml:space="preserve">”  </w:t>
      </w:r>
      <w:r>
        <w:t>липня</w:t>
      </w:r>
      <w:r w:rsidR="00B0475D">
        <w:t xml:space="preserve"> </w:t>
      </w:r>
      <w:r w:rsidRPr="001E1ACE">
        <w:t>2023 року</w:t>
      </w:r>
    </w:p>
    <w:p w:rsidR="005950BC" w:rsidRPr="001E1ACE" w:rsidRDefault="005950BC" w:rsidP="005950BC">
      <w:pPr>
        <w:spacing w:line="223" w:lineRule="auto"/>
        <w:jc w:val="right"/>
      </w:pPr>
    </w:p>
    <w:p w:rsidR="005950BC" w:rsidRDefault="005950BC" w:rsidP="005950BC">
      <w:pPr>
        <w:spacing w:line="223" w:lineRule="auto"/>
        <w:jc w:val="right"/>
      </w:pPr>
      <w:r w:rsidRPr="00266184">
        <w:t>1</w:t>
      </w:r>
      <w:r w:rsidR="00B0475D">
        <w:t>0</w:t>
      </w:r>
      <w:r w:rsidRPr="00266184">
        <w:t>.00</w:t>
      </w:r>
    </w:p>
    <w:p w:rsidR="005950BC" w:rsidRDefault="005950BC" w:rsidP="005950BC">
      <w:pPr>
        <w:spacing w:line="223" w:lineRule="auto"/>
        <w:jc w:val="right"/>
      </w:pPr>
    </w:p>
    <w:p w:rsidR="005950BC" w:rsidRPr="00266184" w:rsidRDefault="005950BC" w:rsidP="005950BC">
      <w:pPr>
        <w:spacing w:line="223" w:lineRule="auto"/>
        <w:jc w:val="right"/>
      </w:pPr>
    </w:p>
    <w:p w:rsidR="00916379" w:rsidRDefault="005950BC" w:rsidP="00916379">
      <w:pPr>
        <w:pStyle w:val="a7"/>
        <w:spacing w:line="276" w:lineRule="auto"/>
        <w:ind w:left="0" w:firstLine="708"/>
        <w:jc w:val="both"/>
        <w:rPr>
          <w:lang w:val="uk-UA"/>
        </w:rPr>
      </w:pPr>
      <w:r w:rsidRPr="00B0475D">
        <w:rPr>
          <w:lang w:val="uk-UA"/>
        </w:rPr>
        <w:t xml:space="preserve">Заслухали  та обговорили інформацію </w:t>
      </w:r>
      <w:r w:rsidR="00B0475D" w:rsidRPr="00B0475D">
        <w:rPr>
          <w:lang w:val="uk-UA"/>
        </w:rPr>
        <w:t xml:space="preserve">голови постійної комісії обласної ради з питань охорони здоров’я, дитинства та материнства </w:t>
      </w:r>
      <w:proofErr w:type="spellStart"/>
      <w:r w:rsidR="00B0475D" w:rsidRPr="00B0475D">
        <w:rPr>
          <w:lang w:val="uk-UA"/>
        </w:rPr>
        <w:t>Пустової</w:t>
      </w:r>
      <w:proofErr w:type="spellEnd"/>
      <w:r w:rsidR="00B0475D" w:rsidRPr="00B0475D">
        <w:rPr>
          <w:lang w:val="uk-UA"/>
        </w:rPr>
        <w:t xml:space="preserve"> А.О. стосовно листа першого заступника голови Дніпропетровської обласної державної адміністрації – начальника обласної військової адміністрації Орлова В.В. від 21.07.2023 № 4082/0/526-23  про спроможну мережу  та перелік закладів охорони здоров’я, що належать до спільної власності територіальних громад сіл, селищ, міст Дніпропетровської області, які не увійшли до складу спроможної мережі закладів охорони здоров’я Дніпропетровського госпітального округу.  </w:t>
      </w:r>
    </w:p>
    <w:p w:rsidR="00B0475D" w:rsidRPr="00B0475D" w:rsidRDefault="00B0475D" w:rsidP="00916379">
      <w:pPr>
        <w:pStyle w:val="a7"/>
        <w:spacing w:line="276" w:lineRule="auto"/>
        <w:ind w:left="0" w:firstLine="708"/>
        <w:jc w:val="both"/>
        <w:rPr>
          <w:lang w:val="uk-UA"/>
        </w:rPr>
      </w:pPr>
    </w:p>
    <w:p w:rsidR="005950BC" w:rsidRDefault="00916379" w:rsidP="005950BC">
      <w:pPr>
        <w:pStyle w:val="a7"/>
        <w:spacing w:line="276" w:lineRule="auto"/>
        <w:ind w:left="0" w:firstLine="708"/>
        <w:jc w:val="both"/>
        <w:rPr>
          <w:lang w:val="uk-UA"/>
        </w:rPr>
      </w:pPr>
      <w:r>
        <w:rPr>
          <w:lang w:val="uk-UA"/>
        </w:rPr>
        <w:t>З</w:t>
      </w:r>
      <w:r w:rsidR="005950BC" w:rsidRPr="005950BC">
        <w:rPr>
          <w:lang w:val="uk-UA"/>
        </w:rPr>
        <w:t xml:space="preserve">а результатами розгляду питання постійна комісія </w:t>
      </w:r>
      <w:r w:rsidR="005950BC" w:rsidRPr="005950BC">
        <w:rPr>
          <w:b/>
          <w:lang w:val="uk-UA"/>
        </w:rPr>
        <w:t>вирішила</w:t>
      </w:r>
      <w:r w:rsidR="005950BC" w:rsidRPr="005950BC">
        <w:rPr>
          <w:lang w:val="uk-UA"/>
        </w:rPr>
        <w:t xml:space="preserve">: </w:t>
      </w:r>
    </w:p>
    <w:p w:rsidR="00916379" w:rsidRPr="005950BC" w:rsidRDefault="00916379" w:rsidP="005950BC">
      <w:pPr>
        <w:pStyle w:val="a7"/>
        <w:spacing w:line="276" w:lineRule="auto"/>
        <w:ind w:left="0" w:firstLine="708"/>
        <w:jc w:val="both"/>
        <w:rPr>
          <w:lang w:val="uk-UA"/>
        </w:rPr>
      </w:pPr>
    </w:p>
    <w:p w:rsidR="00B0475D" w:rsidRDefault="00B0475D" w:rsidP="00B0475D">
      <w:pPr>
        <w:numPr>
          <w:ilvl w:val="0"/>
          <w:numId w:val="3"/>
        </w:numPr>
        <w:ind w:left="0" w:firstLine="708"/>
        <w:jc w:val="both"/>
      </w:pPr>
      <w:r w:rsidRPr="00210AA0">
        <w:rPr>
          <w:szCs w:val="28"/>
        </w:rPr>
        <w:t xml:space="preserve">Лист </w:t>
      </w:r>
      <w:r w:rsidRPr="00B15371">
        <w:t xml:space="preserve">першого заступника голови Дніпропетровської обласної </w:t>
      </w:r>
      <w:r>
        <w:t xml:space="preserve">державної адміністрації – начальника обласної </w:t>
      </w:r>
      <w:r w:rsidRPr="00B15371">
        <w:t>військової адміністрації Орлова В.В. від 21.07.2023 №</w:t>
      </w:r>
      <w:r>
        <w:t xml:space="preserve"> </w:t>
      </w:r>
      <w:r w:rsidRPr="00B15371">
        <w:t>4082/0/526-23</w:t>
      </w:r>
      <w:r>
        <w:t xml:space="preserve"> про спроможну мережу  та перелік закладів охорони здоров’я, що належать до спільної власності територіальних громад сіл, селищ, міст Дніпропетровської області, які не увійшли до складу спроможної мережі закладів охорони здоров’я Дніпропетровського госпітального округу взяти до відома та врахування у подальшій роботі. </w:t>
      </w:r>
    </w:p>
    <w:p w:rsidR="00B0475D" w:rsidRDefault="00B0475D" w:rsidP="00B0475D">
      <w:pPr>
        <w:ind w:left="708"/>
        <w:jc w:val="both"/>
      </w:pPr>
    </w:p>
    <w:p w:rsidR="00B0475D" w:rsidRDefault="00B0475D" w:rsidP="00B0475D">
      <w:pPr>
        <w:numPr>
          <w:ilvl w:val="0"/>
          <w:numId w:val="3"/>
        </w:numPr>
        <w:ind w:left="0" w:firstLine="708"/>
        <w:jc w:val="both"/>
      </w:pPr>
      <w:r>
        <w:t xml:space="preserve">Для прийняття обґрунтованого управлінського рішення щодо оптимізації, реорганізації чи перепрофілювання закладів охорони здоров’я </w:t>
      </w:r>
      <w:r>
        <w:lastRenderedPageBreak/>
        <w:t xml:space="preserve">Дніпропетровського госпітального округу, рекомендувати департаменту охорони здоров’я  </w:t>
      </w:r>
      <w:r w:rsidRPr="00B15371">
        <w:t xml:space="preserve">Дніпропетровської обласної </w:t>
      </w:r>
      <w:r>
        <w:t xml:space="preserve">державної адміністрації, надати на розгляд постійної комісії з питань охорони здоров’я, дитинства та материнства наступні документи: </w:t>
      </w:r>
    </w:p>
    <w:p w:rsidR="00B0475D" w:rsidRPr="00210AA0" w:rsidRDefault="00B0475D" w:rsidP="00B0475D">
      <w:pPr>
        <w:pStyle w:val="a7"/>
        <w:rPr>
          <w:lang w:val="uk-UA"/>
        </w:rPr>
      </w:pPr>
    </w:p>
    <w:p w:rsidR="00B0475D" w:rsidRDefault="00B0475D" w:rsidP="00B0475D">
      <w:pPr>
        <w:numPr>
          <w:ilvl w:val="0"/>
          <w:numId w:val="4"/>
        </w:numPr>
        <w:jc w:val="both"/>
      </w:pPr>
      <w:r>
        <w:t>затверджену спроможну мережу закладів охорони здоров’я Дніпропетровського госпітального округу, погоджену з Міністерством охорони здоров’я;</w:t>
      </w:r>
    </w:p>
    <w:p w:rsidR="00B0475D" w:rsidRDefault="00B0475D" w:rsidP="00B0475D">
      <w:pPr>
        <w:jc w:val="both"/>
      </w:pPr>
    </w:p>
    <w:p w:rsidR="00B0475D" w:rsidRDefault="00B0475D" w:rsidP="00B0475D">
      <w:pPr>
        <w:numPr>
          <w:ilvl w:val="0"/>
          <w:numId w:val="4"/>
        </w:numPr>
        <w:jc w:val="both"/>
      </w:pPr>
      <w:r>
        <w:t xml:space="preserve"> план розвитку Дніпропетровського госпітального округу, погоджений з Міністерством охорони здоров’я;</w:t>
      </w:r>
    </w:p>
    <w:p w:rsidR="00B0475D" w:rsidRDefault="00B0475D" w:rsidP="00B0475D">
      <w:pPr>
        <w:ind w:left="1068"/>
        <w:jc w:val="both"/>
      </w:pPr>
    </w:p>
    <w:p w:rsidR="00B0475D" w:rsidRPr="00B15371" w:rsidRDefault="00B0475D" w:rsidP="00B0475D">
      <w:pPr>
        <w:numPr>
          <w:ilvl w:val="0"/>
          <w:numId w:val="4"/>
        </w:numPr>
        <w:jc w:val="both"/>
      </w:pPr>
      <w:r>
        <w:t xml:space="preserve">відомості економічної ефективності реорганізації та </w:t>
      </w:r>
      <w:proofErr w:type="spellStart"/>
      <w:r>
        <w:t>проєкти</w:t>
      </w:r>
      <w:proofErr w:type="spellEnd"/>
      <w:r>
        <w:t xml:space="preserve"> планів реорганізації закладів охорони здоров’я, що належать до спільної власності територіальних громад сіл, селищ, міст Дніпропетровської області. </w:t>
      </w:r>
    </w:p>
    <w:p w:rsidR="00B0475D" w:rsidRPr="000D2852" w:rsidRDefault="00B0475D" w:rsidP="00B0475D">
      <w:pPr>
        <w:ind w:left="1068"/>
        <w:jc w:val="both"/>
        <w:rPr>
          <w:szCs w:val="28"/>
        </w:rPr>
      </w:pPr>
    </w:p>
    <w:p w:rsidR="005950BC" w:rsidRDefault="005950BC" w:rsidP="005950BC">
      <w:pPr>
        <w:ind w:firstLine="708"/>
        <w:jc w:val="both"/>
        <w:rPr>
          <w:b/>
          <w:highlight w:val="magenta"/>
        </w:rPr>
      </w:pPr>
    </w:p>
    <w:p w:rsidR="005950BC" w:rsidRDefault="005950BC" w:rsidP="005950BC">
      <w:pPr>
        <w:ind w:firstLine="708"/>
        <w:jc w:val="both"/>
        <w:rPr>
          <w:b/>
          <w:highlight w:val="magenta"/>
        </w:rPr>
      </w:pPr>
    </w:p>
    <w:p w:rsidR="005950BC" w:rsidRDefault="005950BC" w:rsidP="005950BC"/>
    <w:p w:rsidR="005950BC" w:rsidRPr="005950BC" w:rsidRDefault="005950BC">
      <w:pPr>
        <w:rPr>
          <w:b/>
        </w:rPr>
      </w:pPr>
      <w:r w:rsidRPr="005950BC">
        <w:rPr>
          <w:b/>
        </w:rPr>
        <w:t xml:space="preserve">Голова комісії </w:t>
      </w:r>
      <w:r w:rsidRPr="005950BC">
        <w:rPr>
          <w:b/>
        </w:rPr>
        <w:tab/>
      </w:r>
      <w:r w:rsidRPr="005950BC">
        <w:rPr>
          <w:b/>
        </w:rPr>
        <w:tab/>
      </w:r>
      <w:r w:rsidRPr="005950BC">
        <w:rPr>
          <w:b/>
        </w:rPr>
        <w:tab/>
      </w:r>
      <w:r w:rsidRPr="005950BC">
        <w:rPr>
          <w:b/>
        </w:rPr>
        <w:tab/>
      </w:r>
      <w:r w:rsidRPr="005950BC">
        <w:rPr>
          <w:b/>
        </w:rPr>
        <w:tab/>
      </w:r>
      <w:r w:rsidRPr="005950BC">
        <w:rPr>
          <w:b/>
        </w:rPr>
        <w:tab/>
      </w:r>
      <w:r w:rsidRPr="005950BC">
        <w:rPr>
          <w:b/>
        </w:rPr>
        <w:tab/>
      </w:r>
      <w:r w:rsidR="006E765E">
        <w:rPr>
          <w:b/>
        </w:rPr>
        <w:t>А.</w:t>
      </w:r>
      <w:r w:rsidRPr="005950BC">
        <w:rPr>
          <w:b/>
        </w:rPr>
        <w:t>О.</w:t>
      </w:r>
      <w:r w:rsidR="006E765E">
        <w:rPr>
          <w:b/>
        </w:rPr>
        <w:t xml:space="preserve"> </w:t>
      </w:r>
      <w:bookmarkStart w:id="0" w:name="_GoBack"/>
      <w:bookmarkEnd w:id="0"/>
      <w:r w:rsidRPr="005950BC">
        <w:rPr>
          <w:b/>
        </w:rPr>
        <w:t>ПУСТОВА</w:t>
      </w:r>
    </w:p>
    <w:sectPr w:rsidR="005950BC" w:rsidRPr="00595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919DC"/>
    <w:multiLevelType w:val="hybridMultilevel"/>
    <w:tmpl w:val="C0867D70"/>
    <w:lvl w:ilvl="0" w:tplc="D4E60436">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52F701D5"/>
    <w:multiLevelType w:val="hybridMultilevel"/>
    <w:tmpl w:val="E5AA45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1FF030F"/>
    <w:multiLevelType w:val="hybridMultilevel"/>
    <w:tmpl w:val="62C0D8D8"/>
    <w:lvl w:ilvl="0" w:tplc="0422000F">
      <w:start w:val="1"/>
      <w:numFmt w:val="decimal"/>
      <w:lvlText w:val="%1."/>
      <w:lvlJc w:val="left"/>
      <w:pPr>
        <w:ind w:left="360" w:hanging="360"/>
      </w:pPr>
      <w:rPr>
        <w:rFonts w:hint="default"/>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nsid w:val="7F4256A3"/>
    <w:multiLevelType w:val="hybridMultilevel"/>
    <w:tmpl w:val="14F2DCF6"/>
    <w:lvl w:ilvl="0" w:tplc="CD4A4316">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E9"/>
    <w:rsid w:val="005950BC"/>
    <w:rsid w:val="006E765E"/>
    <w:rsid w:val="007B24E9"/>
    <w:rsid w:val="0086559A"/>
    <w:rsid w:val="00916379"/>
    <w:rsid w:val="00B0475D"/>
    <w:rsid w:val="00B46403"/>
    <w:rsid w:val="00B64AEC"/>
    <w:rsid w:val="00BE4070"/>
    <w:rsid w:val="00C973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E9"/>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7B24E9"/>
    <w:pPr>
      <w:keepNext/>
      <w:outlineLvl w:val="2"/>
    </w:pPr>
    <w:rPr>
      <w:rFonts w:eastAsia="Arial Unicode MS"/>
      <w:b/>
      <w:color w:val="000000"/>
      <w:sz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24E9"/>
    <w:rPr>
      <w:rFonts w:ascii="Times New Roman" w:eastAsia="Arial Unicode MS" w:hAnsi="Times New Roman" w:cs="Times New Roman"/>
      <w:b/>
      <w:color w:val="000000"/>
      <w:sz w:val="24"/>
      <w:szCs w:val="24"/>
      <w:lang w:eastAsia="x-none"/>
    </w:rPr>
  </w:style>
  <w:style w:type="paragraph" w:styleId="a3">
    <w:name w:val="Title"/>
    <w:basedOn w:val="a"/>
    <w:link w:val="a4"/>
    <w:qFormat/>
    <w:rsid w:val="007B24E9"/>
    <w:pPr>
      <w:jc w:val="center"/>
    </w:pPr>
    <w:rPr>
      <w:b/>
      <w:szCs w:val="20"/>
      <w:lang w:eastAsia="x-none"/>
    </w:rPr>
  </w:style>
  <w:style w:type="character" w:customStyle="1" w:styleId="a4">
    <w:name w:val="Название Знак"/>
    <w:basedOn w:val="a0"/>
    <w:link w:val="a3"/>
    <w:rsid w:val="007B24E9"/>
    <w:rPr>
      <w:rFonts w:ascii="Times New Roman" w:eastAsia="Times New Roman" w:hAnsi="Times New Roman" w:cs="Times New Roman"/>
      <w:b/>
      <w:sz w:val="28"/>
      <w:szCs w:val="20"/>
      <w:lang w:eastAsia="x-none"/>
    </w:rPr>
  </w:style>
  <w:style w:type="paragraph" w:styleId="a5">
    <w:name w:val="Balloon Text"/>
    <w:basedOn w:val="a"/>
    <w:link w:val="a6"/>
    <w:uiPriority w:val="99"/>
    <w:semiHidden/>
    <w:unhideWhenUsed/>
    <w:rsid w:val="007B24E9"/>
    <w:rPr>
      <w:rFonts w:ascii="Tahoma" w:hAnsi="Tahoma" w:cs="Tahoma"/>
      <w:sz w:val="16"/>
      <w:szCs w:val="16"/>
    </w:rPr>
  </w:style>
  <w:style w:type="character" w:customStyle="1" w:styleId="a6">
    <w:name w:val="Текст выноски Знак"/>
    <w:basedOn w:val="a0"/>
    <w:link w:val="a5"/>
    <w:uiPriority w:val="99"/>
    <w:semiHidden/>
    <w:rsid w:val="007B24E9"/>
    <w:rPr>
      <w:rFonts w:ascii="Tahoma" w:eastAsia="Times New Roman" w:hAnsi="Tahoma" w:cs="Tahoma"/>
      <w:sz w:val="16"/>
      <w:szCs w:val="16"/>
      <w:lang w:eastAsia="ru-RU"/>
    </w:rPr>
  </w:style>
  <w:style w:type="paragraph" w:styleId="a7">
    <w:name w:val="List Paragraph"/>
    <w:basedOn w:val="a"/>
    <w:uiPriority w:val="34"/>
    <w:qFormat/>
    <w:rsid w:val="005950BC"/>
    <w:pPr>
      <w:ind w:left="720"/>
      <w:contextualSpacing/>
    </w:pPr>
    <w:rPr>
      <w:szCs w:val="28"/>
      <w:lang w:val="ru-RU"/>
    </w:rPr>
  </w:style>
  <w:style w:type="paragraph" w:styleId="a8">
    <w:name w:val="Normal (Web)"/>
    <w:basedOn w:val="a"/>
    <w:uiPriority w:val="99"/>
    <w:rsid w:val="00916379"/>
    <w:pPr>
      <w:spacing w:before="100" w:beforeAutospacing="1" w:after="100" w:afterAutospacing="1"/>
    </w:pPr>
    <w:rPr>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E9"/>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7B24E9"/>
    <w:pPr>
      <w:keepNext/>
      <w:outlineLvl w:val="2"/>
    </w:pPr>
    <w:rPr>
      <w:rFonts w:eastAsia="Arial Unicode MS"/>
      <w:b/>
      <w:color w:val="000000"/>
      <w:sz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24E9"/>
    <w:rPr>
      <w:rFonts w:ascii="Times New Roman" w:eastAsia="Arial Unicode MS" w:hAnsi="Times New Roman" w:cs="Times New Roman"/>
      <w:b/>
      <w:color w:val="000000"/>
      <w:sz w:val="24"/>
      <w:szCs w:val="24"/>
      <w:lang w:eastAsia="x-none"/>
    </w:rPr>
  </w:style>
  <w:style w:type="paragraph" w:styleId="a3">
    <w:name w:val="Title"/>
    <w:basedOn w:val="a"/>
    <w:link w:val="a4"/>
    <w:qFormat/>
    <w:rsid w:val="007B24E9"/>
    <w:pPr>
      <w:jc w:val="center"/>
    </w:pPr>
    <w:rPr>
      <w:b/>
      <w:szCs w:val="20"/>
      <w:lang w:eastAsia="x-none"/>
    </w:rPr>
  </w:style>
  <w:style w:type="character" w:customStyle="1" w:styleId="a4">
    <w:name w:val="Название Знак"/>
    <w:basedOn w:val="a0"/>
    <w:link w:val="a3"/>
    <w:rsid w:val="007B24E9"/>
    <w:rPr>
      <w:rFonts w:ascii="Times New Roman" w:eastAsia="Times New Roman" w:hAnsi="Times New Roman" w:cs="Times New Roman"/>
      <w:b/>
      <w:sz w:val="28"/>
      <w:szCs w:val="20"/>
      <w:lang w:eastAsia="x-none"/>
    </w:rPr>
  </w:style>
  <w:style w:type="paragraph" w:styleId="a5">
    <w:name w:val="Balloon Text"/>
    <w:basedOn w:val="a"/>
    <w:link w:val="a6"/>
    <w:uiPriority w:val="99"/>
    <w:semiHidden/>
    <w:unhideWhenUsed/>
    <w:rsid w:val="007B24E9"/>
    <w:rPr>
      <w:rFonts w:ascii="Tahoma" w:hAnsi="Tahoma" w:cs="Tahoma"/>
      <w:sz w:val="16"/>
      <w:szCs w:val="16"/>
    </w:rPr>
  </w:style>
  <w:style w:type="character" w:customStyle="1" w:styleId="a6">
    <w:name w:val="Текст выноски Знак"/>
    <w:basedOn w:val="a0"/>
    <w:link w:val="a5"/>
    <w:uiPriority w:val="99"/>
    <w:semiHidden/>
    <w:rsid w:val="007B24E9"/>
    <w:rPr>
      <w:rFonts w:ascii="Tahoma" w:eastAsia="Times New Roman" w:hAnsi="Tahoma" w:cs="Tahoma"/>
      <w:sz w:val="16"/>
      <w:szCs w:val="16"/>
      <w:lang w:eastAsia="ru-RU"/>
    </w:rPr>
  </w:style>
  <w:style w:type="paragraph" w:styleId="a7">
    <w:name w:val="List Paragraph"/>
    <w:basedOn w:val="a"/>
    <w:uiPriority w:val="34"/>
    <w:qFormat/>
    <w:rsid w:val="005950BC"/>
    <w:pPr>
      <w:ind w:left="720"/>
      <w:contextualSpacing/>
    </w:pPr>
    <w:rPr>
      <w:szCs w:val="28"/>
      <w:lang w:val="ru-RU"/>
    </w:rPr>
  </w:style>
  <w:style w:type="paragraph" w:styleId="a8">
    <w:name w:val="Normal (Web)"/>
    <w:basedOn w:val="a"/>
    <w:uiPriority w:val="99"/>
    <w:rsid w:val="00916379"/>
    <w:pPr>
      <w:spacing w:before="100" w:beforeAutospacing="1" w:after="100" w:afterAutospacing="1"/>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1458</Words>
  <Characters>832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2023-07-26T06:55:00Z</dcterms:created>
  <dcterms:modified xsi:type="dcterms:W3CDTF">2023-07-26T06:56:00Z</dcterms:modified>
</cp:coreProperties>
</file>