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5950BC" w:rsidRDefault="005950BC" w:rsidP="005950BC">
      <w:pPr>
        <w:jc w:val="center"/>
      </w:pPr>
    </w:p>
    <w:p w:rsidR="00B64AEC" w:rsidRPr="005950BC" w:rsidRDefault="0095095F" w:rsidP="005950BC">
      <w:pPr>
        <w:jc w:val="center"/>
        <w:rPr>
          <w:b/>
        </w:rPr>
      </w:pPr>
      <w:r>
        <w:rPr>
          <w:b/>
        </w:rPr>
        <w:t>ВИСНОВКИ ТА</w:t>
      </w:r>
      <w:r w:rsidR="005950BC" w:rsidRPr="005950BC">
        <w:rPr>
          <w:b/>
        </w:rPr>
        <w:t xml:space="preserve"> РЕКОМЕНДАЦІЇ № </w:t>
      </w:r>
      <w:r w:rsidR="001210D6">
        <w:rPr>
          <w:b/>
        </w:rPr>
        <w:t>6-</w:t>
      </w:r>
      <w:r w:rsidR="00D90AAC">
        <w:rPr>
          <w:b/>
        </w:rPr>
        <w:t>10</w:t>
      </w:r>
      <w:r w:rsidR="005950BC" w:rsidRPr="005950BC">
        <w:rPr>
          <w:b/>
        </w:rPr>
        <w:t>/14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5950BC" w:rsidRPr="001E1ACE" w:rsidRDefault="005950BC" w:rsidP="005950BC">
      <w:pPr>
        <w:spacing w:line="223" w:lineRule="auto"/>
        <w:jc w:val="right"/>
      </w:pPr>
      <w:r w:rsidRPr="001E1ACE">
        <w:t>„</w:t>
      </w:r>
      <w:r w:rsidR="00337B4B">
        <w:t>20</w:t>
      </w:r>
      <w:r w:rsidRPr="001E1ACE">
        <w:t xml:space="preserve">”  </w:t>
      </w:r>
      <w:r>
        <w:t>липня</w:t>
      </w:r>
      <w:r w:rsidRPr="001E1ACE">
        <w:t xml:space="preserve">  2023 року</w:t>
      </w:r>
    </w:p>
    <w:p w:rsidR="005950BC" w:rsidRPr="001E1ACE" w:rsidRDefault="005950BC" w:rsidP="005950BC">
      <w:pPr>
        <w:spacing w:line="223" w:lineRule="auto"/>
        <w:jc w:val="right"/>
      </w:pPr>
    </w:p>
    <w:p w:rsidR="005950BC" w:rsidRDefault="005950BC" w:rsidP="005950BC">
      <w:pPr>
        <w:spacing w:line="223" w:lineRule="auto"/>
        <w:jc w:val="right"/>
      </w:pPr>
      <w:r w:rsidRPr="00266184">
        <w:t>1</w:t>
      </w:r>
      <w:r w:rsidR="00337B4B">
        <w:t>5</w:t>
      </w:r>
      <w:r w:rsidRPr="00266184">
        <w:t>.00</w:t>
      </w:r>
    </w:p>
    <w:p w:rsidR="005950BC" w:rsidRDefault="005950BC" w:rsidP="005950BC">
      <w:pPr>
        <w:spacing w:line="223" w:lineRule="auto"/>
        <w:jc w:val="right"/>
      </w:pPr>
    </w:p>
    <w:p w:rsidR="005950BC" w:rsidRPr="005F4FB3" w:rsidRDefault="005950BC" w:rsidP="005950BC">
      <w:pPr>
        <w:spacing w:line="223" w:lineRule="auto"/>
        <w:jc w:val="right"/>
      </w:pPr>
    </w:p>
    <w:p w:rsidR="0095095F" w:rsidRPr="00EA34D8" w:rsidRDefault="005950BC" w:rsidP="0095095F">
      <w:pPr>
        <w:ind w:firstLine="708"/>
        <w:jc w:val="both"/>
      </w:pPr>
      <w:r w:rsidRPr="005F4FB3">
        <w:t xml:space="preserve">Заслухали  та обговорили інформацію голови постійної комісії обласної ради з питань охорони здоров’я, дитинства та материнства </w:t>
      </w:r>
      <w:proofErr w:type="spellStart"/>
      <w:r w:rsidRPr="005F4FB3">
        <w:t>Пустової</w:t>
      </w:r>
      <w:proofErr w:type="spellEnd"/>
      <w:r w:rsidRPr="005F4FB3">
        <w:t xml:space="preserve"> А.О. щодо </w:t>
      </w:r>
      <w:r w:rsidR="0095095F" w:rsidRPr="00EA34D8">
        <w:t xml:space="preserve">звернення </w:t>
      </w:r>
      <w:proofErr w:type="spellStart"/>
      <w:r w:rsidR="0095095F" w:rsidRPr="00EA34D8">
        <w:t>в.о</w:t>
      </w:r>
      <w:proofErr w:type="spellEnd"/>
      <w:r w:rsidR="0095095F" w:rsidRPr="00EA34D8">
        <w:t xml:space="preserve">. генерального директора КП </w:t>
      </w:r>
      <w:proofErr w:type="spellStart"/>
      <w:r w:rsidR="0095095F" w:rsidRPr="00EA34D8">
        <w:t>„Дніпропетровський</w:t>
      </w:r>
      <w:proofErr w:type="spellEnd"/>
      <w:r w:rsidR="0095095F" w:rsidRPr="00EA34D8">
        <w:t xml:space="preserve"> обласний спеціалізований реабілітаційний центр </w:t>
      </w:r>
      <w:proofErr w:type="spellStart"/>
      <w:r w:rsidR="0095095F" w:rsidRPr="00EA34D8">
        <w:t>„Солоний</w:t>
      </w:r>
      <w:proofErr w:type="spellEnd"/>
      <w:r w:rsidR="0095095F" w:rsidRPr="00EA34D8">
        <w:t xml:space="preserve"> лиман” ДОР”  Лазарєва І.М. стосовно виділення додаткового  фінансування на послуги для реабілітації військовослужбовців, які не входять до програми медичних гарантій та внесення відповідних змін до обласної програми </w:t>
      </w:r>
      <w:proofErr w:type="spellStart"/>
      <w:r w:rsidR="0095095F" w:rsidRPr="00EA34D8">
        <w:t>„Здоров’я</w:t>
      </w:r>
      <w:proofErr w:type="spellEnd"/>
      <w:r w:rsidR="0095095F" w:rsidRPr="00EA34D8">
        <w:t xml:space="preserve"> населення Дніпропетровщини на 2020 - 2024 роки”(зі змінами)</w:t>
      </w:r>
      <w:r w:rsidR="0095095F" w:rsidRPr="00EA34D8">
        <w:rPr>
          <w:b/>
        </w:rPr>
        <w:t xml:space="preserve"> </w:t>
      </w:r>
      <w:r w:rsidR="0095095F" w:rsidRPr="00EA34D8">
        <w:t xml:space="preserve"> (лист від  19.07.2023 № 610).</w:t>
      </w:r>
    </w:p>
    <w:p w:rsidR="00D90AAC" w:rsidRPr="00A937F9" w:rsidRDefault="00D90AAC" w:rsidP="00D90AAC">
      <w:pPr>
        <w:ind w:firstLine="708"/>
        <w:jc w:val="both"/>
        <w:rPr>
          <w:highlight w:val="green"/>
        </w:rPr>
      </w:pPr>
    </w:p>
    <w:p w:rsidR="005950BC" w:rsidRDefault="005950BC" w:rsidP="00D90AAC">
      <w:pPr>
        <w:ind w:firstLine="708"/>
        <w:jc w:val="both"/>
      </w:pPr>
      <w:r w:rsidRPr="005950BC">
        <w:t xml:space="preserve">За результатами розгляду питання постійна комісія </w:t>
      </w:r>
      <w:r w:rsidRPr="005950BC">
        <w:rPr>
          <w:b/>
        </w:rPr>
        <w:t>вирішила</w:t>
      </w:r>
      <w:r w:rsidRPr="005950BC">
        <w:t xml:space="preserve">: </w:t>
      </w:r>
    </w:p>
    <w:p w:rsidR="005F4FB3" w:rsidRPr="005950BC" w:rsidRDefault="005F4FB3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95095F" w:rsidRPr="00EA34D8" w:rsidRDefault="0095095F" w:rsidP="0095095F">
      <w:pPr>
        <w:numPr>
          <w:ilvl w:val="0"/>
          <w:numId w:val="6"/>
        </w:numPr>
        <w:ind w:left="0" w:firstLine="709"/>
        <w:jc w:val="both"/>
      </w:pPr>
      <w:r w:rsidRPr="00EA34D8">
        <w:rPr>
          <w:szCs w:val="28"/>
        </w:rPr>
        <w:t xml:space="preserve">Інформацію </w:t>
      </w:r>
      <w:proofErr w:type="spellStart"/>
      <w:r w:rsidRPr="00EA34D8">
        <w:rPr>
          <w:szCs w:val="28"/>
        </w:rPr>
        <w:t>Пустової</w:t>
      </w:r>
      <w:proofErr w:type="spellEnd"/>
      <w:r w:rsidRPr="00EA34D8">
        <w:rPr>
          <w:szCs w:val="28"/>
        </w:rPr>
        <w:t xml:space="preserve"> А.О. взяти до відома. Виконуючому обов’язки</w:t>
      </w:r>
      <w:r w:rsidRPr="00EA34D8">
        <w:t xml:space="preserve"> генерального директора  КП </w:t>
      </w:r>
      <w:proofErr w:type="spellStart"/>
      <w:r w:rsidRPr="00EA34D8">
        <w:t>„Дніпропетровський</w:t>
      </w:r>
      <w:proofErr w:type="spellEnd"/>
      <w:r w:rsidRPr="00EA34D8">
        <w:t xml:space="preserve"> обласний спеціалізований реабілітаційний центр </w:t>
      </w:r>
      <w:proofErr w:type="spellStart"/>
      <w:r w:rsidRPr="00EA34D8">
        <w:t>„Солоний</w:t>
      </w:r>
      <w:proofErr w:type="spellEnd"/>
      <w:r w:rsidRPr="00EA34D8">
        <w:t xml:space="preserve"> лиман” ДОР”  </w:t>
      </w:r>
      <w:r>
        <w:t xml:space="preserve">                    </w:t>
      </w:r>
      <w:bookmarkStart w:id="0" w:name="_GoBack"/>
      <w:bookmarkEnd w:id="0"/>
      <w:r w:rsidRPr="00EA34D8">
        <w:t xml:space="preserve">Лазареву І.М. доопрацювати питання відповідно вимог чинного законодавства для подальшого розгляду на засіданні постійної комісії. </w:t>
      </w:r>
    </w:p>
    <w:p w:rsidR="00D90AAC" w:rsidRPr="00A937F9" w:rsidRDefault="00D90AAC" w:rsidP="00D90AAC">
      <w:pPr>
        <w:tabs>
          <w:tab w:val="left" w:pos="0"/>
        </w:tabs>
        <w:ind w:right="-1"/>
        <w:jc w:val="both"/>
        <w:rPr>
          <w:b/>
          <w:szCs w:val="28"/>
          <w:highlight w:val="green"/>
        </w:rPr>
      </w:pPr>
    </w:p>
    <w:p w:rsidR="005950BC" w:rsidRPr="00935FED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/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О.ПУСТОВА</w:t>
      </w:r>
    </w:p>
    <w:sectPr w:rsidR="005950BC" w:rsidRPr="0059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9EE"/>
    <w:multiLevelType w:val="hybridMultilevel"/>
    <w:tmpl w:val="B088CAFE"/>
    <w:lvl w:ilvl="0" w:tplc="8910C7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1A6E81"/>
    <w:multiLevelType w:val="hybridMultilevel"/>
    <w:tmpl w:val="529698C2"/>
    <w:lvl w:ilvl="0" w:tplc="64DE29C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849195D"/>
    <w:multiLevelType w:val="hybridMultilevel"/>
    <w:tmpl w:val="529698C2"/>
    <w:lvl w:ilvl="0" w:tplc="64DE29C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C02409B"/>
    <w:multiLevelType w:val="hybridMultilevel"/>
    <w:tmpl w:val="529698C2"/>
    <w:lvl w:ilvl="0" w:tplc="64DE29C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64636EFE"/>
    <w:multiLevelType w:val="hybridMultilevel"/>
    <w:tmpl w:val="675CA276"/>
    <w:lvl w:ilvl="0" w:tplc="D0A85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084986"/>
    <w:rsid w:val="000906FE"/>
    <w:rsid w:val="001210D6"/>
    <w:rsid w:val="00337B4B"/>
    <w:rsid w:val="005950BC"/>
    <w:rsid w:val="005F4FB3"/>
    <w:rsid w:val="007B24E9"/>
    <w:rsid w:val="0086559A"/>
    <w:rsid w:val="0095095F"/>
    <w:rsid w:val="00B64AEC"/>
    <w:rsid w:val="00C97350"/>
    <w:rsid w:val="00D90AAC"/>
    <w:rsid w:val="00EF5AE3"/>
    <w:rsid w:val="00F4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2023-07-19T08:58:00Z</dcterms:created>
  <dcterms:modified xsi:type="dcterms:W3CDTF">2023-07-28T06:14:00Z</dcterms:modified>
</cp:coreProperties>
</file>