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7287" w14:textId="352E78CA" w:rsidR="001B4E0B" w:rsidRPr="00361EDD" w:rsidRDefault="001B4E0B" w:rsidP="001B4E0B">
      <w:pPr>
        <w:spacing w:after="0" w:line="240" w:lineRule="auto"/>
        <w:ind w:left="5245"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CA6554" w14:textId="78B2D446" w:rsidR="001B4E0B" w:rsidRPr="00B3760F" w:rsidRDefault="001B4E0B" w:rsidP="001B4E0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обласної ради</w:t>
      </w:r>
    </w:p>
    <w:p w14:paraId="4E9E41DF" w14:textId="2858BD4A" w:rsidR="001B4E0B" w:rsidRPr="00361EDD" w:rsidRDefault="001B4E0B" w:rsidP="001B4E0B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35E16" w14:textId="77777777" w:rsidR="00433B4D" w:rsidRDefault="00433B4D" w:rsidP="009B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E450BD" w14:textId="77777777" w:rsidR="009B65D1" w:rsidRPr="00361EDD" w:rsidRDefault="009B65D1" w:rsidP="009B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ЗАКЛЮЧНИЙ ЗВІТ</w:t>
      </w:r>
    </w:p>
    <w:p w14:paraId="30FA5C45" w14:textId="77777777" w:rsidR="009B65D1" w:rsidRPr="00361EDD" w:rsidRDefault="009B65D1" w:rsidP="009B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регіональної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625DAD87" w14:textId="471D5A23" w:rsidR="00A863B7" w:rsidRDefault="009B6ECD" w:rsidP="009B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інформатизації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,,</w:t>
      </w:r>
      <w:proofErr w:type="spellStart"/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Електронна</w:t>
      </w:r>
      <w:proofErr w:type="spellEnd"/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Дніпропетровщина</w:t>
      </w:r>
      <w:proofErr w:type="spellEnd"/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 на 20</w:t>
      </w:r>
      <w:r w:rsidR="00F01E1F"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F01E1F"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роки,</w:t>
      </w:r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затвердженої</w:t>
      </w:r>
      <w:proofErr w:type="spellEnd"/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рішенням</w:t>
      </w:r>
      <w:proofErr w:type="spellEnd"/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A71"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Дніпропетровської </w:t>
      </w:r>
      <w:r w:rsidR="009B65D1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обласної ради </w:t>
      </w:r>
    </w:p>
    <w:p w14:paraId="0FB2956A" w14:textId="3ED6EE42" w:rsidR="009B65D1" w:rsidRPr="00361EDD" w:rsidRDefault="009B65D1" w:rsidP="009B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2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01E1F"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5A2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01E1F"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жовт</w:t>
      </w:r>
      <w:r w:rsidRPr="005A2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 201</w:t>
      </w:r>
      <w:r w:rsidR="00F01E1F"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5A2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01E1F" w:rsidRPr="005A2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506-18/</w:t>
      </w:r>
      <w:r w:rsidR="00F01E1F"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F01E1F" w:rsidRPr="005A2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511ACEE3" w14:textId="77777777" w:rsidR="009B65D1" w:rsidRPr="005A2287" w:rsidRDefault="009B65D1" w:rsidP="009B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0C7FA9F8" w14:textId="04EDB29A" w:rsidR="009B65D1" w:rsidRPr="005A2287" w:rsidRDefault="009B65D1" w:rsidP="0022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Хід виконання регіональної програми інформатизації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 Дніпропетровщина” на 20</w:t>
      </w:r>
      <w:r w:rsidR="00F01E1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</w:t>
      </w:r>
      <w:r w:rsidR="00F01E1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 </w:t>
      </w:r>
      <w:r w:rsid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Дніпропетровської </w:t>
      </w:r>
      <w:r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ради від </w:t>
      </w:r>
      <w:r w:rsidR="009B6ECD">
        <w:rPr>
          <w:rFonts w:ascii="Times New Roman" w:hAnsi="Times New Roman" w:cs="Times New Roman"/>
          <w:sz w:val="28"/>
          <w:szCs w:val="28"/>
          <w:lang w:val="uk-UA"/>
        </w:rPr>
        <w:t xml:space="preserve">25 жовтня 2019 року № </w:t>
      </w:r>
      <w:r w:rsidR="00221142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506-18/VIІ </w:t>
      </w:r>
      <w:r w:rsidR="005A2287">
        <w:rPr>
          <w:rFonts w:ascii="Times New Roman" w:hAnsi="Times New Roman" w:cs="Times New Roman"/>
          <w:sz w:val="28"/>
          <w:szCs w:val="28"/>
          <w:lang w:val="uk-UA"/>
        </w:rPr>
        <w:br/>
      </w:r>
      <w:r w:rsid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(із</w:t>
      </w:r>
      <w:r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зміна</w:t>
      </w:r>
      <w:r w:rsid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ми, далі – Програма), протягом </w:t>
      </w:r>
      <w:r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був спрямований на вирішення таких завдань, як підтримка працездатності та забезпечення функціонування існуючих систем, а також на виконання заходів щодо підвищення ефективності управління соціально-економічним розвитком регіону, розвиток інформаційного суспільства із забезпеченням максимального залучення мешканців області до цього процесу, рівності громадян незалежно від місця їх проживання в дотриманні їх конституційних прав із застосуванням сучасних інформаційно-комп’ютерних технологій та технологій електронного урядування.</w:t>
      </w:r>
    </w:p>
    <w:p w14:paraId="18A837DC" w14:textId="3698B382" w:rsidR="009B65D1" w:rsidRPr="00361EDD" w:rsidRDefault="009B65D1" w:rsidP="0022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Основною метою Програми на 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33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433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було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доступу громадян до процесів формування інформаційного суспільства через упровадження інноваційних підходів, інструментів та технологій електронного урядування, електронної демократії, інших сучасних інформаційно-комп’ютерних технологій шляхом модернізації системи публічного управління соціально-економічним розвитком регіону, розвитку інфраструктури відкритих даних, телекомунікаційного середовища та забезпечення рівності громадян незалежно від місця їх проживання в дотриманні їх конституційних прав.</w:t>
      </w:r>
    </w:p>
    <w:p w14:paraId="08739F35" w14:textId="77777777" w:rsidR="009B65D1" w:rsidRPr="00361EDD" w:rsidRDefault="009B65D1" w:rsidP="0022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AF7524" w14:textId="77777777" w:rsidR="009B65D1" w:rsidRPr="00361EDD" w:rsidRDefault="009B65D1" w:rsidP="0022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заходів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42DCB75" w14:textId="6D38AA5B" w:rsidR="009B65D1" w:rsidRPr="00361EDD" w:rsidRDefault="009B65D1" w:rsidP="00221142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A7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обласного бюджету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заплановано</w:t>
      </w:r>
      <w:proofErr w:type="spellEnd"/>
      <w:r w:rsidR="00C24A7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357</w:t>
      </w:r>
      <w:r w:rsidR="009B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тис</w:t>
      </w:r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роками:</w:t>
      </w:r>
    </w:p>
    <w:p w14:paraId="0BE31821" w14:textId="52C7E62D" w:rsidR="009B65D1" w:rsidRPr="00361EDD" w:rsidRDefault="009B65D1" w:rsidP="00221142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–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149</w:t>
      </w:r>
      <w:r w:rsidR="009B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тис.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216E8D" w14:textId="07923077" w:rsidR="009B65D1" w:rsidRPr="00361EDD" w:rsidRDefault="009B65D1" w:rsidP="00221142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1 рік –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101</w:t>
      </w:r>
      <w:r w:rsidR="009B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тис.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9AD26A" w14:textId="2F3F0B8E" w:rsidR="009B65D1" w:rsidRPr="00361EDD" w:rsidRDefault="009B65D1" w:rsidP="00221142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– 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</w:t>
      </w:r>
      <w:r w:rsidR="009B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C24A7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грн.</w:t>
      </w:r>
    </w:p>
    <w:p w14:paraId="09871962" w14:textId="56D3138A" w:rsidR="009B65D1" w:rsidRPr="00361EDD" w:rsidRDefault="009B65D1" w:rsidP="00221142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ради про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9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629D9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688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9D9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0 тис</w:t>
      </w:r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роками:</w:t>
      </w:r>
    </w:p>
    <w:p w14:paraId="1EE5753B" w14:textId="058FAE08" w:rsidR="009B65D1" w:rsidRPr="00361EDD" w:rsidRDefault="009B65D1" w:rsidP="00221142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– </w:t>
      </w:r>
      <w:r w:rsidR="00F7172F" w:rsidRPr="00361E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25 152,6</w:t>
      </w:r>
      <w:r w:rsidR="00F7172F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</w:t>
      </w:r>
      <w:proofErr w:type="spellStart"/>
      <w:r w:rsidR="00F7172F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CF2DDA" w14:textId="04F8E024" w:rsidR="009B65D1" w:rsidRPr="00361EDD" w:rsidRDefault="009B65D1" w:rsidP="0022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– </w:t>
      </w:r>
      <w:r w:rsidR="00E14497" w:rsidRPr="00361E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25 279,0</w:t>
      </w:r>
      <w:r w:rsidR="00E14497"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 </w:t>
      </w:r>
      <w:proofErr w:type="spellStart"/>
      <w:r w:rsidR="00E14497" w:rsidRPr="00361EDD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1EE0BC" w14:textId="0CEDB085" w:rsidR="009B65D1" w:rsidRPr="00361EDD" w:rsidRDefault="009B65D1" w:rsidP="0022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2114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– </w:t>
      </w:r>
      <w:r w:rsidR="00C25B66" w:rsidRPr="00361E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31 256,9</w:t>
      </w:r>
      <w:r w:rsidR="00C25B66"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 грн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B6B02" w14:textId="26A290E9" w:rsidR="009B65D1" w:rsidRPr="00361EDD" w:rsidRDefault="009B65D1" w:rsidP="000B0369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1AA" w:rsidRPr="00C55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7D53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7D53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E64E113" w14:textId="406E27D9" w:rsidR="009B65D1" w:rsidRPr="00361EDD" w:rsidRDefault="009B65D1" w:rsidP="000B0369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профінансовано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F7172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7172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  <w:r w:rsidR="00D55AC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3</w:t>
      </w:r>
      <w:r w:rsidR="00D55AC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AC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55AC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F90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освоєно у повному обсязі,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тому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роками:</w:t>
      </w:r>
    </w:p>
    <w:p w14:paraId="2F1B7C55" w14:textId="447F6C19" w:rsidR="009B65D1" w:rsidRPr="00361EDD" w:rsidRDefault="009B65D1" w:rsidP="000B0369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369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– </w:t>
      </w:r>
      <w:r w:rsidR="000B0369"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24 769,11597 тис. </w:t>
      </w:r>
      <w:proofErr w:type="spellStart"/>
      <w:r w:rsidR="000B0369" w:rsidRPr="00361EDD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7D880B" w14:textId="4E618D6C" w:rsidR="009B65D1" w:rsidRPr="00361EDD" w:rsidRDefault="009B65D1" w:rsidP="000B0369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690D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– </w:t>
      </w:r>
      <w:r w:rsidR="00C2690D"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24 724,566 тис. </w:t>
      </w:r>
      <w:proofErr w:type="spellStart"/>
      <w:r w:rsidR="00C2690D" w:rsidRPr="00361EDD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D8EC8F" w14:textId="66EBB139" w:rsidR="009B65D1" w:rsidRPr="00361EDD" w:rsidRDefault="009B65D1" w:rsidP="000B0369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5AC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– </w:t>
      </w:r>
      <w:r w:rsidR="00D55AC1" w:rsidRPr="00361EDD">
        <w:rPr>
          <w:rFonts w:ascii="Times New Roman" w:eastAsia="Times New Roman" w:hAnsi="Times New Roman"/>
          <w:sz w:val="28"/>
          <w:szCs w:val="28"/>
          <w:lang w:eastAsia="ru-RU"/>
        </w:rPr>
        <w:t>24 903,506 тис. грн.</w:t>
      </w:r>
    </w:p>
    <w:p w14:paraId="4AF7E644" w14:textId="65DA9060" w:rsidR="009B65D1" w:rsidRPr="00361EDD" w:rsidRDefault="009B65D1" w:rsidP="000B0369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Кредиторська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заборгованість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станови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="00F65F90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1 873,6046 тис. </w:t>
      </w:r>
      <w:r w:rsidR="00F65F90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="00F65F90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F65F90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виникла у кінці 2019 року та погашена у 2020 році.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відсоток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освоєння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профінансованого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0B0369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369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2349A103" w14:textId="77777777" w:rsidR="009B65D1" w:rsidRPr="00361EDD" w:rsidRDefault="009B65D1" w:rsidP="009B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B2AF8E" w14:textId="77777777" w:rsidR="009B65D1" w:rsidRPr="00361EDD" w:rsidRDefault="009B65D1" w:rsidP="00E14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Виконання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завдань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A71"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було здійснено</w:t>
      </w:r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такими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головними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напрямами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405AEA9" w14:textId="77777777" w:rsidR="009B65D1" w:rsidRPr="00361EDD" w:rsidRDefault="009B65D1" w:rsidP="00E14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організаційне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методичне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DE50DF" w14:textId="77777777" w:rsidR="005A2287" w:rsidRDefault="009B65D1" w:rsidP="00E14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упровадження технологій е-урядування в органах виконавчої влади та місцевого самоврядування області; </w:t>
      </w:r>
    </w:p>
    <w:p w14:paraId="390A353A" w14:textId="07D1589A" w:rsidR="009B65D1" w:rsidRPr="00361EDD" w:rsidRDefault="009B65D1" w:rsidP="00E14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системи регіональних електронних інформаційних ресурсів;</w:t>
      </w:r>
    </w:p>
    <w:p w14:paraId="57A8D5E0" w14:textId="77777777" w:rsidR="009B65D1" w:rsidRPr="00361EDD" w:rsidRDefault="009B65D1" w:rsidP="00E14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21CA1F" w14:textId="77777777" w:rsidR="009B65D1" w:rsidRPr="00361EDD" w:rsidRDefault="009B65D1" w:rsidP="00C91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14:paraId="015F5D1C" w14:textId="77777777" w:rsidR="00C9123A" w:rsidRPr="00433B4D" w:rsidRDefault="00C9123A" w:rsidP="00C912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D20B0" w14:textId="77777777" w:rsidR="009B65D1" w:rsidRDefault="009B65D1" w:rsidP="00C912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Організаційне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методичне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672BF5CC" w14:textId="77777777" w:rsidR="009B65D1" w:rsidRPr="00361EDD" w:rsidRDefault="009B65D1" w:rsidP="00A67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74E5D8D" w14:textId="7C90978E" w:rsidR="00F53799" w:rsidRPr="00645735" w:rsidRDefault="00645735" w:rsidP="00A67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 </w:t>
      </w:r>
      <w:r w:rsidR="00F53799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науково-технічної ради з питань інформатизації та електронного урядування облдержадміністрації;</w:t>
      </w:r>
    </w:p>
    <w:p w14:paraId="5B088BD7" w14:textId="3A436A3D" w:rsidR="000429DC" w:rsidRPr="00361EDD" w:rsidRDefault="00F53799" w:rsidP="00A67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</w:t>
      </w:r>
      <w:r w:rsidR="001628BA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</w:t>
      </w:r>
      <w:r w:rsidR="001628BA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</w:t>
      </w:r>
      <w:r w:rsidR="001628BA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засідань тендерного комітету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інформаційних технологій та електронного урядування облдержадміністрації/</w:t>
      </w:r>
      <w:r w:rsidR="000429DC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цифрової трансформації, інформаційних технологій та електронного урядування облдержадміністрації</w:t>
      </w:r>
      <w:r w:rsidR="001B3BB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74F7177" w14:textId="7BB7FC4A" w:rsidR="001B3BBF" w:rsidRPr="00361EDD" w:rsidRDefault="001B3BBF" w:rsidP="00A67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сім засідань уповноваженої особи, яка відповідає за організацію та проведення процедур закупівель.</w:t>
      </w:r>
    </w:p>
    <w:p w14:paraId="5BB229D6" w14:textId="4A214D2C" w:rsidR="001D1F0E" w:rsidRPr="00361EDD" w:rsidRDefault="000429DC" w:rsidP="00A67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затвердженими річними планами закупівель </w:t>
      </w:r>
      <w:r w:rsidR="001D1F0E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проведено:</w:t>
      </w:r>
    </w:p>
    <w:p w14:paraId="153876BB" w14:textId="5F0F9A9B" w:rsidR="000429DC" w:rsidRPr="00361EDD" w:rsidRDefault="000429DC" w:rsidP="00A67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тендерним комітетом управління інформаційних технологій та електронного урядування облдержадміністрації/департаменту цифрової трансформації, інформаційних технологій та електронного урядування облдержадміністрації </w:t>
      </w:r>
      <w:r w:rsidR="001D1F0E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BD0067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процедур закупівель</w:t>
      </w:r>
      <w:r w:rsidR="00F267D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(8 переговорних процедур закупівлі, 8 процедур відкритих торгів та 2 додатков</w:t>
      </w:r>
      <w:r w:rsidR="0099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F267D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закупівлі (20% суми, визначеної в початковому договорі)</w:t>
      </w:r>
      <w:r w:rsidR="001D1F0E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67EA49A" w14:textId="20AB00BC" w:rsidR="005A2287" w:rsidRDefault="001D1F0E" w:rsidP="005A2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уповноваженою особою, яка відповідає за організацію та проведення процедур закупівель</w:t>
      </w:r>
      <w:r w:rsid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BD0067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1B3BB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0067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 закупівель </w:t>
      </w:r>
      <w:r w:rsidR="001B3BB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переговорних процедури закупівлі, 7 процедур відкритих торгів, 2 спрощених закупівлі та 1 закупівля без використання</w:t>
      </w:r>
      <w:r w:rsidR="005A2287" w:rsidRP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2287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ЕСЗ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A2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31ACF2A" w14:textId="53F25FE8" w:rsidR="009B65D1" w:rsidRPr="00361EDD" w:rsidRDefault="009B65D1" w:rsidP="005A2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Забезпечено проведення </w:t>
      </w:r>
      <w:r w:rsidR="0099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щорічних</w:t>
      </w:r>
      <w:r w:rsidR="00F3629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додатков</w:t>
      </w:r>
      <w:r w:rsidR="0099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інвентаризацій</w:t>
      </w:r>
      <w:r w:rsidR="00F3629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інформаційних та програмно-технічних ресурсів, телефонного зв’язку в усіх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структурних підрозділах облдержадміністрації, райдержадміністраціях, територіальних громадах з урахуванням вимог нормативно-правових актів стосовно використання комп’ютерних програм, програмного забезпечення без виді</w:t>
      </w:r>
      <w:r w:rsidR="00627480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коштів обласного бюджету.</w:t>
      </w:r>
    </w:p>
    <w:p w14:paraId="668A753E" w14:textId="47DF5438" w:rsidR="009B65D1" w:rsidRPr="00361EDD" w:rsidRDefault="00A3464E" w:rsidP="00A67A63">
      <w:pPr>
        <w:spacing w:after="0" w:line="22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зазначених відомостей кількість персональних комп’ютерів в облдержадміністрації та її структурних підрозділах складає 1248 одиниць, у райдержадміністраціях – </w:t>
      </w:r>
      <w:r w:rsidRPr="00361EDD">
        <w:rPr>
          <w:rFonts w:ascii="Times New Roman" w:hAnsi="Times New Roman"/>
          <w:sz w:val="28"/>
          <w:szCs w:val="28"/>
          <w:lang w:val="uk-UA"/>
        </w:rPr>
        <w:t>617</w:t>
      </w:r>
      <w:r w:rsidRPr="00361ED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A911E7B" w14:textId="01E1FBC0" w:rsidR="00D74431" w:rsidRPr="00361EDD" w:rsidRDefault="00D74431" w:rsidP="00D7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Проведено аналіз результатів щорічної інвентаризації інформаційних та програмно-технічних ресурсів, телефонного зв’язку, які враховано </w:t>
      </w:r>
      <w:r w:rsidR="009911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 час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плануванн</w:t>
      </w:r>
      <w:r w:rsidR="009911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закупівлі засобів інформатизації та відповідного програмного забезпечення. Зазначену інформацію направлено до Міністерства економі</w:t>
      </w:r>
      <w:r w:rsidR="009911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України.</w:t>
      </w:r>
    </w:p>
    <w:p w14:paraId="6AE90B67" w14:textId="763156CE" w:rsidR="00CB395D" w:rsidRPr="00361EDD" w:rsidRDefault="00CB395D" w:rsidP="00CB395D">
      <w:pPr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аналіз стану інтеграції місцевих інформаційних ресурсів територіальних громад до </w:t>
      </w:r>
      <w:r w:rsidR="00D7443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ЕКЦ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Дніпропетровської області.</w:t>
      </w:r>
    </w:p>
    <w:p w14:paraId="68C0B672" w14:textId="1933D12F" w:rsidR="009B65D1" w:rsidRPr="00361EDD" w:rsidRDefault="00A3464E" w:rsidP="00A67A63">
      <w:pPr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райдержадміністраціями та </w:t>
      </w:r>
      <w:r w:rsidR="00B45410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територіальними громадами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 проводиться методична та консультаційна підтримка щодо розроблення, доопрацювання та виконання місцевих програм інформатизації. </w:t>
      </w:r>
    </w:p>
    <w:p w14:paraId="442414F9" w14:textId="74494F0D" w:rsidR="009B65D1" w:rsidRPr="00361EDD" w:rsidRDefault="00FB0045" w:rsidP="00A67A63">
      <w:pPr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інформацією, яку надано територіальними громадами області</w:t>
      </w:r>
      <w:r w:rsidR="00965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DB5DB1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аном на 01</w:t>
      </w:r>
      <w:r w:rsidR="00965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</w:t>
      </w:r>
      <w:r w:rsidR="00DB5DB1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965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DB5DB1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 51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місцеву програму інформатизації.</w:t>
      </w:r>
    </w:p>
    <w:p w14:paraId="7ABF8CA5" w14:textId="18F5EE6D" w:rsidR="009B65D1" w:rsidRPr="00361EDD" w:rsidRDefault="007002ED" w:rsidP="009D1EBD">
      <w:pPr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всіх адміністративно-т</w:t>
      </w:r>
      <w:r w:rsidR="00433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ериторіальних одиницях області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(7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</w:t>
      </w:r>
      <w:proofErr w:type="spellEnd"/>
      <w:r w:rsidR="00433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адміністраціях та 86 ТГ) визначено заступників голів з питань цифрового розвитку</w:t>
      </w:r>
      <w:r w:rsidR="000D4ED0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DB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відповідальних осіб з питань інформатизації та захисту інформації.</w:t>
      </w:r>
    </w:p>
    <w:p w14:paraId="4A488739" w14:textId="4B5AD508" w:rsidR="00DB5DB1" w:rsidRPr="00361EDD" w:rsidRDefault="00DB5DB1" w:rsidP="00DB5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виконання своїх обов’язків відповідальними особами використовуються інстру</w:t>
      </w:r>
      <w:r w:rsidR="00965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кція щодо ведення офіційних </w:t>
      </w:r>
      <w:proofErr w:type="spellStart"/>
      <w:r w:rsidR="00965C0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</w:t>
      </w:r>
      <w:r w:rsidRPr="00361ED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сайтів</w:t>
      </w:r>
      <w:proofErr w:type="spellEnd"/>
      <w:r w:rsidRPr="00361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органів місцевого самоврядування області для відповідальних працівників (модераторів), рекомендації щодо розробки та реалізації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місцевих програм інформатизації для райдержадміністрацій та ТГ області, пр</w:t>
      </w:r>
      <w:r w:rsidR="00965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авила реєстрації доменних імен у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доменній зоні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DP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UA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5DAC55A" w14:textId="2A394314" w:rsidR="00DB5DB1" w:rsidRPr="00361EDD" w:rsidRDefault="00DB5DB1" w:rsidP="00DB5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надаються консультації структурним підрозділам облдержадміністрації, райдержадміністраціям, ТГ з питань запобігання ураження автоматизованих робочих місць та розміщеної на них інформації паразитним вірусним програмним забезпеченням, а також з питань функціонування </w:t>
      </w:r>
      <w:r w:rsidR="00965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офіційних </w:t>
      </w:r>
      <w:proofErr w:type="spellStart"/>
      <w:r w:rsidR="00965C0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</w:t>
      </w:r>
      <w:r w:rsidRPr="00361ED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сайтів</w:t>
      </w:r>
      <w:proofErr w:type="spellEnd"/>
      <w:r w:rsidRPr="00361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місцевих органів влади та їх наповнення згідно із чинним законодавством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E030DF4" w14:textId="2E71C5AD" w:rsidR="00DB5DB1" w:rsidRPr="00361EDD" w:rsidRDefault="00DB5DB1" w:rsidP="00DB5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Проводяться консультації з представниками структурних підрозділів облдержадміністрації, райдержадміністрацій та ТГ щодо необхідності погодження з Генеральним державним замовником Національної програми інформатизації (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Мінцифри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завдань, проєктів (робіт) Національної програми інформатизації, які виконуються в межах бюджетних програм, що належать до сфери інформатизації, та/або контрактів (договорів) на їх виконання, відповідно до вимог Методики визначення належності бюджетних програм до сфери інформатизації, затвердженої наказом Мін</w:t>
      </w:r>
      <w:r w:rsidR="00965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істерства цифрової трансформації України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07 травня 2020 року № 67, з урахуванням наказу </w:t>
      </w:r>
      <w:r w:rsidR="00965C0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</w:t>
      </w:r>
      <w:r w:rsidR="00965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істерства цифрової трансформації України</w:t>
      </w:r>
      <w:r w:rsidR="00965C0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</w:t>
      </w:r>
      <w:r w:rsidR="00F0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F0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51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у додаток до Методики визначення належності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бюджетних програм до сфери інформатизації”, зареєстрован</w:t>
      </w:r>
      <w:r w:rsidR="00C87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20</w:t>
      </w:r>
      <w:r w:rsidR="00F0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F0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 679/38015.</w:t>
      </w:r>
    </w:p>
    <w:p w14:paraId="0ED8D50E" w14:textId="39F6A567" w:rsidR="003B29AF" w:rsidRPr="00361EDD" w:rsidRDefault="003B29AF" w:rsidP="003B2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 з питань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ЕКЦ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Створено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віртуальне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сховище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захищений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r w:rsidR="00F0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райдержадміністраціях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ТГ.</w:t>
      </w:r>
    </w:p>
    <w:p w14:paraId="499B66DF" w14:textId="6B0D135A" w:rsidR="003B29AF" w:rsidRPr="00361EDD" w:rsidRDefault="003B29AF" w:rsidP="003B2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заходи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навчанню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державному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9B6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талі</w:t>
      </w:r>
      <w:proofErr w:type="spellEnd"/>
      <w:proofErr w:type="gramStart"/>
      <w:r w:rsidR="009B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ДІЯ.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61EDD">
        <w:rPr>
          <w:rFonts w:ascii="Times New Roman" w:hAnsi="Times New Roman" w:cs="Times New Roman"/>
          <w:sz w:val="28"/>
        </w:rPr>
        <w:t>працівників</w:t>
      </w:r>
      <w:proofErr w:type="spellEnd"/>
      <w:r w:rsidRPr="00361E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</w:rPr>
        <w:t>освітн</w:t>
      </w:r>
      <w:r w:rsidR="00F00A48">
        <w:rPr>
          <w:rFonts w:ascii="Times New Roman" w:hAnsi="Times New Roman" w:cs="Times New Roman"/>
          <w:sz w:val="28"/>
        </w:rPr>
        <w:t>іх</w:t>
      </w:r>
      <w:proofErr w:type="spellEnd"/>
      <w:r w:rsidR="00F00A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0A48">
        <w:rPr>
          <w:rFonts w:ascii="Times New Roman" w:hAnsi="Times New Roman" w:cs="Times New Roman"/>
          <w:sz w:val="28"/>
        </w:rPr>
        <w:t>закладів</w:t>
      </w:r>
      <w:proofErr w:type="spellEnd"/>
      <w:r w:rsidR="00F00A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F00A48">
        <w:rPr>
          <w:rFonts w:ascii="Times New Roman" w:hAnsi="Times New Roman" w:cs="Times New Roman"/>
          <w:sz w:val="28"/>
        </w:rPr>
        <w:t>медичних</w:t>
      </w:r>
      <w:proofErr w:type="spellEnd"/>
      <w:r w:rsidR="00F00A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0A48">
        <w:rPr>
          <w:rFonts w:ascii="Times New Roman" w:hAnsi="Times New Roman" w:cs="Times New Roman"/>
          <w:sz w:val="28"/>
        </w:rPr>
        <w:t>установ</w:t>
      </w:r>
      <w:proofErr w:type="spellEnd"/>
      <w:r w:rsidRPr="00361EDD">
        <w:rPr>
          <w:rFonts w:ascii="Times New Roman" w:hAnsi="Times New Roman" w:cs="Times New Roman"/>
          <w:sz w:val="28"/>
        </w:rPr>
        <w:t xml:space="preserve"> шляхом </w:t>
      </w:r>
      <w:proofErr w:type="spellStart"/>
      <w:r w:rsidRPr="00361EDD">
        <w:rPr>
          <w:rFonts w:ascii="Times New Roman" w:hAnsi="Times New Roman" w:cs="Times New Roman"/>
          <w:sz w:val="28"/>
        </w:rPr>
        <w:t>проведення</w:t>
      </w:r>
      <w:proofErr w:type="spellEnd"/>
      <w:r w:rsidRPr="00361E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</w:rPr>
        <w:t>навчання</w:t>
      </w:r>
      <w:proofErr w:type="spellEnd"/>
      <w:r w:rsidRPr="00361E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1EDD">
        <w:rPr>
          <w:rFonts w:ascii="Times New Roman" w:hAnsi="Times New Roman" w:cs="Times New Roman"/>
          <w:sz w:val="28"/>
        </w:rPr>
        <w:t>тестування</w:t>
      </w:r>
      <w:proofErr w:type="spellEnd"/>
      <w:r w:rsidRPr="00361ED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61EDD">
        <w:rPr>
          <w:rFonts w:ascii="Times New Roman" w:hAnsi="Times New Roman" w:cs="Times New Roman"/>
          <w:sz w:val="28"/>
        </w:rPr>
        <w:t>отримання</w:t>
      </w:r>
      <w:proofErr w:type="spellEnd"/>
      <w:r w:rsidRPr="00361E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</w:rPr>
        <w:t>сертифікатів</w:t>
      </w:r>
      <w:proofErr w:type="spellEnd"/>
      <w:r w:rsidRPr="00361EDD">
        <w:rPr>
          <w:rFonts w:ascii="Times New Roman" w:hAnsi="Times New Roman" w:cs="Times New Roman"/>
          <w:sz w:val="28"/>
        </w:rPr>
        <w:t xml:space="preserve"> через портал</w:t>
      </w:r>
      <w:proofErr w:type="gramStart"/>
      <w:r w:rsidR="009B6ECD">
        <w:rPr>
          <w:rFonts w:ascii="Times New Roman" w:hAnsi="Times New Roman" w:cs="Times New Roman"/>
          <w:sz w:val="28"/>
          <w:lang w:val="uk-UA"/>
        </w:rPr>
        <w:t xml:space="preserve"> ,,</w:t>
      </w:r>
      <w:proofErr w:type="spellStart"/>
      <w:proofErr w:type="gramEnd"/>
      <w:r w:rsidRPr="00361EDD">
        <w:rPr>
          <w:rFonts w:ascii="Times New Roman" w:hAnsi="Times New Roman" w:cs="Times New Roman"/>
          <w:sz w:val="28"/>
        </w:rPr>
        <w:t>Дія</w:t>
      </w:r>
      <w:proofErr w:type="spellEnd"/>
      <w:r w:rsidRPr="00361EDD">
        <w:rPr>
          <w:rFonts w:ascii="Times New Roman" w:hAnsi="Times New Roman" w:cs="Times New Roman"/>
          <w:sz w:val="28"/>
        </w:rPr>
        <w:t>.</w:t>
      </w:r>
      <w:r w:rsidR="00F00A4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</w:rPr>
        <w:t>Цифрова</w:t>
      </w:r>
      <w:proofErr w:type="spellEnd"/>
      <w:r w:rsidRPr="00361E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</w:rPr>
        <w:t>освіта</w:t>
      </w:r>
      <w:proofErr w:type="spellEnd"/>
      <w:r w:rsidR="00C87EA7" w:rsidRPr="003903F7">
        <w:rPr>
          <w:rFonts w:ascii="Times New Roman" w:hAnsi="Times New Roman" w:cs="Times New Roman"/>
          <w:sz w:val="28"/>
        </w:rPr>
        <w:t>”</w:t>
      </w:r>
      <w:r w:rsidRPr="00361EDD">
        <w:rPr>
          <w:rFonts w:ascii="Times New Roman" w:hAnsi="Times New Roman" w:cs="Times New Roman"/>
          <w:sz w:val="28"/>
        </w:rPr>
        <w:t xml:space="preserve">. </w:t>
      </w:r>
    </w:p>
    <w:p w14:paraId="6B07F22C" w14:textId="7C9609D6" w:rsidR="003B29AF" w:rsidRPr="00361EDD" w:rsidRDefault="00F00A48" w:rsidP="003B2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проведено з</w:t>
      </w:r>
      <w:r w:rsidR="006C42C2">
        <w:rPr>
          <w:rFonts w:ascii="Times New Roman" w:hAnsi="Times New Roman"/>
          <w:sz w:val="28"/>
          <w:szCs w:val="28"/>
        </w:rPr>
        <w:t xml:space="preserve">аходи </w:t>
      </w:r>
      <w:proofErr w:type="spellStart"/>
      <w:r w:rsidR="006C42C2">
        <w:rPr>
          <w:rFonts w:ascii="Times New Roman" w:hAnsi="Times New Roman"/>
          <w:sz w:val="28"/>
          <w:szCs w:val="28"/>
        </w:rPr>
        <w:t>щодо</w:t>
      </w:r>
      <w:proofErr w:type="spellEnd"/>
      <w:r w:rsidR="006C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2C2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="006C4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2C2">
        <w:rPr>
          <w:rFonts w:ascii="Times New Roman" w:hAnsi="Times New Roman"/>
          <w:sz w:val="28"/>
          <w:szCs w:val="28"/>
        </w:rPr>
        <w:t>серед</w:t>
      </w:r>
      <w:proofErr w:type="spellEnd"/>
      <w:r w:rsidR="006C42C2">
        <w:rPr>
          <w:rFonts w:ascii="Times New Roman" w:hAnsi="Times New Roman"/>
          <w:sz w:val="28"/>
          <w:szCs w:val="28"/>
        </w:rPr>
        <w:t xml:space="preserve"> </w:t>
      </w:r>
      <w:r w:rsidR="006C42C2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чителів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школярів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медичних</w:t>
      </w:r>
      <w:proofErr w:type="spellEnd"/>
      <w:r w:rsidR="009B6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EC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9B6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ECD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="009B6ECD">
        <w:rPr>
          <w:rFonts w:ascii="Times New Roman" w:hAnsi="Times New Roman"/>
          <w:sz w:val="28"/>
          <w:szCs w:val="28"/>
        </w:rPr>
        <w:t xml:space="preserve"> курсу</w:t>
      </w:r>
      <w:proofErr w:type="gramStart"/>
      <w:r w:rsidR="009B6ECD">
        <w:rPr>
          <w:rFonts w:ascii="Times New Roman" w:hAnsi="Times New Roman"/>
          <w:sz w:val="28"/>
          <w:szCs w:val="28"/>
        </w:rPr>
        <w:t xml:space="preserve"> </w:t>
      </w:r>
      <w:r w:rsidR="009B6ECD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proofErr w:type="gramEnd"/>
      <w:r w:rsidR="003B29AF" w:rsidRPr="00361EDD">
        <w:rPr>
          <w:rFonts w:ascii="Times New Roman" w:hAnsi="Times New Roman"/>
          <w:sz w:val="28"/>
          <w:szCs w:val="28"/>
        </w:rPr>
        <w:t>Цифрограм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2.0 для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громадян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”, у тому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числі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розміщення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офіційних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сайтах та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сторінках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B29AF" w:rsidRPr="00361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мережах активного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посилання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на платформу </w:t>
      </w:r>
      <w:r w:rsidR="009B6ECD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Дія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Цифрова</w:t>
      </w:r>
      <w:proofErr w:type="spellEnd"/>
      <w:r w:rsidR="003B29AF" w:rsidRPr="00361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9AF" w:rsidRPr="00361EDD">
        <w:rPr>
          <w:rFonts w:ascii="Times New Roman" w:hAnsi="Times New Roman"/>
          <w:sz w:val="28"/>
          <w:szCs w:val="28"/>
        </w:rPr>
        <w:t>освіта</w:t>
      </w:r>
      <w:proofErr w:type="spellEnd"/>
      <w:r w:rsidR="005E2BBE">
        <w:rPr>
          <w:rFonts w:ascii="Times New Roman" w:hAnsi="Times New Roman"/>
          <w:sz w:val="28"/>
          <w:szCs w:val="28"/>
          <w:lang w:val="uk-UA"/>
        </w:rPr>
        <w:t>”</w:t>
      </w:r>
      <w:r w:rsidR="003B29AF" w:rsidRPr="00361EDD">
        <w:rPr>
          <w:rFonts w:ascii="Times New Roman" w:hAnsi="Times New Roman"/>
          <w:sz w:val="28"/>
          <w:szCs w:val="28"/>
        </w:rPr>
        <w:t>.</w:t>
      </w:r>
    </w:p>
    <w:p w14:paraId="53CC521C" w14:textId="22E05ECB" w:rsidR="00CF14AF" w:rsidRPr="00361EDD" w:rsidRDefault="00E24C2D" w:rsidP="00CF1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 році п</w:t>
      </w:r>
      <w:r w:rsidR="00F0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регіональну к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онференцію ,,</w:t>
      </w:r>
      <w:proofErr w:type="spellStart"/>
      <w:r w:rsidR="00CF14A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Цифровізація</w:t>
      </w:r>
      <w:proofErr w:type="spellEnd"/>
      <w:r w:rsidR="00CF14A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Дніпропетровщини: дії, що змінюють життя громад”. Основною метою заходу є цифровий розвиток та підвищення якості життя громадян у всіх куточках області.</w:t>
      </w:r>
    </w:p>
    <w:p w14:paraId="2C2FDCA6" w14:textId="6076DE67" w:rsidR="00CF14AF" w:rsidRPr="00361EDD" w:rsidRDefault="00CF14AF" w:rsidP="00CF1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100 учасників заходу долучилися до обговорення процесів цифрової трансформації в Дніпропетровському регіоні.</w:t>
      </w:r>
    </w:p>
    <w:p w14:paraId="285E36D0" w14:textId="54719079" w:rsidR="00F34315" w:rsidRPr="00361EDD" w:rsidRDefault="00F00A48" w:rsidP="00F3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програмі конференції представники ТГ області консультувалися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фахівцями </w:t>
      </w:r>
      <w:r w:rsidR="002D600C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</w:t>
      </w:r>
      <w:r w:rsidR="002D6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істерства цифрової трансформації України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облдер</w:t>
      </w:r>
      <w:r w:rsidR="002D6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жадміністрації, обласної ради, К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   ,,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інформаційно-комунікаційний і науково-виробничий центр” Дніпропетровської обласної ради” (далі – КП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ГІКНВЦ” ДОР”), предс</w:t>
      </w:r>
      <w:r w:rsidR="002D6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тавниками мобільних операторів у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тематичних робочих секторах: ,,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Проекти регіонального рів</w:t>
      </w:r>
      <w:r w:rsidR="002D6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можливості для громад”, ,,Е-демократія”, ,,</w:t>
      </w:r>
      <w:r w:rsidR="002D6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інформації”,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Взаємодія з мобільними операторами”. </w:t>
      </w:r>
    </w:p>
    <w:p w14:paraId="4169A26D" w14:textId="03337BC7" w:rsidR="00F34315" w:rsidRPr="00361EDD" w:rsidRDefault="00F34315" w:rsidP="00F3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вивчення успішного досвіду учасники конференції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відвідали ситуаційний центр м. Дніпра – проєкт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Безпечне місто”, який працює цілодобово та об’єднує інформацію з більш ніж 1700 камер відеоспостереження та пультів управління комунальників, із них: 234 камери з 80 шкіл; 92 камери у парках та інших об’єктах інфра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структури. Відвідали НВК № 148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Планета щастя”. Побували і 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ЦНАПі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Слобожанської територ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іальної громади, відвідали КНП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Клінічна лікарня швидкої медичної допомоги” у м. Дніпро.</w:t>
      </w:r>
    </w:p>
    <w:p w14:paraId="0C8919C6" w14:textId="7AA7E54C" w:rsidR="00F34315" w:rsidRPr="00361EDD" w:rsidRDefault="002D600C" w:rsidP="00F3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рамках конференції представники ТГ отримали практичний посібник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proofErr w:type="spellStart"/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цифровізації</w:t>
      </w:r>
      <w:proofErr w:type="spellEnd"/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регіону ,,</w:t>
      </w:r>
      <w:r w:rsidR="00F3431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НАВІГАТОР ДЛЯ ДІЄВИХ”, який розроблено департаментом цифрової трансформації, інформаційних технологій та електронного урядування облдержадміністрації спільно з представниками програми EGAP та Дніпровської міської ради.</w:t>
      </w:r>
    </w:p>
    <w:p w14:paraId="3C0FD851" w14:textId="2824B7CA" w:rsidR="000A151D" w:rsidRPr="00361EDD" w:rsidRDefault="000A151D" w:rsidP="000A151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1EDD">
        <w:rPr>
          <w:sz w:val="28"/>
          <w:szCs w:val="28"/>
          <w:lang w:eastAsia="ru-RU"/>
        </w:rPr>
        <w:lastRenderedPageBreak/>
        <w:t xml:space="preserve">У 2022 році організовано та проведено регіональний ІТ-форум </w:t>
      </w:r>
      <w:r w:rsidR="002D600C">
        <w:rPr>
          <w:sz w:val="28"/>
          <w:szCs w:val="28"/>
          <w:lang w:eastAsia="ru-RU"/>
        </w:rPr>
        <w:t>у</w:t>
      </w:r>
      <w:r w:rsidRPr="00361EDD">
        <w:rPr>
          <w:color w:val="000000"/>
          <w:sz w:val="28"/>
          <w:szCs w:val="28"/>
          <w:shd w:val="clear" w:color="auto" w:fill="FFFFFF"/>
        </w:rPr>
        <w:t xml:space="preserve"> рамках </w:t>
      </w:r>
      <w:proofErr w:type="spellStart"/>
      <w:r w:rsidRPr="00361EDD">
        <w:rPr>
          <w:color w:val="000000"/>
          <w:sz w:val="28"/>
          <w:szCs w:val="28"/>
          <w:shd w:val="clear" w:color="auto" w:fill="FFFFFF"/>
        </w:rPr>
        <w:t>Digital</w:t>
      </w:r>
      <w:proofErr w:type="spellEnd"/>
      <w:r w:rsidRPr="00361E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EDD">
        <w:rPr>
          <w:color w:val="000000"/>
          <w:sz w:val="28"/>
          <w:szCs w:val="28"/>
          <w:shd w:val="clear" w:color="auto" w:fill="FFFFFF"/>
        </w:rPr>
        <w:t>Regions</w:t>
      </w:r>
      <w:proofErr w:type="spellEnd"/>
      <w:r w:rsidRPr="00361E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EDD">
        <w:rPr>
          <w:color w:val="000000"/>
          <w:sz w:val="28"/>
          <w:szCs w:val="28"/>
          <w:shd w:val="clear" w:color="auto" w:fill="FFFFFF"/>
        </w:rPr>
        <w:t>Week</w:t>
      </w:r>
      <w:proofErr w:type="spellEnd"/>
      <w:r w:rsidRPr="00361EDD">
        <w:rPr>
          <w:color w:val="000000"/>
          <w:sz w:val="28"/>
          <w:szCs w:val="28"/>
          <w:shd w:val="clear" w:color="auto" w:fill="FFFFFF"/>
        </w:rPr>
        <w:t xml:space="preserve"> за ініціативи Міністерства цифрової трансформації</w:t>
      </w:r>
      <w:r w:rsidR="00D051FF" w:rsidRPr="00D051FF">
        <w:rPr>
          <w:color w:val="000000"/>
          <w:sz w:val="28"/>
          <w:szCs w:val="28"/>
          <w:shd w:val="clear" w:color="auto" w:fill="FFFFFF"/>
        </w:rPr>
        <w:t xml:space="preserve"> </w:t>
      </w:r>
      <w:r w:rsidRPr="00361EDD">
        <w:rPr>
          <w:color w:val="000000"/>
          <w:sz w:val="28"/>
          <w:szCs w:val="28"/>
          <w:shd w:val="clear" w:color="auto" w:fill="FFFFFF"/>
        </w:rPr>
        <w:t>України та за підтримки швейцарсько-української Програми EGAP Фонду Східна Європа.</w:t>
      </w:r>
    </w:p>
    <w:p w14:paraId="46EA7531" w14:textId="6BE6262D" w:rsidR="000A151D" w:rsidRPr="00361EDD" w:rsidRDefault="000A151D" w:rsidP="000A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час форуму обговорили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цифровізацію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спричиненої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ворогом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енергетичної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. Були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п</w:t>
      </w:r>
      <w:r w:rsidR="002D600C">
        <w:rPr>
          <w:rFonts w:ascii="Times New Roman" w:hAnsi="Times New Roman" w:cs="Times New Roman"/>
          <w:sz w:val="28"/>
          <w:szCs w:val="28"/>
        </w:rPr>
        <w:t>рисутні</w:t>
      </w:r>
      <w:proofErr w:type="spellEnd"/>
      <w:r w:rsidR="002D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00C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2D600C">
        <w:rPr>
          <w:rFonts w:ascii="Times New Roman" w:hAnsi="Times New Roman" w:cs="Times New Roman"/>
          <w:sz w:val="28"/>
          <w:szCs w:val="28"/>
        </w:rPr>
        <w:t xml:space="preserve"> громад, ІТ</w:t>
      </w:r>
      <w:r w:rsidR="002D600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організації-партнери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>.</w:t>
      </w:r>
    </w:p>
    <w:p w14:paraId="2B9EA382" w14:textId="77777777" w:rsidR="000A151D" w:rsidRPr="00361EDD" w:rsidRDefault="000A151D" w:rsidP="000A151D">
      <w:pPr>
        <w:pStyle w:val="a7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 w:rsidRPr="00361EDD">
        <w:rPr>
          <w:iCs/>
          <w:color w:val="000000"/>
          <w:sz w:val="28"/>
          <w:szCs w:val="28"/>
        </w:rPr>
        <w:t xml:space="preserve">В умовах війни </w:t>
      </w:r>
      <w:proofErr w:type="spellStart"/>
      <w:r w:rsidRPr="00361EDD">
        <w:rPr>
          <w:iCs/>
          <w:color w:val="000000"/>
          <w:sz w:val="28"/>
          <w:szCs w:val="28"/>
        </w:rPr>
        <w:t>цифровізація</w:t>
      </w:r>
      <w:proofErr w:type="spellEnd"/>
      <w:r w:rsidRPr="00361EDD">
        <w:rPr>
          <w:iCs/>
          <w:color w:val="000000"/>
          <w:sz w:val="28"/>
          <w:szCs w:val="28"/>
        </w:rPr>
        <w:t xml:space="preserve"> особливо необхідна. Найперше, для забезпечення роботи інфраструктури, безперебійного доступу до освіти та навчання, а також для надання медичних послуг, покращення </w:t>
      </w:r>
      <w:proofErr w:type="spellStart"/>
      <w:r w:rsidRPr="00361EDD">
        <w:rPr>
          <w:iCs/>
          <w:color w:val="000000"/>
          <w:sz w:val="28"/>
          <w:szCs w:val="28"/>
        </w:rPr>
        <w:t>кібербезпеки</w:t>
      </w:r>
      <w:proofErr w:type="spellEnd"/>
      <w:r w:rsidRPr="00361EDD">
        <w:rPr>
          <w:iCs/>
          <w:color w:val="000000"/>
          <w:sz w:val="28"/>
          <w:szCs w:val="28"/>
        </w:rPr>
        <w:t xml:space="preserve"> та підтримки економічного фронту країни.</w:t>
      </w:r>
    </w:p>
    <w:p w14:paraId="381E55BA" w14:textId="5DFAFECD" w:rsidR="000A151D" w:rsidRPr="007B654E" w:rsidRDefault="000A151D" w:rsidP="000A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54E">
        <w:rPr>
          <w:rFonts w:ascii="Times New Roman" w:hAnsi="Times New Roman" w:cs="Times New Roman"/>
          <w:sz w:val="28"/>
          <w:szCs w:val="28"/>
          <w:lang w:val="uk-UA"/>
        </w:rPr>
        <w:t xml:space="preserve">Під час форуму </w:t>
      </w:r>
      <w:r w:rsidR="002D600C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</w:t>
      </w:r>
      <w:r w:rsidR="002D6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істерство цифрової трансформації України</w:t>
      </w:r>
      <w:r w:rsidR="002D600C" w:rsidRPr="007B6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54E">
        <w:rPr>
          <w:rFonts w:ascii="Times New Roman" w:hAnsi="Times New Roman" w:cs="Times New Roman"/>
          <w:sz w:val="28"/>
          <w:szCs w:val="28"/>
          <w:lang w:val="uk-UA"/>
        </w:rPr>
        <w:t xml:space="preserve">презентувало Індекс цифрової трансформації, в якому більше ста показників, які аналізують </w:t>
      </w:r>
      <w:proofErr w:type="spellStart"/>
      <w:r w:rsidRPr="007B654E">
        <w:rPr>
          <w:rFonts w:ascii="Times New Roman" w:hAnsi="Times New Roman" w:cs="Times New Roman"/>
          <w:sz w:val="28"/>
          <w:szCs w:val="28"/>
          <w:lang w:val="uk-UA"/>
        </w:rPr>
        <w:t>діджитал</w:t>
      </w:r>
      <w:proofErr w:type="spellEnd"/>
      <w:r w:rsidRPr="007B654E">
        <w:rPr>
          <w:rFonts w:ascii="Times New Roman" w:hAnsi="Times New Roman" w:cs="Times New Roman"/>
          <w:sz w:val="28"/>
          <w:szCs w:val="28"/>
          <w:lang w:val="uk-UA"/>
        </w:rPr>
        <w:t xml:space="preserve">-розвиток громади. </w:t>
      </w:r>
    </w:p>
    <w:p w14:paraId="7ECB8FEA" w14:textId="77777777" w:rsidR="000A151D" w:rsidRPr="00361EDD" w:rsidRDefault="000A151D" w:rsidP="000A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ED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час форуму в рамках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EGAP передано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валізки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Васильківському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Новопокровському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центрам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DD">
        <w:rPr>
          <w:rFonts w:ascii="Times New Roman" w:hAnsi="Times New Roman" w:cs="Times New Roman"/>
          <w:sz w:val="28"/>
          <w:szCs w:val="28"/>
        </w:rPr>
        <w:t>адмінпослуг</w:t>
      </w:r>
      <w:proofErr w:type="spellEnd"/>
      <w:r w:rsidRPr="00361ED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482005" w14:textId="7E510A46" w:rsidR="008E57BD" w:rsidRPr="00361EDD" w:rsidRDefault="008E57BD" w:rsidP="008E5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тренінгове навчання за темою</w:t>
      </w:r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автоматизованої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 управління документами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 ПРОФ 3” при роботі з електронними документами”. Навчальна програма складалась з 5 модулів відповідно до ролі </w:t>
      </w:r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кожного учасника тренінгу в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системі електронного документообігу.</w:t>
      </w:r>
    </w:p>
    <w:p w14:paraId="516EBD25" w14:textId="23E415E7" w:rsidR="008E57BD" w:rsidRPr="00361EDD" w:rsidRDefault="008E57BD" w:rsidP="008E5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кваліфікації та посилення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0A151D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ЕКЦ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адміністраторами КП ,,</w:t>
      </w:r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ГІКНВЦ”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ДОР” взято участь у короткотермінових семінарів </w:t>
      </w:r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інформаційної </w:t>
      </w:r>
      <w:proofErr w:type="spellStart"/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безпецки</w:t>
      </w:r>
      <w:proofErr w:type="spellEnd"/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темами: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та адміністрування рішень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Cisco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Implementing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Administering</w:t>
      </w:r>
      <w:proofErr w:type="spellEnd"/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Cisco</w:t>
      </w:r>
      <w:proofErr w:type="spellEnd"/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Solutions</w:t>
      </w:r>
      <w:proofErr w:type="spellEnd"/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)”,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Налаштування</w:t>
      </w:r>
      <w:r w:rsidR="000D0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безпеки в Windows Server 2016”,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та адміністрування рішень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Cisco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Implementing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Cisco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Quality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Service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)”.</w:t>
      </w:r>
      <w:r w:rsidR="001C0B9C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результатами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проведених навчань фахівці                            КП ,,</w:t>
      </w:r>
      <w:r w:rsidR="001C0B9C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ГІКНВЦ” ДОР” отримали відповідні сертифікати.</w:t>
      </w:r>
    </w:p>
    <w:p w14:paraId="294A5A04" w14:textId="4033337A" w:rsidR="00437113" w:rsidRPr="00361EDD" w:rsidRDefault="00437113" w:rsidP="00437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грудні 2021 року Дні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пропетровська область отримала в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ідзнаку Координаційної ради Ініціативи ПВУ за значний особистий внесок у впро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вадження та розвиток в Україні і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ніціативи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Партнерство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итий Уряд”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учасник першої хвилі з реалізації плану дій 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країнського Уряду щодо впровадження технологій електронного урядування та розвитку електронної демократії.</w:t>
      </w:r>
    </w:p>
    <w:p w14:paraId="6557D53C" w14:textId="53E1373E" w:rsidR="009B65D1" w:rsidRPr="00361EDD" w:rsidRDefault="00715034" w:rsidP="00415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Дніпропетровської обласної ради від 14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216-13/VIII затверджено регіона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льну програму інформатизації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тровщина: цифрова трансформація</w:t>
      </w:r>
      <w:r w:rsidR="00EF0EB9" w:rsidRP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EF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2023 –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2025 роки.</w:t>
      </w:r>
    </w:p>
    <w:p w14:paraId="4D14E1B8" w14:textId="02111E78" w:rsidR="004151DE" w:rsidRPr="00645735" w:rsidRDefault="004151DE" w:rsidP="00415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проведеного Міністерством цифрової трансформації України дослідження 2022 року щодо вимірювання процесів інформатизації та </w:t>
      </w:r>
      <w:proofErr w:type="spellStart"/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цифровізації</w:t>
      </w:r>
      <w:proofErr w:type="spellEnd"/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8521A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Індекс </w:t>
      </w:r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цифрової трансформації регіонів України)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регіонах країни Дніпропетровська область посіла 1 місце.</w:t>
      </w:r>
    </w:p>
    <w:p w14:paraId="7B403681" w14:textId="414FE4E4" w:rsidR="00BB4A5D" w:rsidRDefault="0048521A" w:rsidP="00BB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Мета Індексу –</w:t>
      </w:r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створити базу для дослідження рівня цифрової трансформації в обласних державних адміністраціях. Інд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 містить 8 основних блоків: ,,Інституційна спроможність”, ,,Розвиток інтернету”, ,,Розвиток ЦНАП”, ,,Режим ,,</w:t>
      </w:r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паперів”,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,,Цифрова освіта” ,,</w:t>
      </w:r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Візитівка області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,,</w:t>
      </w:r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Проникнення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базових електронних послуг” та ,,</w:t>
      </w:r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Галузева цифрова трансформація”. Результати дозволя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владі, аналітикам, розробникам та іншим зацікавленим сторонам оптимізувати процеси </w:t>
      </w:r>
      <w:proofErr w:type="spellStart"/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діджиталізації</w:t>
      </w:r>
      <w:proofErr w:type="spellEnd"/>
      <w:r w:rsidR="00BB4A5D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області.</w:t>
      </w:r>
    </w:p>
    <w:p w14:paraId="292698CE" w14:textId="77777777" w:rsidR="008C0C01" w:rsidRDefault="008C0C01" w:rsidP="00FC74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6C804C9" w14:textId="35242616" w:rsidR="009B65D1" w:rsidRDefault="009B65D1" w:rsidP="00FC74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IІ.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Упровадження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технологій е-урядування в органах виконавчої влади та місцевого самоврядування області; формування системи регіональних електронних інформаційних ресурсів</w:t>
      </w:r>
    </w:p>
    <w:p w14:paraId="24709BB4" w14:textId="559BC163" w:rsidR="00881468" w:rsidRPr="00645735" w:rsidRDefault="00881468" w:rsidP="0088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Продовжено реалізацію спільного швейцарсько-українського проєкту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Електронне урядування задля підзвітності влади та участі громади” (далі – програма EGAP).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фінансується Швейцарською Конфедерацією.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останніх 4 років команда Дніпропетровщини разом із партнерами працювала над розвитком електронного урядування та електронної демократії у Дніпропетровській області, зокрема переведення адміністративних послуг в електронну форму.</w:t>
      </w:r>
    </w:p>
    <w:p w14:paraId="0F122109" w14:textId="6D42ED14" w:rsidR="00881468" w:rsidRPr="00361EDD" w:rsidRDefault="00881468" w:rsidP="0088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3872428"/>
      <w:r w:rsidRPr="00645735"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область четвертий рік поспіль є учасником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другої фази програми EGAP, яка фінансується Швейцарською Конфедерацією та реалізується в 2019</w:t>
      </w:r>
      <w:r w:rsidR="00454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4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2023 роках. Загальний бюджет складає 5 млн </w:t>
      </w:r>
      <w:r w:rsidR="0045443A">
        <w:rPr>
          <w:rFonts w:ascii="Times New Roman" w:hAnsi="Times New Roman" w:cs="Times New Roman"/>
          <w:sz w:val="28"/>
          <w:szCs w:val="28"/>
          <w:lang w:val="uk-UA"/>
        </w:rPr>
        <w:t>367 тис. швейцарських франків. У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Програми проводитиметься навчання представників органів влади усіх рівнів та представників громадськості з використання інструментів електронного урядування. </w:t>
      </w:r>
    </w:p>
    <w:bookmarkEnd w:id="0"/>
    <w:p w14:paraId="458A052D" w14:textId="77777777" w:rsidR="00881468" w:rsidRPr="00361EDD" w:rsidRDefault="00881468" w:rsidP="0088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>Цільовими регіонами другої фази програми є Вінницька, Волинська, Дніпропетровська, Луганська та Одеська області.</w:t>
      </w:r>
    </w:p>
    <w:p w14:paraId="5AF55DF2" w14:textId="1CA2CDAC" w:rsidR="00881468" w:rsidRPr="00361EDD" w:rsidRDefault="00881468" w:rsidP="0088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Метою другої фази є впровадження інноваційних технологій задля покращення взаємодії між громадянами та органами влади, а також підвищення якості надання публічних </w:t>
      </w:r>
      <w:r w:rsidR="0045443A">
        <w:rPr>
          <w:rFonts w:ascii="Times New Roman" w:hAnsi="Times New Roman" w:cs="Times New Roman"/>
          <w:sz w:val="28"/>
          <w:szCs w:val="28"/>
          <w:lang w:val="uk-UA"/>
        </w:rPr>
        <w:t>послуг. На національному рівні П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>рограма співпрацює з Міністерством цифрової трансформації України в рамках впровадження та популяризації електронних послуг, створення комплексної системи навчання цифровим навичкам, впровадження інструментів е-демократії.</w:t>
      </w:r>
    </w:p>
    <w:p w14:paraId="1221FB83" w14:textId="03DCD025" w:rsidR="00881468" w:rsidRPr="00361EDD" w:rsidRDefault="00881468" w:rsidP="0088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>Друга фаза складається з двох компонентів – Електронні послуги та Електронна демократія і ставить за ціль допомагати державним та місцевим орган</w:t>
      </w:r>
      <w:r w:rsidR="00C87EA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влади надавати публічні послуги більш ефективно і прозоро завдяки розширеним можливостям та новим інструментам електронного урядування, розробленим в інклюзивний спосіб.</w:t>
      </w:r>
    </w:p>
    <w:p w14:paraId="3CBA87F6" w14:textId="44046C1F" w:rsidR="00881468" w:rsidRPr="00361EDD" w:rsidRDefault="0045443A" w:rsidP="0088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рамках реалізації другої фази</w:t>
      </w:r>
      <w:r w:rsidR="005E429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5E429B" w:rsidRPr="005E429B">
        <w:rPr>
          <w:rFonts w:ascii="Times New Roman" w:hAnsi="Times New Roman" w:cs="Times New Roman"/>
          <w:sz w:val="28"/>
          <w:szCs w:val="28"/>
          <w:lang w:val="uk-UA"/>
        </w:rPr>
        <w:t>Електронне урядування задля підзв</w:t>
      </w:r>
      <w:r w:rsidR="005E429B">
        <w:rPr>
          <w:rFonts w:ascii="Times New Roman" w:hAnsi="Times New Roman" w:cs="Times New Roman"/>
          <w:sz w:val="28"/>
          <w:szCs w:val="28"/>
          <w:lang w:val="uk-UA"/>
        </w:rPr>
        <w:t>ітності влади та участі громади</w:t>
      </w:r>
      <w:r w:rsidR="005E429B" w:rsidRPr="005E429B">
        <w:rPr>
          <w:rFonts w:ascii="Times New Roman" w:hAnsi="Times New Roman" w:cs="Times New Roman"/>
          <w:sz w:val="28"/>
          <w:szCs w:val="28"/>
          <w:lang w:val="uk-UA"/>
        </w:rPr>
        <w:t>” (EGAP)</w:t>
      </w:r>
      <w:r w:rsidR="005E429B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C87E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E429B">
        <w:rPr>
          <w:rFonts w:ascii="Times New Roman" w:hAnsi="Times New Roman" w:cs="Times New Roman"/>
          <w:sz w:val="28"/>
          <w:szCs w:val="28"/>
          <w:lang w:val="uk-UA"/>
        </w:rPr>
        <w:t xml:space="preserve"> Програма</w:t>
      </w:r>
      <w:r w:rsidR="005E429B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EGAP</w:t>
      </w:r>
      <w:r w:rsidR="005E42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на обласному та місцевому рівнях продовжуватиметься діяльність, спрямована на системний розвиток електронного урядування та електронної демократії, зокрема, запровадження та популяризація найбільш ефективних інструментів, онлайн-платформ, </w:t>
      </w:r>
      <w:proofErr w:type="spellStart"/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систем, оптимізація внутрішніх бізнес-процесів, навчання спеціалістів, просвітницькі кампанії 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населення, підтримка оптимізації роботи Центрів надання адміністративних послуг.</w:t>
      </w:r>
    </w:p>
    <w:p w14:paraId="5AFECB1F" w14:textId="492EA6E9" w:rsidR="00881468" w:rsidRPr="00361EDD" w:rsidRDefault="00881468" w:rsidP="0088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>У вересні 2021 року громади обл</w:t>
      </w:r>
      <w:r w:rsidR="005E429B">
        <w:rPr>
          <w:rFonts w:ascii="Times New Roman" w:hAnsi="Times New Roman" w:cs="Times New Roman"/>
          <w:sz w:val="28"/>
          <w:szCs w:val="28"/>
          <w:lang w:val="uk-UA"/>
        </w:rPr>
        <w:t>асті стали пілотними у проєкті П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>рограми EGAP</w:t>
      </w:r>
      <w:r w:rsidR="005E429B">
        <w:rPr>
          <w:rFonts w:ascii="Times New Roman" w:hAnsi="Times New Roman" w:cs="Times New Roman"/>
          <w:sz w:val="28"/>
          <w:szCs w:val="28"/>
          <w:lang w:val="uk-UA"/>
        </w:rPr>
        <w:t>, що спрямований на використання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новітніх інформаційно-комунікаційних технологій, які допомагають вдосконалити якість урядування, покращують взаємодію влади та громадян і сприяють розвитку громад в Україні:</w:t>
      </w:r>
    </w:p>
    <w:p w14:paraId="7BC34D88" w14:textId="77777777" w:rsidR="00881468" w:rsidRPr="00361EDD" w:rsidRDefault="00881468" w:rsidP="00881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>Васильківська селищна територіальна громада;</w:t>
      </w:r>
    </w:p>
    <w:p w14:paraId="0E82627B" w14:textId="77777777" w:rsidR="00881468" w:rsidRPr="00361EDD" w:rsidRDefault="00881468" w:rsidP="00881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>Зеленодольська міська територіальна громада;</w:t>
      </w:r>
    </w:p>
    <w:p w14:paraId="3B08B6C4" w14:textId="77777777" w:rsidR="00881468" w:rsidRPr="00361EDD" w:rsidRDefault="00881468" w:rsidP="00881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EDD">
        <w:rPr>
          <w:rFonts w:ascii="Times New Roman" w:hAnsi="Times New Roman" w:cs="Times New Roman"/>
          <w:sz w:val="28"/>
          <w:szCs w:val="28"/>
          <w:lang w:val="uk-UA"/>
        </w:rPr>
        <w:t>Межівська</w:t>
      </w:r>
      <w:proofErr w:type="spellEnd"/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громада; </w:t>
      </w:r>
    </w:p>
    <w:p w14:paraId="58584BE0" w14:textId="77777777" w:rsidR="00881468" w:rsidRPr="00361EDD" w:rsidRDefault="00881468" w:rsidP="00881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>Новомосковська міська рада;</w:t>
      </w:r>
    </w:p>
    <w:p w14:paraId="4E63C5F0" w14:textId="77777777" w:rsidR="00881468" w:rsidRPr="00361EDD" w:rsidRDefault="00881468" w:rsidP="00881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EDD">
        <w:rPr>
          <w:rFonts w:ascii="Times New Roman" w:hAnsi="Times New Roman" w:cs="Times New Roman"/>
          <w:sz w:val="28"/>
          <w:szCs w:val="28"/>
          <w:lang w:val="uk-UA"/>
        </w:rPr>
        <w:t>Новопокровська</w:t>
      </w:r>
      <w:proofErr w:type="spellEnd"/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громада;</w:t>
      </w:r>
    </w:p>
    <w:p w14:paraId="64AD61CD" w14:textId="77777777" w:rsidR="00881468" w:rsidRPr="00361EDD" w:rsidRDefault="00881468" w:rsidP="00881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EDD">
        <w:rPr>
          <w:rFonts w:ascii="Times New Roman" w:hAnsi="Times New Roman" w:cs="Times New Roman"/>
          <w:sz w:val="28"/>
          <w:szCs w:val="28"/>
          <w:lang w:val="uk-UA"/>
        </w:rPr>
        <w:t>Підгороднянська</w:t>
      </w:r>
      <w:proofErr w:type="spellEnd"/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рада;</w:t>
      </w:r>
    </w:p>
    <w:p w14:paraId="6A8DD89A" w14:textId="77777777" w:rsidR="00881468" w:rsidRPr="00361EDD" w:rsidRDefault="00881468" w:rsidP="00881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>Солонянська селищна територіальна громада.</w:t>
      </w:r>
    </w:p>
    <w:p w14:paraId="5EBB71B2" w14:textId="1762BCF4" w:rsidR="00881468" w:rsidRPr="00361EDD" w:rsidRDefault="005E429B" w:rsidP="00881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П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>рограмою EGAP продовжуєтьс</w:t>
      </w:r>
      <w:r w:rsidR="00C87EA7">
        <w:rPr>
          <w:rFonts w:ascii="Times New Roman" w:hAnsi="Times New Roman" w:cs="Times New Roman"/>
          <w:sz w:val="28"/>
          <w:szCs w:val="28"/>
          <w:lang w:val="uk-UA"/>
        </w:rPr>
        <w:t>я робота щодо запровадження проє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>ктів е-демократії в ТГ області, а саме таких сервісів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як Е-петиція, 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br/>
        <w:t xml:space="preserve">Е-звернення, Е-консультація та бюджет участі. </w:t>
      </w:r>
      <w:r w:rsidR="0048521A" w:rsidRPr="00645735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 е-демократії вже запроваджено в понад 50 ТГ.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521A" w:rsidRPr="0064573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48521A" w:rsidRPr="00645735">
        <w:rPr>
          <w:rFonts w:ascii="Times New Roman" w:hAnsi="Times New Roman" w:cs="Times New Roman"/>
          <w:sz w:val="28"/>
          <w:szCs w:val="28"/>
          <w:lang w:val="uk-UA"/>
        </w:rPr>
        <w:t xml:space="preserve"> напряму продовжується.</w:t>
      </w:r>
    </w:p>
    <w:p w14:paraId="5805AD21" w14:textId="353A6676" w:rsidR="00881468" w:rsidRPr="00361EDD" w:rsidRDefault="00C4746E" w:rsidP="00881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Програмою EGAP у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грудні 2022 року розпочато пілотне тренінгове навчання для представників </w:t>
      </w:r>
      <w:proofErr w:type="spellStart"/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>Межівської</w:t>
      </w:r>
      <w:proofErr w:type="spellEnd"/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6C42C2">
        <w:rPr>
          <w:rFonts w:ascii="Times New Roman" w:hAnsi="Times New Roman" w:cs="Times New Roman"/>
          <w:sz w:val="28"/>
          <w:szCs w:val="28"/>
          <w:lang w:val="uk-UA"/>
        </w:rPr>
        <w:t>городнянської</w:t>
      </w:r>
      <w:proofErr w:type="spellEnd"/>
      <w:r w:rsidR="006C42C2">
        <w:rPr>
          <w:rFonts w:ascii="Times New Roman" w:hAnsi="Times New Roman" w:cs="Times New Roman"/>
          <w:sz w:val="28"/>
          <w:szCs w:val="28"/>
          <w:lang w:val="uk-UA"/>
        </w:rPr>
        <w:t xml:space="preserve"> громад за темою: ,,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>Розвиток використання автоматизованої</w:t>
      </w:r>
      <w:r w:rsidR="0048521A">
        <w:rPr>
          <w:rFonts w:ascii="Times New Roman" w:hAnsi="Times New Roman" w:cs="Times New Roman"/>
          <w:sz w:val="28"/>
          <w:szCs w:val="28"/>
          <w:lang w:val="uk-UA"/>
        </w:rPr>
        <w:t xml:space="preserve"> системи управління документами</w:t>
      </w:r>
      <w:r w:rsidR="00881468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при роботі з електронними документами”</w:t>
      </w:r>
      <w:r w:rsidR="004852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15A90" w14:textId="7EE655EB" w:rsidR="009B65D1" w:rsidRPr="00361EDD" w:rsidRDefault="00881468" w:rsidP="0088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>Навчальна програма склада</w:t>
      </w:r>
      <w:r w:rsidR="0048521A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ся із 6 модулів відповідно до </w:t>
      </w:r>
      <w:r w:rsidR="00C4746E">
        <w:rPr>
          <w:rFonts w:ascii="Times New Roman" w:hAnsi="Times New Roman" w:cs="Times New Roman"/>
          <w:sz w:val="28"/>
          <w:szCs w:val="28"/>
          <w:lang w:val="uk-UA"/>
        </w:rPr>
        <w:t>ролі кожного учасника тренінгу в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системі електронного документообігу.</w:t>
      </w:r>
    </w:p>
    <w:p w14:paraId="3E95B485" w14:textId="7E32FF75" w:rsidR="009B65D1" w:rsidRPr="00361EDD" w:rsidRDefault="009B65D1" w:rsidP="009D1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Продовжено розвиток та розширення функціональних можливостей</w:t>
      </w:r>
      <w:r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програмно-технічного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комплексу облдержадміністрації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Регіональний віртуальний офіс електронних адміністративних послуг Дніпропетровської області” (далі – Віртуальний офіс)</w:t>
      </w:r>
      <w:r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8" w:history="1">
        <w:r w:rsidRPr="00361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</w:t>
        </w:r>
        <w:r w:rsidRPr="00361ED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361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services</w:t>
        </w:r>
        <w:proofErr w:type="spellEnd"/>
        <w:r w:rsidRPr="00361ED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361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dp</w:t>
        </w:r>
        <w:r w:rsidRPr="00361ED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361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proofErr w:type="spellEnd"/>
        <w:r w:rsidRPr="00361ED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361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</w:hyperlink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Віртуальний офіс включено до Плану заходів з впровадження </w:t>
      </w:r>
      <w:r w:rsidR="00C4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ніціативи ,,Партнерство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Відкритий Уряд”, затвердженого розпорядженням Кабінету Міністрів України </w:t>
      </w:r>
      <w:r w:rsidRPr="00361EDD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від 18 липня 2012 року №</w:t>
      </w:r>
      <w:r w:rsidR="009B6ECD" w:rsidRPr="009B6ECD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</w:t>
      </w:r>
      <w:r w:rsidR="00C4746E">
        <w:rPr>
          <w:rFonts w:ascii="Times New Roman" w:eastAsia="ArialMT" w:hAnsi="Times New Roman" w:cs="Times New Roman"/>
          <w:sz w:val="28"/>
          <w:szCs w:val="28"/>
          <w:lang w:val="uk-UA" w:eastAsia="ru-RU"/>
        </w:rPr>
        <w:t>514-р (із</w:t>
      </w:r>
      <w:r w:rsidRPr="00361EDD">
        <w:rPr>
          <w:rFonts w:ascii="Times New Roman" w:eastAsia="ArialMT" w:hAnsi="Times New Roman" w:cs="Times New Roman"/>
          <w:sz w:val="28"/>
          <w:szCs w:val="28"/>
          <w:lang w:val="uk-UA" w:eastAsia="ru-RU"/>
        </w:rPr>
        <w:t xml:space="preserve"> змінами). </w:t>
      </w:r>
      <w:proofErr w:type="spellStart"/>
      <w:r w:rsidR="006C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Віртуальний</w:t>
      </w:r>
      <w:proofErr w:type="spellEnd"/>
      <w:r w:rsidR="006C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</w:t>
      </w:r>
      <w:proofErr w:type="spellEnd"/>
      <w:r w:rsidR="006C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системою </w:t>
      </w:r>
      <w:proofErr w:type="spellStart"/>
      <w:r w:rsidR="006C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3B1694" w14:textId="77777777" w:rsidR="009B65D1" w:rsidRPr="00361EDD" w:rsidRDefault="009B65D1" w:rsidP="009D1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про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доступу для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 до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DDF173" w14:textId="534B9D26" w:rsidR="009B65D1" w:rsidRPr="00361EDD" w:rsidRDefault="00D837E5" w:rsidP="009D1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системі Віртуальний офіс працюють: 72 ЦНАП від 70 територіальних громад області, 521 адміністратор, 563 суб’єкт</w:t>
      </w:r>
      <w:r w:rsidR="00C4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адміністративних послуг. </w:t>
      </w:r>
    </w:p>
    <w:p w14:paraId="3A36BCA7" w14:textId="77777777" w:rsidR="00D837E5" w:rsidRPr="00361EDD" w:rsidRDefault="00D837E5" w:rsidP="009D1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2022 рік зареєстровано 327 027 справ щодо надання адміністративних послуг. З початку року загальна кількість наданих послуг через ЦНАП регіону становить 997 036 послуг.</w:t>
      </w:r>
    </w:p>
    <w:p w14:paraId="60F029A8" w14:textId="77777777" w:rsidR="00D837E5" w:rsidRPr="00361EDD" w:rsidRDefault="00D837E5" w:rsidP="009D1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Віртуальний офіс доступні такі електронні сервіси:</w:t>
      </w:r>
    </w:p>
    <w:p w14:paraId="787B0DCF" w14:textId="7CFCE381" w:rsidR="00D837E5" w:rsidRPr="00361EDD" w:rsidRDefault="00C87EA7" w:rsidP="009D1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</w:t>
      </w:r>
      <w:r w:rsidR="00C4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837E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837E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 замовлення 3 адміністративних послуг у межах всієї області;</w:t>
      </w:r>
    </w:p>
    <w:p w14:paraId="23CDC11A" w14:textId="77718466" w:rsidR="00D837E5" w:rsidRPr="00361EDD" w:rsidRDefault="00C87EA7" w:rsidP="009D1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4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837E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837E5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сервіс замовлення 5 адміністративних послуг Дніпровської міської ради;</w:t>
      </w:r>
    </w:p>
    <w:p w14:paraId="6E849FC4" w14:textId="3666A5BA" w:rsidR="009B65D1" w:rsidRPr="00361EDD" w:rsidRDefault="00D837E5" w:rsidP="009D1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електронних консультацій ЦНАП або суб’єкта надання адміністративних послуг, у тому числі з видачі документів дозвільного характеру (11 004 консультаці</w:t>
      </w:r>
      <w:r w:rsidR="00C87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12 місяців 2022 року).</w:t>
      </w:r>
    </w:p>
    <w:p w14:paraId="2179E724" w14:textId="3381F58F" w:rsidR="00455E28" w:rsidRPr="00361EDD" w:rsidRDefault="009B6ECD" w:rsidP="009D1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 з КП ,,</w:t>
      </w:r>
      <w:r w:rsidR="00455E28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ГІКНВЦ” ДОР” продовжується впровадження типового рішення автоматизованого мобільного робочого місця адміністратора ЦНАП у громадах області. </w:t>
      </w:r>
    </w:p>
    <w:p w14:paraId="42B6E28D" w14:textId="10F8C830" w:rsidR="00455E28" w:rsidRPr="00361EDD" w:rsidRDefault="00455E28" w:rsidP="001A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Мобільне автоматизоване робоче місце працівника ЦНАП застосовується як для обслуговування осіб з обмеженими фізичними можливостями та людей, які через стан здоров’я обмежені у пересуванні, за місцем їх безпосереднього перебування з використанням спеціального кейсу, укомплектованим портати</w:t>
      </w:r>
      <w:r w:rsidR="00C4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вною технікою для прийому заяв у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режимі </w:t>
      </w:r>
      <w:r w:rsidR="00C4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мобільне АРМ), так і для віддалених населених пунктів.</w:t>
      </w:r>
    </w:p>
    <w:p w14:paraId="2EED8B8A" w14:textId="284DD62A" w:rsidR="009B65D1" w:rsidRPr="00361EDD" w:rsidRDefault="00C4746E" w:rsidP="001A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м</w:t>
      </w:r>
      <w:r w:rsidR="009B65D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обільного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автоматизованого робочого місця</w:t>
      </w:r>
      <w:r w:rsidR="00BA5799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ЦНАП</w:t>
      </w:r>
      <w:r w:rsidR="009B65D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надається весь спектр адміністративних послуг за винятком послуг з оформлення й видачі біометричних паспортних документів, оскільки для їх надання використовується спеціалізоване окреме стаціонарне обладнання, специфікація якого визначається Державною міграційною службою України.</w:t>
      </w:r>
    </w:p>
    <w:p w14:paraId="21EA3DD6" w14:textId="69E9D113" w:rsidR="001A20AC" w:rsidRPr="00361EDD" w:rsidRDefault="001A20AC" w:rsidP="001A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розвитку Віртуального офісу здійснюється поетапне переведення адміністративних послуг</w:t>
      </w:r>
      <w:r w:rsidR="00C4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електронний 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формат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Через ЦНАП області запроваджено онлайн-сервіси замовлення адміністративних послуг і дозволів як місцевого, так і регіонального значення (земельні відносини, реклама, санітарне благополуччя, ветеринарна медицина, розміщення об’єктів торгівлі, реєстраційні послуги для юридичних осіб тощо).</w:t>
      </w:r>
    </w:p>
    <w:p w14:paraId="6A0F04B9" w14:textId="0B8D1553" w:rsidR="009B65D1" w:rsidRPr="00361EDD" w:rsidRDefault="00AA7BA9" w:rsidP="00AA7B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Запроваджується уніфікований довідник адміністративних послуг, що є інструментом вдосконалення та стандартизації переліку та регламентів адміністративних послуг, які надаються в усіх ЦНАП Дніпропетровської області.</w:t>
      </w:r>
    </w:p>
    <w:p w14:paraId="45558AC7" w14:textId="078CEA9D" w:rsidR="00D211E0" w:rsidRPr="00361EDD" w:rsidRDefault="007B5EDA" w:rsidP="00D21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Також </w:t>
      </w:r>
      <w:r w:rsidR="00D211E0" w:rsidRPr="00361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розроблено т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впроваджено програмні засоби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D211E0" w:rsidRPr="00361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Моніторинг якості надання адміністративних послуг (перша черга)” у складі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програмно-технічного комплексу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D211E0" w:rsidRPr="00361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Регіональний віртуальний офіс електронних адміністративних послуг Дніпропетровської області”.</w:t>
      </w:r>
    </w:p>
    <w:p w14:paraId="5D351402" w14:textId="7C82BC10" w:rsidR="009B65D1" w:rsidRPr="00361EDD" w:rsidRDefault="009B65D1" w:rsidP="00A26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</w:t>
      </w:r>
      <w:r w:rsidR="00F01B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очатку серпня 2016 року працює Є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дина електронна база адміністративних правопорушень Дніпропетровської області, для створення якої були використані технічні можливості Віртуального офісу.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у справах про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0AF" w:rsidRPr="00361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Реєстр наповнюють 72 ЦНАП та їх філі</w:t>
      </w:r>
      <w:r w:rsidR="006C42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3260AF" w:rsidRPr="00361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також підключено 133 органи реєстрації, утворених при сільських, селищних, міських радах, які працюють поза межами ЦНАП. </w:t>
      </w:r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2022 </w:t>
      </w:r>
      <w:proofErr w:type="spellStart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адміністраторами</w:t>
      </w:r>
      <w:proofErr w:type="spellEnd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ЦНАП </w:t>
      </w:r>
      <w:proofErr w:type="spellStart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Дніпропетровщини</w:t>
      </w:r>
      <w:proofErr w:type="spellEnd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електронної</w:t>
      </w:r>
      <w:proofErr w:type="spellEnd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бази</w:t>
      </w:r>
      <w:proofErr w:type="spellEnd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внесено 967 </w:t>
      </w:r>
      <w:proofErr w:type="spellStart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</w:t>
      </w:r>
      <w:proofErr w:type="spellEnd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 w:rsidR="003260AF" w:rsidRPr="00361E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28139F3" w14:textId="2B6E0CF9" w:rsidR="00CB6866" w:rsidRPr="00361EDD" w:rsidRDefault="00CB6866" w:rsidP="001E57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Починаючи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з 2006 року в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запроваджено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електронного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документообігу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принципово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новому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рівні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базується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використанні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технології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штрих-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кодування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можливостей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спеціального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комп’ютерного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обладнання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електронного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цифрового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підпису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6C4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42C2">
        <w:rPr>
          <w:rFonts w:ascii="Times New Roman" w:eastAsia="Times New Roman" w:hAnsi="Times New Roman"/>
          <w:sz w:val="28"/>
          <w:szCs w:val="28"/>
          <w:lang w:eastAsia="ru-RU"/>
        </w:rPr>
        <w:t>базі</w:t>
      </w:r>
      <w:proofErr w:type="spellEnd"/>
      <w:r w:rsidR="006C4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42C2">
        <w:rPr>
          <w:rFonts w:ascii="Times New Roman" w:eastAsia="Times New Roman" w:hAnsi="Times New Roman"/>
          <w:sz w:val="28"/>
          <w:szCs w:val="28"/>
          <w:lang w:eastAsia="ru-RU"/>
        </w:rPr>
        <w:t>програмного</w:t>
      </w:r>
      <w:proofErr w:type="spellEnd"/>
      <w:r w:rsidR="006C4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42C2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proofErr w:type="gramStart"/>
      <w:r w:rsidR="006C4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2C2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proofErr w:type="spellStart"/>
      <w:proofErr w:type="gram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Автоматизована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EC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управління документами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ДОК ПРОФ</w:t>
      </w:r>
      <w:r w:rsidR="009B6E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3”</w:t>
      </w:r>
      <w:r w:rsidR="009B6E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далі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СЕДО). До СЕДО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підключено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Дніпропетровську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облдержадміністрацію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структурні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підрозділи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, обласну раду,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райдержадміністрації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654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територіальні громади.</w:t>
      </w:r>
      <w:r w:rsidRPr="00361E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2F2DF1EA" w14:textId="0298D95A" w:rsidR="009B65D1" w:rsidRPr="00361EDD" w:rsidRDefault="009B65D1" w:rsidP="001E5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2016 році СЕДО Дніпропетровської облдержадміністрації підключено до системи електронної взаємодії органів виконавчої влади (далі – СЕВ ОВВ)</w:t>
      </w:r>
      <w:r w:rsidR="00A7485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</w:t>
      </w:r>
      <w:r w:rsidR="00A7485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</w:t>
      </w:r>
      <w:r w:rsidR="00A74852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роках продовжено роботу з розвитку СЕДО в органах виконавчої влади та місцевого самоврядування Дніпропетровської області. </w:t>
      </w:r>
    </w:p>
    <w:p w14:paraId="10A66E56" w14:textId="21387A3D" w:rsidR="009B65D1" w:rsidRPr="00361EDD" w:rsidRDefault="009B65D1" w:rsidP="001E5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</w:t>
      </w:r>
      <w:r w:rsidRP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01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</w:t>
      </w:r>
      <w:r w:rsidRP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комплексна технологічна інфраструктура СЕДО включає </w:t>
      </w:r>
      <w:r w:rsidR="00C239A4" w:rsidRP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1079 місць користувачів (облдержадміністрація та її структурні підрозділи, обласна рада, райдержадміністрації та райради,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C239A4" w:rsidRP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57 ТГ). 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</w:t>
      </w:r>
      <w:proofErr w:type="spellStart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 </w:t>
      </w:r>
      <w:proofErr w:type="spellStart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налічує</w:t>
      </w:r>
      <w:proofErr w:type="spellEnd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755 документів, 3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606 </w:t>
      </w:r>
      <w:proofErr w:type="spellStart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образів</w:t>
      </w:r>
      <w:proofErr w:type="spellEnd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база обласної ради –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6C4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951 документ і 233</w:t>
      </w:r>
      <w:r w:rsidR="006C4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765 </w:t>
      </w:r>
      <w:proofErr w:type="spellStart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образів</w:t>
      </w:r>
      <w:proofErr w:type="spellEnd"/>
      <w:r w:rsidR="00C239A4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4E50CA" w14:textId="5748DF46" w:rsidR="00D547EF" w:rsidRPr="00361EDD" w:rsidRDefault="00D547EF" w:rsidP="001E5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СЕВ ОВВ підключено всі структурні підрозділи облдержадміністрації, всі райдержадміністрації, а також у 2022 році завершено процес підключення </w:t>
      </w:r>
      <w:r w:rsidR="009711C0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усіх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ТГ (86).</w:t>
      </w:r>
    </w:p>
    <w:p w14:paraId="5AABE62A" w14:textId="7AAD8287" w:rsidR="00D547EF" w:rsidRPr="00361EDD" w:rsidRDefault="00D547EF" w:rsidP="001E5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Продовжується реалізація проєкту впровадження типового програмного комплексу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реєстрів управління територіальною громадою” на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базі програмного забезпечення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Автоматизована 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управління документами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 ПРОФ 3” в ТГ області. Чисельність користув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ачів у Системі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реєстрів упр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авління територіальною громадою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156 осіб. </w:t>
      </w:r>
    </w:p>
    <w:p w14:paraId="0FA9CF93" w14:textId="77777777" w:rsidR="00D547EF" w:rsidRPr="00361EDD" w:rsidRDefault="00D547EF" w:rsidP="001E5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Усього до регіональних електронних сервісів ЕКЦ області підключено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82 ТГ.</w:t>
      </w:r>
    </w:p>
    <w:p w14:paraId="314619F6" w14:textId="33167469" w:rsidR="008509F8" w:rsidRPr="00361EDD" w:rsidRDefault="008509F8" w:rsidP="0085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інвентаризацію автоматизованих робочих місць у СЕДО в усіх структурних підрозділах облдержадміністрації, райдержадміністраціях та ТГ</w:t>
      </w:r>
      <w:r w:rsidR="00971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95EB5CD" w14:textId="4F14325B" w:rsidR="008509F8" w:rsidRPr="00361EDD" w:rsidRDefault="009711C0" w:rsidP="0085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Забезпечено </w:t>
      </w:r>
      <w:r w:rsidR="008509F8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постачання ліцензійного програмного забезпечення для 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509F8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330 (одночасні підключення) автоматизованих робочих місць для роб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 в програмному забезпеченні ,,</w:t>
      </w:r>
      <w:r w:rsidR="008509F8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Автоматизована система упра</w:t>
      </w:r>
      <w:r w:rsidR="009B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вління документами ,,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 ПРОФ 3”.</w:t>
      </w:r>
    </w:p>
    <w:p w14:paraId="717173FA" w14:textId="6CBCBCA3" w:rsidR="008509F8" w:rsidRPr="00645735" w:rsidRDefault="00645735" w:rsidP="0085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Забезпечено </w:t>
      </w:r>
      <w:r w:rsidR="008509F8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та підтримку програмного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,,</w:t>
      </w:r>
      <w:r w:rsidR="008509F8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Автоматизована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управління документами ,,</w:t>
      </w:r>
      <w:r w:rsidR="008509F8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 ПРОФ 3”, а саме створення та налагодження програмного шлюзу для забезпечення обміну даними та повідомленнями щодо оновлення зап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исів про реєстраційні дані між р</w:t>
      </w:r>
      <w:r w:rsidR="008509F8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еєстрами територіальних громад та Єдиним державним демографічним реєстром та відомчою інформаційною системою Державної міграційної служби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8509F8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електронної взаємодії державних елек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тронних інформаційних ресурсів ,,</w:t>
      </w:r>
      <w:r w:rsidR="008509F8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Трембіта”.</w:t>
      </w:r>
    </w:p>
    <w:p w14:paraId="1FD2438B" w14:textId="287B3D5A" w:rsidR="008509F8" w:rsidRPr="00361EDD" w:rsidRDefault="008509F8" w:rsidP="0085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Придбано 17 автоматизованих робочих місць, у тому числі 7 мобільних, та відповідне периферійне обладнання.</w:t>
      </w:r>
    </w:p>
    <w:p w14:paraId="7A1E052D" w14:textId="634B2AB0" w:rsidR="00DE30A4" w:rsidRPr="00645735" w:rsidRDefault="00640A13" w:rsidP="0064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метою створення умов для ефективного використання бюджетних коштів та посилення фінансово-бюджетної дисципліни в Дніпроп</w:t>
      </w:r>
      <w:r w:rsidR="00F01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етровській облдержадміністрації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AF1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ПЗ ,,</w:t>
      </w:r>
      <w:r w:rsidR="00DE30A4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платформа” відповідно до встановлених технічних вимог та впроваджено в облдержадміністрації, її структурних підрозділах та в їх підвідомчих установах.</w:t>
      </w:r>
    </w:p>
    <w:p w14:paraId="6CB993F8" w14:textId="29EFFF8F" w:rsidR="00DE30A4" w:rsidRPr="00645735" w:rsidRDefault="00DE30A4" w:rsidP="0064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ліцензій</w:t>
      </w:r>
      <w:r w:rsidR="00754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угоди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здійснено передачу невиключн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ліцензії на використання ПЗ ,,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платформа”.</w:t>
      </w:r>
    </w:p>
    <w:p w14:paraId="266E7E6B" w14:textId="2B3973EE" w:rsidR="00DE30A4" w:rsidRPr="00645735" w:rsidRDefault="00DE30A4" w:rsidP="0064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визначено відповідальних осіб у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структурних підрозділах облдержадміністрації та в підвідо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мчих установах для роботи в                                ПЗ ,,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платформа” та підключено автоматизовані робочі місця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375 користувачів з можливістю роботи до 325 одночасних підключень. Здійснено налаштування тимчасового віртуального кластеру на серверах телекомунікаційного центру області відповідно до вимог розробника.</w:t>
      </w:r>
    </w:p>
    <w:p w14:paraId="77F482F1" w14:textId="65ADD356" w:rsidR="00DE30A4" w:rsidRPr="00645735" w:rsidRDefault="00DE30A4" w:rsidP="0064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Розробником підготовлено та передано екс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плуатаційну документацію на ПЗ ,,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платформа”.</w:t>
      </w:r>
    </w:p>
    <w:p w14:paraId="7A5060F7" w14:textId="07B7636A" w:rsidR="00DE30A4" w:rsidRPr="00645735" w:rsidRDefault="00DE30A4" w:rsidP="0064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користувачами та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розробником ПЗ ,,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платформа” в систему заведено первинну інформацію про головних розпорядників коштів, відповідні довідники, а також фінансову інформацію тощо. Проведено налаштування довідників тощо.</w:t>
      </w:r>
    </w:p>
    <w:p w14:paraId="78A4E906" w14:textId="46E0D2D9" w:rsidR="00DE30A4" w:rsidRPr="00645735" w:rsidRDefault="00FA51EE" w:rsidP="0064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вересня – </w:t>
      </w:r>
      <w:r w:rsidR="00DE30A4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 2020 року було проведено понад 10 онла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йн-навчань для користувачів ПЗ ,,</w:t>
      </w:r>
      <w:r w:rsidR="00DE30A4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платформа”, в яких </w:t>
      </w:r>
      <w:r w:rsidR="00F01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взяло</w:t>
      </w:r>
      <w:r w:rsidR="00DE30A4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понад 400 осіб. </w:t>
      </w:r>
    </w:p>
    <w:p w14:paraId="5BE381ED" w14:textId="00970F3D" w:rsidR="009B65D1" w:rsidRPr="00645735" w:rsidRDefault="00DE30A4" w:rsidP="0064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 звіт про впровадження цілісної системи ведення фінансового (управлінського) обліку і контролю за цільовим та ефективним використанням коштів обласного та державного бюджетів у Дніпропетровській о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бласті (програмне забезпечення ,,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платформа”) на засіданні робочої групи з питань організації впровад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 програмного забезпечення ,,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платформа”.</w:t>
      </w:r>
    </w:p>
    <w:p w14:paraId="2B74D70D" w14:textId="422C4CA5" w:rsidR="00753D10" w:rsidRPr="00645735" w:rsidRDefault="006C42C2" w:rsidP="00753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Програмне забезпечення ,,</w:t>
      </w:r>
      <w:r w:rsidR="00753D10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платформа”, яке запроваджено в Дніпропетровській облдержадміністрації, спрямоване на автоматизацію щоденного пла</w:t>
      </w:r>
      <w:r w:rsidR="00FA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нування обсягів фінансування у з</w:t>
      </w:r>
      <w:r w:rsidR="00753D10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амовника по всіх головних розпорядниках коштів (далі – ГРК), розпорядниках коштів (да</w:t>
      </w:r>
      <w:r w:rsidR="00F01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 – РК), що входять до мережі з</w:t>
      </w:r>
      <w:r w:rsidR="00753D10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амовника, а також автоматичне збирання та групування інформації про факт ви</w:t>
      </w:r>
      <w:r w:rsidR="00017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 процесу фінансування у з</w:t>
      </w:r>
      <w:r w:rsidR="00753D10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амовника. Вся інформація (планові обсяги та фактичне виконання) відображається в табличному ви</w:t>
      </w:r>
      <w:r w:rsidR="00017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</w:t>
      </w:r>
      <w:r w:rsidR="00753D10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 вигляді </w:t>
      </w:r>
      <w:proofErr w:type="spellStart"/>
      <w:r w:rsidR="00753D10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дашбордів</w:t>
      </w:r>
      <w:proofErr w:type="spellEnd"/>
      <w:r w:rsidR="00753D10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Цей програмний продукт має функціонал налагодження централізованого планування та відслідковування ф</w:t>
      </w:r>
      <w:r w:rsidR="00017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 виконання по всіх ГРК, РГ з</w:t>
      </w:r>
      <w:r w:rsidR="00753D10"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амовника. </w:t>
      </w:r>
    </w:p>
    <w:p w14:paraId="3C6ACA44" w14:textId="5B8439B8" w:rsidR="00753D10" w:rsidRPr="00361EDD" w:rsidRDefault="00753D10" w:rsidP="00753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Програмне забезпечення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платформа” відповідає вимогам Бюджетного кодексу України, наказам Державного казначейства України та відповідному податковому законодавству, електронного цифрового підпису та захисту інформації.</w:t>
      </w:r>
    </w:p>
    <w:p w14:paraId="504E6C95" w14:textId="3CEB1FC3" w:rsidR="009B65D1" w:rsidRPr="00361EDD" w:rsidRDefault="009C6084" w:rsidP="002B5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Організовано роботу</w:t>
      </w:r>
      <w:r w:rsidR="009B65D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9B65D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оприлюднення та оновлення відкритих даних, розпорядником яких є Дніпропетровська обласна державна адміністрація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B65D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зокрема:</w:t>
      </w:r>
    </w:p>
    <w:p w14:paraId="33FA9A7D" w14:textId="4BF5FF6C" w:rsidR="002B54BF" w:rsidRPr="00361EDD" w:rsidRDefault="00F01BF7" w:rsidP="00F01B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визначено 18 наборів даних, які підлягають оприлюдненню у формі відкритих даних, розпорядником яких є Дніпропетровська обласна державна адміністрація та визначені структурні підрозділи облдержадміністрації, які відповідають за публікацію цих даних;</w:t>
      </w:r>
    </w:p>
    <w:p w14:paraId="30057C50" w14:textId="69C5FD5B" w:rsidR="002B54BF" w:rsidRPr="00361EDD" w:rsidRDefault="000170A1" w:rsidP="00F01B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 облдержадміністрації призначені відповідальні особи за опри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люднення відкритих даних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</w:t>
      </w:r>
      <w:r w:rsidR="006C42C2">
        <w:rPr>
          <w:rFonts w:ascii="Times New Roman" w:hAnsi="Times New Roman" w:cs="Times New Roman"/>
          <w:sz w:val="28"/>
          <w:szCs w:val="28"/>
          <w:lang w:val="uk-UA"/>
        </w:rPr>
        <w:t xml:space="preserve">рації та Єдиному державному </w:t>
      </w:r>
      <w:proofErr w:type="spellStart"/>
      <w:r w:rsidR="006C42C2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порталі</w:t>
      </w:r>
      <w:proofErr w:type="spellEnd"/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даних;</w:t>
      </w:r>
    </w:p>
    <w:p w14:paraId="5D7EC6CD" w14:textId="3223F97E" w:rsidR="002B54BF" w:rsidRPr="00361EDD" w:rsidRDefault="000170A1" w:rsidP="00F01B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забезпечено завантаження наборів даних у формі відкрити</w:t>
      </w:r>
      <w:r w:rsidR="00CA75D3">
        <w:rPr>
          <w:rFonts w:ascii="Times New Roman" w:hAnsi="Times New Roman" w:cs="Times New Roman"/>
          <w:sz w:val="28"/>
          <w:szCs w:val="28"/>
          <w:lang w:val="uk-UA"/>
        </w:rPr>
        <w:t xml:space="preserve">х даних на Єдиний державний </w:t>
      </w:r>
      <w:proofErr w:type="spellStart"/>
      <w:r w:rsidR="00CA75D3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портал</w:t>
      </w:r>
      <w:proofErr w:type="spellEnd"/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 та подальше їх оновлення у порядку, визначеному чинним законодавством.</w:t>
      </w:r>
    </w:p>
    <w:p w14:paraId="639D9A16" w14:textId="5C72EBE2" w:rsidR="002B54BF" w:rsidRPr="00361EDD" w:rsidRDefault="000170A1" w:rsidP="002B54B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Департаментом</w:t>
      </w:r>
      <w:r w:rsidR="00F01BF7">
        <w:rPr>
          <w:rFonts w:ascii="Times New Roman" w:hAnsi="Times New Roman" w:cs="Times New Roman"/>
          <w:sz w:val="28"/>
          <w:szCs w:val="28"/>
          <w:lang w:val="uk-UA"/>
        </w:rPr>
        <w:t xml:space="preserve"> цифрової трансформації, інформаційних технологій та електронного урядування </w:t>
      </w:r>
      <w:proofErr w:type="spellStart"/>
      <w:r w:rsidR="00F01BF7">
        <w:rPr>
          <w:rFonts w:ascii="Times New Roman" w:hAnsi="Times New Roman" w:cs="Times New Roman"/>
          <w:sz w:val="28"/>
          <w:szCs w:val="28"/>
          <w:lang w:val="uk-UA"/>
        </w:rPr>
        <w:t>облдержадаміністрації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направлено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структурним </w:t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підрозділам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облдержадміністрації, відповідальним за оприлюднення інформації у формі відкритих даних</w:t>
      </w:r>
      <w:r w:rsidR="00B74B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інструкцію та рекомендації щодо р</w:t>
      </w:r>
      <w:r w:rsidR="00CA75D3">
        <w:rPr>
          <w:rFonts w:ascii="Times New Roman" w:hAnsi="Times New Roman" w:cs="Times New Roman"/>
          <w:sz w:val="28"/>
          <w:szCs w:val="28"/>
          <w:lang w:val="uk-UA"/>
        </w:rPr>
        <w:t xml:space="preserve">оботи з Єдиним державним </w:t>
      </w:r>
      <w:proofErr w:type="spellStart"/>
      <w:r w:rsidR="00CA75D3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>порталом</w:t>
      </w:r>
      <w:proofErr w:type="spellEnd"/>
      <w:r w:rsidR="002B54BF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даних, а також постійно проводяться консультування та навчання щодо публікації інформації в форматі відкритих даних.</w:t>
      </w:r>
    </w:p>
    <w:p w14:paraId="79FD66B5" w14:textId="77777777" w:rsidR="00FA6CAA" w:rsidRPr="00361EDD" w:rsidRDefault="00FA6CAA" w:rsidP="00FA6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Забезпечено функціонування регіональної платформи порталів ТГ (далі – Платформа), яку розроблено та запроваджено відповідно до дизайн-коду за підтримки програми EGAP.</w:t>
      </w:r>
    </w:p>
    <w:p w14:paraId="095A1708" w14:textId="77777777" w:rsidR="00FA6CAA" w:rsidRPr="00361EDD" w:rsidRDefault="00FA6CAA" w:rsidP="00FA6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проводиться робота з удосконалення функціонування порталів ТГ та здійснюється підтримка в актуальному стані інформації на ньому відповідними розпорядниками інформації. </w:t>
      </w:r>
    </w:p>
    <w:p w14:paraId="5383576F" w14:textId="4737A950" w:rsidR="009B65D1" w:rsidRPr="00361EDD" w:rsidRDefault="009B65D1" w:rsidP="009B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абсолютно самодостатній конструктор сайтів, що створений з врахуванням потр</w:t>
      </w:r>
      <w:r w:rsidR="000B3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 саме цієї цільової аудиторії.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3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латформу максимально адаптованою до реальних умов, у яких може бути громада. І головне, щоб підтримувати такий сайт та наповнювати його, представникам ОТГ не знадобляться спеціальні навички.</w:t>
      </w:r>
    </w:p>
    <w:p w14:paraId="70BE22B3" w14:textId="77777777" w:rsidR="009B65D1" w:rsidRPr="00361EDD" w:rsidRDefault="009B65D1" w:rsidP="009B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Платформа проста і комфортна у використанні. Візуально вона продовжує підхід до дизайну державних ресурсів і сервісів, що уже випробуваний в рамках оновленого порталу Уряду.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8A57BC" w14:textId="77777777" w:rsidR="00FA6CAA" w:rsidRPr="00361EDD" w:rsidRDefault="00FA6CAA" w:rsidP="00FA6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громада може повноцінно і системно інформувати свою громаду, інвесторів, бізнес, мандрівників, гостей територій про важливе для них. Там же анонсувати події і залучати громадян до активності, публікувати фотоальбоми, відео і документи.</w:t>
      </w:r>
    </w:p>
    <w:p w14:paraId="1454A1D0" w14:textId="43941EC0" w:rsidR="00FA6CAA" w:rsidRPr="00361EDD" w:rsidRDefault="00FA6CAA" w:rsidP="00FA6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Сайти Платформи відповідають найсучаснішим стандартам якості, доступні з різних пристроїв із використанням різних операційних систем. Додаткові електронні (онлайн) сервіси, що створені з використанням затвердженої дизайн-системи, призначені для значного спрощення взаємодії з керівництвом громади </w:t>
      </w:r>
      <w:r w:rsidR="00B74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іншим потребам громадян.</w:t>
      </w:r>
    </w:p>
    <w:p w14:paraId="0DD06C3A" w14:textId="3E6EA7B3" w:rsidR="00FA6CAA" w:rsidRPr="00361EDD" w:rsidRDefault="00FA6CAA" w:rsidP="00FA6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Наразі на базі Платформи створено 97 сайтів з урахуванням вимог до дизайн-коду: 94 – для органів місцевого самоврядування області (з них 3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сайти створено за 2022 рік) і </w:t>
      </w:r>
      <w:r w:rsidR="000B3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сайти структурних підрозділів Дніпропетровської облдержадміністрації. Забезпечено дотримання вимог чинного законодавства з питань оприлюднення інформації про діяльність органів влади. Всього запроваджено нові сучасні офіційні сайти для 72 ТГ.</w:t>
      </w:r>
    </w:p>
    <w:p w14:paraId="4C6A7E7B" w14:textId="2B265301" w:rsidR="009B65D1" w:rsidRPr="00361EDD" w:rsidRDefault="00AA2AEE" w:rsidP="009B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ці сайти розміщені на захищеному технічному майданчику ЕКЦ області, який відповідає усім вимогам </w:t>
      </w:r>
      <w:r w:rsidR="000B3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чинного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законодавства у сфері захисту інформації.</w:t>
      </w:r>
    </w:p>
    <w:p w14:paraId="2C830323" w14:textId="57EF6D38" w:rsidR="009B65D1" w:rsidRPr="00433B4D" w:rsidRDefault="000B308E" w:rsidP="009B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Зазначений</w:t>
      </w:r>
      <w:r w:rsidR="009B65D1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проєкт реалізовано за фінансової підтримки програми EGAP.</w:t>
      </w:r>
    </w:p>
    <w:p w14:paraId="48C0E356" w14:textId="77777777" w:rsidR="008C0C01" w:rsidRDefault="008C0C01" w:rsidP="009B65D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1C1003" w14:textId="77777777" w:rsidR="009B65D1" w:rsidRDefault="009B65D1" w:rsidP="009B65D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ІII.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Розвиток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телекомунікаційного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середовища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регіону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організація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інформації</w:t>
      </w:r>
      <w:proofErr w:type="spellEnd"/>
    </w:p>
    <w:p w14:paraId="04232A10" w14:textId="3FD01EE2" w:rsidR="0048088D" w:rsidRPr="00361EDD" w:rsidRDefault="0048088D" w:rsidP="0048088D">
      <w:pPr>
        <w:spacing w:after="0" w:line="240" w:lineRule="auto"/>
        <w:ind w:left="29" w:firstLine="5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Продовжується робота з підключення закладів соціальної інфраструктури (закладів освіти, бібліотек, медичних закладів,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ЦНАПів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до широкосмугового інтернету з використанням волоконно-оптичних технолог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у рамках бюджетної програми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Субвенція з державного бюджету місцевим бюджетам на реалізацію заходів, спрямованих на підвищення доступно</w:t>
      </w:r>
      <w:r w:rsidR="00B74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 широкосмугового доступу до і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нтернету в сільській місцевості” (далі – Інтернет-субвенція або Субвенція), яка була виділена у 2021 році.</w:t>
      </w:r>
    </w:p>
    <w:p w14:paraId="54116C4C" w14:textId="358BFD33" w:rsidR="0048088D" w:rsidRPr="00361EDD" w:rsidRDefault="00490747" w:rsidP="0048088D">
      <w:pPr>
        <w:spacing w:after="0" w:line="24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Забезпечено</w:t>
      </w:r>
      <w:r w:rsidR="0048088D" w:rsidRPr="00361E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щоквартальний моніторинг підключення соціальних об’єктів, що повинні бути забезпечені фіксованим широкосмуговим доступом до </w:t>
      </w:r>
      <w:r w:rsidR="000B308E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Інтернет </w:t>
      </w:r>
      <w:r w:rsidR="000B308E">
        <w:rPr>
          <w:rFonts w:ascii="Times New Roman" w:hAnsi="Times New Roman" w:cs="Times New Roman"/>
          <w:sz w:val="28"/>
          <w:szCs w:val="28"/>
          <w:lang w:val="uk-UA" w:eastAsia="ru-RU"/>
        </w:rPr>
        <w:t>зі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швидкістю не менше </w:t>
      </w:r>
      <w:r w:rsidR="0048088D" w:rsidRPr="00361EDD">
        <w:rPr>
          <w:rFonts w:ascii="Times New Roman" w:hAnsi="Times New Roman" w:cs="Times New Roman"/>
          <w:sz w:val="28"/>
          <w:szCs w:val="28"/>
          <w:lang w:val="uk-UA" w:eastAsia="ru-RU"/>
        </w:rPr>
        <w:t>100 Мбіт/с.</w:t>
      </w:r>
    </w:p>
    <w:p w14:paraId="3B747A33" w14:textId="567D6F15" w:rsidR="0048088D" w:rsidRPr="00361EDD" w:rsidRDefault="0048088D" w:rsidP="0048088D">
      <w:pPr>
        <w:spacing w:after="0" w:line="240" w:lineRule="auto"/>
        <w:ind w:left="29" w:firstLine="5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Така субвенція дозволяє операторам побудувати свої мережі з частковим використанням державного фінансування. Після закупівлі, мережі стають власністю оператора, отже</w:t>
      </w:r>
      <w:r w:rsidR="000B3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змога підключати нових абонентів до мережі, побудованої з використанням коштів державного бюджету. </w:t>
      </w:r>
    </w:p>
    <w:p w14:paraId="7E80C127" w14:textId="251B6580" w:rsidR="0048088D" w:rsidRPr="00361EDD" w:rsidRDefault="0048088D" w:rsidP="00480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постійна комунікація з провідними компаніями-провайдерами (операторами) щодо розвитку широкосмугового доступу до мережі Інтернет на території регіону. </w:t>
      </w:r>
    </w:p>
    <w:p w14:paraId="5DE98BC0" w14:textId="73002ACE" w:rsidR="00490233" w:rsidRPr="00361EDD" w:rsidRDefault="00490233" w:rsidP="00480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</w:t>
      </w:r>
      <w:r w:rsidR="000B3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B3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фіксован</w:t>
      </w:r>
      <w:r w:rsid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широкосмугового</w:t>
      </w:r>
      <w:proofErr w:type="spellEnd"/>
      <w:r w:rsidR="00F4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r w:rsidR="00F44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підключено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тис</w:t>
      </w:r>
      <w:proofErr w:type="gram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доступу, та 196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заклад.</w:t>
      </w:r>
    </w:p>
    <w:p w14:paraId="7A622923" w14:textId="50318247" w:rsidR="0048088D" w:rsidRPr="00361EDD" w:rsidRDefault="00F44775" w:rsidP="00480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</w:t>
      </w:r>
      <w:r w:rsidR="0048088D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зазначити, що не зважаючи на умови правового режиму воєнного стану, протягом 2022 року в 11 ТГ до </w:t>
      </w:r>
      <w:r w:rsidR="0048088D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широкосмугового доступу до мережі Інтернет підключено понад 30 населених пунктів, в яких підключено </w:t>
      </w:r>
      <w:r w:rsidR="0048088D" w:rsidRPr="00361EDD">
        <w:rPr>
          <w:rFonts w:ascii="Times New Roman" w:hAnsi="Times New Roman" w:cs="Times New Roman"/>
          <w:sz w:val="28"/>
          <w:szCs w:val="28"/>
          <w:lang w:val="uk-UA"/>
        </w:rPr>
        <w:br/>
        <w:t xml:space="preserve">57 закладів соціальної інфраструктури. Довжина прокладених оптичних </w:t>
      </w:r>
      <w:r w:rsidR="0048088D" w:rsidRPr="00361EDD">
        <w:rPr>
          <w:rFonts w:ascii="Times New Roman" w:hAnsi="Times New Roman" w:cs="Times New Roman"/>
          <w:sz w:val="28"/>
          <w:szCs w:val="28"/>
          <w:lang w:val="uk-UA"/>
        </w:rPr>
        <w:br/>
        <w:t>мереж – 172 км.</w:t>
      </w:r>
    </w:p>
    <w:p w14:paraId="22D10B91" w14:textId="735099C9" w:rsidR="0048088D" w:rsidRPr="00361EDD" w:rsidRDefault="00F44775" w:rsidP="00480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="0048088D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правового режиму воєнного стану забезпечено оперативну </w:t>
      </w:r>
      <w:r w:rsidR="0048088D" w:rsidRPr="00361EDD">
        <w:rPr>
          <w:rFonts w:ascii="Times New Roman" w:hAnsi="Times New Roman" w:cs="Times New Roman"/>
          <w:sz w:val="28"/>
          <w:szCs w:val="28"/>
          <w:lang w:val="uk-UA"/>
        </w:rPr>
        <w:t>комунікацію з провідними компаніями-провайдерами (операторами) щодо координації питань надання електронних комунікаційних послуг, у тому числі під час відсутності електроживлення.</w:t>
      </w:r>
    </w:p>
    <w:p w14:paraId="48B58A39" w14:textId="018BAB0C" w:rsidR="0048088D" w:rsidRPr="00361EDD" w:rsidRDefault="0048088D" w:rsidP="00480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Державної служби статистики України (вибіркове опитування домогосподарств, станом на січень 2021 року)</w:t>
      </w:r>
      <w:r w:rsidR="00F44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частка домогосподарс</w:t>
      </w:r>
      <w:r w:rsidR="00F44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тв, які </w:t>
      </w:r>
      <w:r w:rsidR="00F44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мають доступ до послуг і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нтернету вдома в Дніпропетровській області становить 87,2 %, у тому числі в міській місцевості</w:t>
      </w:r>
      <w:r w:rsidR="00F44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90,2 %, у сільській </w:t>
      </w:r>
      <w:r w:rsidR="00816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місцевості</w:t>
      </w:r>
      <w:r w:rsidR="00F44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71,4 %.</w:t>
      </w:r>
    </w:p>
    <w:p w14:paraId="284098DE" w14:textId="77777777" w:rsidR="009B65D1" w:rsidRPr="00361EDD" w:rsidRDefault="00551DEF" w:rsidP="000F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Здійсненні заходи щодо</w:t>
      </w:r>
      <w:r w:rsidR="009B65D1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організації регіональної служби захисту інформації (створення комплексних систем захисту інформації (КСЗІ) на регіональні програмно-технічні комплекси, інформаційні системи).</w:t>
      </w:r>
    </w:p>
    <w:p w14:paraId="52842769" w14:textId="71EEE029" w:rsidR="001A4458" w:rsidRDefault="000F13C0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AE575D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рамках реалізації регіональної програми інформатизації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AE575D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Електронна </w:t>
      </w:r>
      <w:r w:rsidR="00F22A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E575D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Дніпропетровщина” у 2016 році на систему інформаційно-аналітичного забезпечення Дніпропетровської облдержадміністрації створено та оновлено комплексну систему захисту інформації (Атестат відповідності, зареєстрований в Адміністрації Державної служби спеціального зв’язку та захисту інф</w:t>
      </w:r>
      <w:r w:rsidR="004C0E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ормації України від 30 вересня </w:t>
      </w:r>
      <w:r w:rsidR="00AE575D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2021 року № 23391).</w:t>
      </w:r>
      <w:r w:rsidR="001A4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A4458" w:rsidRPr="001A4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інформацією Адміністрації Державної служби спеціального зв’язку та захисту інформації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1A4458" w:rsidRPr="001A4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термін дії атестату відповідності на комплексну систему захисту інформації продовжено до кінця дії воєнного стану в Україні з подальшим проведенням додаткової державної експертизи протягом шести місяців після закінчення воєнного стану в Україні.</w:t>
      </w:r>
    </w:p>
    <w:p w14:paraId="2F36A7D5" w14:textId="32E8B7FE" w:rsidR="00AE575D" w:rsidRPr="00361EDD" w:rsidRDefault="00AE575D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рекомендацій команди реагування на комп’ютерні надзвичайні події України (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Computer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Emergency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Response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Team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Ukraine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(CERT-UA) – спеціалізований структурний підрозділ Державного центру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кіберзахисту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протидії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кіберзагрозам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Державної служби спеціального зв’язку та захисту інформації України) підготовлено порядок використання окремого програмного забезпечення та змін реквізитів доступу до відповідних ресурсів.</w:t>
      </w:r>
    </w:p>
    <w:p w14:paraId="5ED168E0" w14:textId="3426D33B" w:rsidR="00AE575D" w:rsidRPr="00361EDD" w:rsidRDefault="00AE575D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Використовуються вимоги (</w:t>
      </w:r>
      <w:r w:rsidR="000F13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потреби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оновлюються) до програмно-технічного забезпечення робочих місць та електронних систем та сервісів, які підключені до єдиної телекомунікаційної мережі місцевих органів виконавчої влади та органів місцевого самоврядування області, а саме</w:t>
      </w:r>
      <w:r w:rsidR="000F13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Інструкція про порядок підключення робочих місць користувачів до підсистеми прикладних програмних сервісів ІАС”. </w:t>
      </w:r>
    </w:p>
    <w:p w14:paraId="22B132B1" w14:textId="77777777" w:rsidR="00AE575D" w:rsidRPr="00361EDD" w:rsidRDefault="00AE575D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Інструкцією визначені: </w:t>
      </w:r>
    </w:p>
    <w:p w14:paraId="02F27790" w14:textId="34B1F965" w:rsidR="00AE575D" w:rsidRPr="00361EDD" w:rsidRDefault="00F22AF9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AE575D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Порядок розгортання та налаштування апаратних засобів”;</w:t>
      </w:r>
    </w:p>
    <w:p w14:paraId="2AE178D3" w14:textId="24FADA76" w:rsidR="00AE575D" w:rsidRPr="00361EDD" w:rsidRDefault="00F22AF9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AE575D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Порядок встановлення та конфігурування системного та прикладного програмного забезпечення”;</w:t>
      </w:r>
    </w:p>
    <w:p w14:paraId="26E50242" w14:textId="5EC6C9E4" w:rsidR="00AE575D" w:rsidRPr="00361EDD" w:rsidRDefault="00F22AF9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AE575D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Порядок організаційного забезпечення діяльності АРМ користувачів”;</w:t>
      </w:r>
    </w:p>
    <w:p w14:paraId="3A947305" w14:textId="1B5C9F00" w:rsidR="00AE575D" w:rsidRPr="00361EDD" w:rsidRDefault="00F22AF9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AE575D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Порядок введення в дію АРМ користувачів”.</w:t>
      </w:r>
    </w:p>
    <w:p w14:paraId="6C0D66DF" w14:textId="4AB6CC33" w:rsidR="00AE575D" w:rsidRPr="00361EDD" w:rsidRDefault="00AE575D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Спеціалістами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ГІКНВЦ” ДОР”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проводиться постійний моніторинг комплексної системи захисту інформації системи інформаційно-аналітичного забезпечення Дніпропетровської обласної державної адміністрації. Оновлюється відповідне програмне забезпечення. У разі виявлення шкідливого програмного забезпечення, ці зразки відсилаються зразки до Державного центру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кіберзахисту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протидії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кіберзагрозам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Державної служби спеціального зв’язку та захисту інформації України.</w:t>
      </w:r>
    </w:p>
    <w:p w14:paraId="46DE6DC2" w14:textId="789D0748" w:rsidR="00E0116D" w:rsidRPr="00361EDD" w:rsidRDefault="00E0116D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361EDD">
        <w:rPr>
          <w:rFonts w:ascii="Times New Roman" w:eastAsia="Times New Roman" w:hAnsi="Times New Roman"/>
          <w:bCs/>
          <w:sz w:val="28"/>
          <w:szCs w:val="28"/>
          <w:lang w:eastAsia="ru-RU"/>
        </w:rPr>
        <w:t>Також</w:t>
      </w:r>
      <w:proofErr w:type="spellEnd"/>
      <w:r w:rsidRPr="0036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bCs/>
          <w:sz w:val="28"/>
          <w:szCs w:val="28"/>
          <w:lang w:eastAsia="ru-RU"/>
        </w:rPr>
        <w:t>спеціалісти</w:t>
      </w:r>
      <w:proofErr w:type="spellEnd"/>
      <w:r w:rsidRPr="0036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proofErr w:type="gramStart"/>
      <w:r w:rsidR="00F22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proofErr w:type="gram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ГІКНВЦ” ДОР” </w:t>
      </w:r>
      <w:r w:rsidR="003F53E3">
        <w:rPr>
          <w:rFonts w:ascii="Times New Roman" w:eastAsia="Times New Roman" w:hAnsi="Times New Roman"/>
          <w:sz w:val="28"/>
          <w:szCs w:val="28"/>
          <w:lang w:val="uk-UA" w:eastAsia="ru-RU"/>
        </w:rPr>
        <w:t>взяли</w:t>
      </w:r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семінарах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 2020 році).</w:t>
      </w:r>
    </w:p>
    <w:p w14:paraId="593073F8" w14:textId="3E8DB973" w:rsidR="00AE575D" w:rsidRPr="00361EDD" w:rsidRDefault="00AE575D" w:rsidP="00AE57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Відпрацьовуються запити Головнокомандуючого Збройних Сил України, Апарату Рад</w:t>
      </w:r>
      <w:r w:rsidR="003F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безпеки і оборони України, Державного центру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протидії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кіберзагрозам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служби спеціального зв’язку та захисту інформації України стосовно проведення заходів з посилення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кібербезпеки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регіональних інформаційних систем, блокування або розблокування відповідної інформації на офіційних сайтах тощо.</w:t>
      </w:r>
    </w:p>
    <w:p w14:paraId="6C011404" w14:textId="671BEE52" w:rsidR="00AC3C14" w:rsidRPr="00361EDD" w:rsidRDefault="00AC3C14" w:rsidP="00AC3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2020 – 2022 роки:</w:t>
      </w:r>
    </w:p>
    <w:p w14:paraId="7B6B7866" w14:textId="53C08CB9" w:rsidR="00AC3C14" w:rsidRPr="00361EDD" w:rsidRDefault="00AC3C14" w:rsidP="00AC3C1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заблокованих СПАМ-розсилок – 8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F22AF9" w:rsidRP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F376DE7" w14:textId="5BB21655" w:rsidR="00AC3C14" w:rsidRPr="00361EDD" w:rsidRDefault="00AC3C14" w:rsidP="00AC3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заблокованих проявів шкідливих програмних засобів – </w:t>
      </w:r>
      <w:r w:rsidR="003D1FD3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F22AF9" w:rsidRP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1FD3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5D60F39" w14:textId="3F495E6E" w:rsidR="003D1FD3" w:rsidRPr="00361EDD" w:rsidRDefault="003D1FD3" w:rsidP="00AC3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кількість усунених збоїв систем – </w:t>
      </w:r>
      <w:r w:rsidR="00AD577C"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51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6DE3AE63" w14:textId="250AEE86" w:rsidR="003D1FD3" w:rsidRPr="00361EDD" w:rsidRDefault="004F1898" w:rsidP="00AC3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кількість виконаних заявок, які</w:t>
      </w:r>
      <w:r w:rsidR="00F22A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надійшли через </w:t>
      </w:r>
      <w:proofErr w:type="spellStart"/>
      <w:r w:rsidR="00F22A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ServiceDesk</w:t>
      </w:r>
      <w:proofErr w:type="spellEnd"/>
      <w:r w:rsidR="00F22A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3 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604.</w:t>
      </w:r>
    </w:p>
    <w:p w14:paraId="326F9599" w14:textId="532BDA15" w:rsidR="002C44C1" w:rsidRPr="00361EDD" w:rsidRDefault="00F22AF9" w:rsidP="002C4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2022 році КП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ГІКНВЦ” ДОР” спільно з CERT-UA опрацьовано </w:t>
      </w:r>
      <w:r w:rsidR="003F53E3">
        <w:rPr>
          <w:rFonts w:ascii="Times New Roman" w:hAnsi="Times New Roman" w:cs="Times New Roman"/>
          <w:sz w:val="28"/>
          <w:szCs w:val="28"/>
          <w:lang w:val="uk-UA"/>
        </w:rPr>
        <w:br/>
        <w:t xml:space="preserve">208 </w:t>
      </w:r>
      <w:proofErr w:type="spellStart"/>
      <w:r w:rsidR="003F53E3">
        <w:rPr>
          <w:rFonts w:ascii="Times New Roman" w:hAnsi="Times New Roman" w:cs="Times New Roman"/>
          <w:sz w:val="28"/>
          <w:szCs w:val="28"/>
          <w:lang w:val="uk-UA"/>
        </w:rPr>
        <w:t>кіберінцидентів</w:t>
      </w:r>
      <w:proofErr w:type="spellEnd"/>
      <w:r w:rsidR="003F53E3">
        <w:rPr>
          <w:rFonts w:ascii="Times New Roman" w:hAnsi="Times New Roman" w:cs="Times New Roman"/>
          <w:sz w:val="28"/>
          <w:szCs w:val="28"/>
          <w:lang w:val="uk-UA"/>
        </w:rPr>
        <w:t>, які у</w:t>
      </w:r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свою чергу не призвели до негативних наслідків.</w:t>
      </w:r>
    </w:p>
    <w:p w14:paraId="7DCAE366" w14:textId="1CFDCB1C" w:rsidR="002C44C1" w:rsidRDefault="003F53E3" w:rsidP="002C4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посилено </w:t>
      </w:r>
      <w:proofErr w:type="spellStart"/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>кіберзахист</w:t>
      </w:r>
      <w:proofErr w:type="spellEnd"/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в системі електронного документообігу відповідно до доручення Прем’єр-міністра України від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9178/1/1-22 до листа Головнокомандувача Збройних Сил України </w:t>
      </w:r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br/>
        <w:t>від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№ 300/1/С/1205 щодо підвищення рівня </w:t>
      </w:r>
      <w:proofErr w:type="spellStart"/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>кіберзахисту</w:t>
      </w:r>
      <w:proofErr w:type="spellEnd"/>
      <w:r w:rsidR="002C44C1" w:rsidRPr="00361EDD">
        <w:rPr>
          <w:rFonts w:ascii="Times New Roman" w:hAnsi="Times New Roman" w:cs="Times New Roman"/>
          <w:sz w:val="28"/>
          <w:szCs w:val="28"/>
          <w:lang w:val="uk-UA"/>
        </w:rPr>
        <w:t xml:space="preserve"> в системах електронного документообігу.</w:t>
      </w:r>
    </w:p>
    <w:p w14:paraId="73860110" w14:textId="5F5021A1" w:rsidR="001A4458" w:rsidRPr="001A4458" w:rsidRDefault="001A4458" w:rsidP="001A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пункту 3.4 завдань Програми та забезпечення виконання доручення Прем’єр-міністра України від 29</w:t>
      </w:r>
      <w:r w:rsidR="003F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3F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F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9178/1/1-22 до листа Головнокомандувача Збройних Сил України від 14</w:t>
      </w:r>
      <w:r w:rsidR="003F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3F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F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45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300/1/С/1205 здійснено заходи з обслуговування, конфігурування та відновлення програмного забезпечення для підвищення рівня захисту СІАЗ.</w:t>
      </w:r>
    </w:p>
    <w:p w14:paraId="6B82B192" w14:textId="4F6AEE0B" w:rsidR="002C44C1" w:rsidRPr="00361EDD" w:rsidRDefault="002C44C1" w:rsidP="002C4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sz w:val="28"/>
          <w:szCs w:val="28"/>
          <w:lang w:val="uk-UA"/>
        </w:rPr>
        <w:t>Опрацьовується питання щодо резервування регіональних інформаційних ресурсів відповідно до постанови Кабінету Міністрів України від 03</w:t>
      </w:r>
      <w:r w:rsidR="00B74BF2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B74BF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22AF9">
        <w:rPr>
          <w:rFonts w:ascii="Times New Roman" w:hAnsi="Times New Roman" w:cs="Times New Roman"/>
          <w:sz w:val="28"/>
          <w:szCs w:val="28"/>
          <w:lang w:val="uk-UA"/>
        </w:rPr>
        <w:t xml:space="preserve">№ 522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послуг Національного центру резервування державних інформаційних ресурсів”.</w:t>
      </w:r>
    </w:p>
    <w:p w14:paraId="0FE30F13" w14:textId="21AC0289" w:rsidR="002C44C1" w:rsidRPr="00361EDD" w:rsidRDefault="002C44C1" w:rsidP="002C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Забезпечено координацію роботи спільно з провайдерами та операторами щодо забезпечення (відновлення) каналів пере</w:t>
      </w:r>
      <w:r w:rsidR="0026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дач даних та доступу до мережі І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нтернет.</w:t>
      </w:r>
    </w:p>
    <w:p w14:paraId="14C60813" w14:textId="34ED8DCC" w:rsidR="002C44C1" w:rsidRPr="00361EDD" w:rsidRDefault="002C44C1" w:rsidP="002C44C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Забезпечено дотримання вимог чинного законодавства з питань захисту інформації та виконання усіх рекомендацій Служби безпеки України та Державної служби спеціал</w:t>
      </w:r>
      <w:r w:rsidR="00671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зв’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та захисту інформації України.</w:t>
      </w:r>
    </w:p>
    <w:p w14:paraId="53BB5FAB" w14:textId="33C2D48A" w:rsidR="009B65D1" w:rsidRDefault="009B65D1" w:rsidP="009B6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 проведено роботу з структурними підрозділами облдержадміністрації, райдержадміністраціями, виконавчими комітетами міських рад, ОТГ щодо неухильного дотримання виконання вимог постанови Кабінету Міністрів України від 21</w:t>
      </w:r>
      <w:r w:rsidR="00261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</w:t>
      </w:r>
      <w:r w:rsidR="00261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851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використання доменних імен державними органами в ук</w:t>
      </w:r>
      <w:r w:rsidR="00261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раїнському сегменті Інтернету” (із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змінами) при розробленні та функціонуванні програмно-технічних засобів, у тому числі при розробленні офіційних сайтів органів влади. Акцентов</w:t>
      </w:r>
      <w:r w:rsidR="00EA5D3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 увагу, що відповідно до п</w:t>
      </w:r>
      <w:r w:rsidR="00261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ункту 2 зазначеної п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останови програмно-технічні засоби, на яких розміщуються державні електронні інформаційні ресурси, для яких здійснюється реєстрація доменного імені, повинні розташовуватися на території України.</w:t>
      </w:r>
    </w:p>
    <w:p w14:paraId="2E01E262" w14:textId="77777777" w:rsidR="002612D6" w:rsidRPr="00020B2F" w:rsidRDefault="002612D6" w:rsidP="009B6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05EF0A" w14:textId="77777777" w:rsidR="00C32003" w:rsidRDefault="009B65D1" w:rsidP="002612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361E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Підтримка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працездатності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56A863" w14:textId="2A480CFA" w:rsidR="002612D6" w:rsidRPr="002612D6" w:rsidRDefault="009B65D1" w:rsidP="008C0C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функціонування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існуючих</w:t>
      </w:r>
      <w:proofErr w:type="spellEnd"/>
      <w:r w:rsidRP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</w:t>
      </w:r>
    </w:p>
    <w:p w14:paraId="014E347C" w14:textId="3AF338E5" w:rsidR="009B65D1" w:rsidRPr="00361EDD" w:rsidRDefault="009B65D1" w:rsidP="002721EB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Програми 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>функції, пов’язані з наданням послуг із забезпечення функціонування систем інформаційно-аналітичного забезпечення органів виконавчої влади та органів місцевого самоврядування на виконання завдань Програми, здійснює КП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/>
        </w:rPr>
        <w:t>,,</w:t>
      </w:r>
      <w:proofErr w:type="spellStart"/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>ГІКНВЦ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>ˮ</w:t>
      </w:r>
      <w:proofErr w:type="spellEnd"/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>ДОР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>ˮ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14:paraId="30401B24" w14:textId="0DEC309B" w:rsidR="009B65D1" w:rsidRPr="00645735" w:rsidRDefault="009B65D1" w:rsidP="002721EB">
      <w:pPr>
        <w:pStyle w:val="1"/>
        <w:tabs>
          <w:tab w:val="left" w:pos="720"/>
          <w:tab w:val="left" w:pos="10800"/>
        </w:tabs>
        <w:spacing w:line="23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базі КП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/>
        </w:rPr>
        <w:t>,,</w:t>
      </w:r>
      <w:proofErr w:type="spellStart"/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ГІКНВЦ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>ˮ</w:t>
      </w:r>
      <w:proofErr w:type="spellEnd"/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ДОР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>ˮ</w:t>
      </w: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діє захищений </w:t>
      </w:r>
      <w:r w:rsidR="00671248"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електронний </w:t>
      </w:r>
      <w:r w:rsidR="00272B2A"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комунікаційний центр</w:t>
      </w:r>
      <w:r w:rsidR="00671248"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72B2A"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(далі – Е</w:t>
      </w: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КЦ), який об’єднує 4</w:t>
      </w:r>
      <w:r w:rsidR="00C345D1"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сервер</w:t>
      </w:r>
      <w:r w:rsidR="00C345D1"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</w:t>
      </w: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6 технологічних систем,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345D1"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сховища даних.</w:t>
      </w:r>
    </w:p>
    <w:p w14:paraId="265E005C" w14:textId="45FB9A61" w:rsidR="009B65D1" w:rsidRPr="00361EDD" w:rsidRDefault="009B65D1" w:rsidP="002721EB">
      <w:pPr>
        <w:pStyle w:val="1"/>
        <w:tabs>
          <w:tab w:val="left" w:pos="720"/>
          <w:tab w:val="left" w:pos="10800"/>
        </w:tabs>
        <w:spacing w:line="23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базі захищеного </w:t>
      </w:r>
      <w:r w:rsidR="00671248"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Pr="00645735">
        <w:rPr>
          <w:rFonts w:ascii="Times New Roman" w:hAnsi="Times New Roman" w:cs="Times New Roman"/>
          <w:color w:val="auto"/>
          <w:sz w:val="28"/>
          <w:szCs w:val="28"/>
          <w:lang w:val="uk-UA"/>
        </w:rPr>
        <w:t>КЦ області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активно розвиваються корпоративні хмарні сервіси (система електронного документообігу, реєстр територіальних громад, віртуальний офіс електронних послуг, платформа створення </w:t>
      </w:r>
      <w:proofErr w:type="spellStart"/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>вебсайтів</w:t>
      </w:r>
      <w:proofErr w:type="spellEnd"/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тощо).</w:t>
      </w:r>
    </w:p>
    <w:p w14:paraId="0C545161" w14:textId="3B23587A" w:rsidR="00C345D1" w:rsidRPr="00361EDD" w:rsidRDefault="00C345D1" w:rsidP="002721EB">
      <w:pPr>
        <w:pStyle w:val="1"/>
        <w:tabs>
          <w:tab w:val="left" w:pos="720"/>
          <w:tab w:val="left" w:pos="10800"/>
        </w:tabs>
        <w:spacing w:line="23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>Ці сервіси є захищеними відповідно до діючого атестату відповідності на комплексну систему захисту інформації (Атестат відповідності, зареєстрований в Адміністрації Державної служби спеціального зв’язку та захисту інформації України від 30 вересня 2021 року № 23391). За інформацією Адміністрації Державної служби спеціального зв’язку та захисту інформації України</w:t>
      </w:r>
      <w:r w:rsidR="002612D6">
        <w:rPr>
          <w:rFonts w:ascii="Times New Roman" w:hAnsi="Times New Roman" w:cs="Times New Roman"/>
          <w:color w:val="auto"/>
          <w:sz w:val="28"/>
          <w:szCs w:val="28"/>
          <w:lang w:val="uk-UA"/>
        </w:rPr>
        <w:t>, термін дії А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>тестату відповідності на комплексну систему захисту інформації продовжено до кінця дії воєнного стану в Україні з подальшим проведенням додаткової державної експертизи протягом шести місяців після закінчення воєнного стану в Україні.</w:t>
      </w:r>
    </w:p>
    <w:p w14:paraId="6E6C8C52" w14:textId="3AEB8A75" w:rsidR="00C345D1" w:rsidRPr="00361EDD" w:rsidRDefault="00C345D1" w:rsidP="002721EB">
      <w:pPr>
        <w:pStyle w:val="1"/>
        <w:tabs>
          <w:tab w:val="left" w:pos="720"/>
          <w:tab w:val="left" w:pos="10800"/>
        </w:tabs>
        <w:spacing w:line="23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Сертифікатом на систему управління якістю, зареєстрованим</w:t>
      </w:r>
      <w:r w:rsidR="00814A61"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17 грудня 2021 року за № UA.QMS.016-21, посвідчується, що система управління якістю стосовно надання послуг у сфері інформаційних технологій 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>і комп’ютерних систе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м, які надає КП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/>
        </w:rPr>
        <w:t>,,</w:t>
      </w:r>
      <w:proofErr w:type="spellStart"/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>ГІКНВЦ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/>
        </w:rPr>
        <w:t>ˮ</w:t>
      </w:r>
      <w:proofErr w:type="spellEnd"/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ДОР”, відповідає 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вимогам ДСТУ ISO 9001:2015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/>
        </w:rPr>
        <w:t>,,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Система управління якістю. Вимоги” </w:t>
      </w:r>
      <w:r w:rsidR="00F22A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</w:t>
      </w: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(ISO 9001:2015, IDT). </w:t>
      </w:r>
    </w:p>
    <w:p w14:paraId="57D7E2BE" w14:textId="55501129" w:rsidR="009B65D1" w:rsidRPr="00361EDD" w:rsidRDefault="009B65D1" w:rsidP="002721EB">
      <w:pPr>
        <w:pStyle w:val="1"/>
        <w:tabs>
          <w:tab w:val="left" w:pos="720"/>
          <w:tab w:val="left" w:pos="10800"/>
        </w:tabs>
        <w:spacing w:line="23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361EDD">
        <w:rPr>
          <w:rFonts w:ascii="Times New Roman" w:hAnsi="Times New Roman" w:cs="Times New Roman"/>
          <w:color w:val="auto"/>
          <w:sz w:val="28"/>
          <w:szCs w:val="28"/>
          <w:lang w:val="uk-UA"/>
        </w:rPr>
        <w:t>Застосування зазначених захищених корпоративних хмарних сервісів на ТКЦ області дозволяє місцевим органам влади не витрачати фінансові ресурси на придбання, адміністрування та підтримку власного серверного обладнання відповідно до вимог чинного законодавства в сфері захисту інформації.</w:t>
      </w:r>
      <w:r w:rsidRPr="00361EDD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</w:p>
    <w:p w14:paraId="7C32FF7B" w14:textId="38A3638F" w:rsidR="008A0347" w:rsidRPr="00361EDD" w:rsidRDefault="009B65D1" w:rsidP="00272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4.1. Переліку завдань і заходів </w:t>
      </w:r>
      <w:r w:rsidR="00EA5D3F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,,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безперебійного функціонування СІАЗ, ТКЦ області, існуючих інформаційних систем області” за 20</w:t>
      </w:r>
      <w:r w:rsidR="002D656E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</w:t>
      </w:r>
      <w:r w:rsidR="002D656E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</w:t>
      </w:r>
      <w:r w:rsidR="008A0347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забезпечено підтримку безперебійного функціонування служби інформаційно-аналітичного забезпечення, телекомунікаційного центру та існуючих інформаційних систем області, поштових шлюзів, автоматизованих робочих місць користувачів корпоративної мережі СІАЗ відповідно до вимог комплексної системи захисту інформації.</w:t>
      </w:r>
    </w:p>
    <w:p w14:paraId="4B8013E9" w14:textId="77777777" w:rsidR="008A0347" w:rsidRPr="00361EDD" w:rsidRDefault="008A0347" w:rsidP="002721EB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СІАЗ є:</w:t>
      </w:r>
    </w:p>
    <w:p w14:paraId="0B889FCC" w14:textId="77E9057B" w:rsidR="008A0347" w:rsidRPr="00361EDD" w:rsidRDefault="008A0347" w:rsidP="002721EB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адміністрування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віддалених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облдержадміністрації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доступу до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сервер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DDos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</w:t>
      </w:r>
      <w:r w:rsidR="000540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05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="0005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незалежних</w:t>
      </w:r>
      <w:proofErr w:type="spellEnd"/>
      <w:r w:rsidR="0005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(доступ до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 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публічному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DP.UA, СМС-послуги;</w:t>
      </w:r>
    </w:p>
    <w:p w14:paraId="136719E6" w14:textId="77777777" w:rsidR="008A0347" w:rsidRPr="00361EDD" w:rsidRDefault="008A0347" w:rsidP="002721EB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технічне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ЕКЦ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93649" w14:textId="77777777" w:rsidR="008A0347" w:rsidRPr="00361EDD" w:rsidRDefault="008A0347" w:rsidP="002721EB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експлуатаційні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D6C0E37" w14:textId="675321EA" w:rsidR="00852066" w:rsidRPr="00361EDD" w:rsidRDefault="00852066" w:rsidP="00272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технічне обслуговування </w:t>
      </w:r>
      <w:r w:rsidR="00F22A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програмно-апаратного комплексу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Дніпропетровський регіональний Контакт-центр голови Дніпропетровської облдержадміністрації” (20 робочих місць), у тому числі окремої телефонної лінії 0-800500474 щодо протидії поширенню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Covid-19;</w:t>
      </w:r>
    </w:p>
    <w:p w14:paraId="7A849563" w14:textId="77777777" w:rsidR="008A0347" w:rsidRPr="00361EDD" w:rsidRDefault="008A0347" w:rsidP="002721EB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щоденне забезпечення технічної підтримки та безперебійного функціонування СІАЗ;</w:t>
      </w:r>
    </w:p>
    <w:p w14:paraId="4B63F55E" w14:textId="77777777" w:rsidR="008A0347" w:rsidRPr="00361EDD" w:rsidRDefault="008A0347" w:rsidP="002721EB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C90179" w14:textId="77777777" w:rsidR="008A0347" w:rsidRPr="00361EDD" w:rsidRDefault="008A0347" w:rsidP="002721EB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переатестації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захищений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телекомунікаційний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A4F21" w14:textId="69ED1DE9" w:rsidR="008A0347" w:rsidRPr="00361EDD" w:rsidRDefault="008A0347" w:rsidP="002721EB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СІАЗ,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контролю виконання заявок 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централізованій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хнічної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proofErr w:type="gram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proofErr w:type="spellStart"/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Деск”.</w:t>
      </w:r>
    </w:p>
    <w:p w14:paraId="43CA8C77" w14:textId="77777777" w:rsidR="008A0347" w:rsidRPr="00361EDD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СІАЗ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B8526" w14:textId="30EAAE1E" w:rsidR="008A0347" w:rsidRPr="00361EDD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2022 року в рамках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безперебійного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СІАЗ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r w:rsidR="0005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таких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заходів.</w:t>
      </w:r>
    </w:p>
    <w:p w14:paraId="39AFED6E" w14:textId="77777777" w:rsidR="008A0347" w:rsidRPr="00361EDD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D345AA5" w14:textId="77777777" w:rsidR="008A0347" w:rsidRPr="00361EDD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безперебійного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захищеного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загальнодоступних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систем;</w:t>
      </w:r>
    </w:p>
    <w:p w14:paraId="4C8642EF" w14:textId="086306ED" w:rsidR="008A0347" w:rsidRPr="00361EDD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інформаційно-телекомунікаційної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органів місцевого самоврядування (</w:t>
      </w:r>
      <w:r w:rsidR="0027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5C2A03E" w14:textId="66623AF2" w:rsidR="008A0347" w:rsidRPr="00361EDD" w:rsidRDefault="000540AA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нтернет-порталів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місцевого самоврядування у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8A4710" w14:textId="03DC7580" w:rsidR="008A0347" w:rsidRPr="00361EDD" w:rsidRDefault="000540AA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</w:t>
      </w:r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(adm.dp.gov.ua);</w:t>
      </w:r>
    </w:p>
    <w:p w14:paraId="21D4F0CE" w14:textId="45CB6C52" w:rsidR="008A0347" w:rsidRPr="00361EDD" w:rsidRDefault="000540AA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proofErr w:type="gram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райдержадміністрацій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райрад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26C6F6" w14:textId="1C3B1EEA" w:rsidR="008A0347" w:rsidRPr="00361EDD" w:rsidRDefault="000540AA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Регіональний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віртуальний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” (e-services.dp.gov.ua);</w:t>
      </w:r>
    </w:p>
    <w:p w14:paraId="47AB80B7" w14:textId="4C72076E" w:rsidR="008A0347" w:rsidRPr="002721EB" w:rsidRDefault="001107AA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веб</w:t>
      </w:r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Дніпропетровського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Контакт-центру голови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(e-con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tact.dp.gov.ua)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272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975D2E9" w14:textId="0EDA9D99" w:rsidR="008A0347" w:rsidRPr="001107AA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СЕДО в </w:t>
      </w:r>
      <w:proofErr w:type="spellStart"/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апараті</w:t>
      </w:r>
      <w:proofErr w:type="spellEnd"/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облдержадміністрації, її </w:t>
      </w:r>
      <w:r w:rsidR="001107AA"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 підрозділах, обласн</w:t>
      </w:r>
      <w:r w:rsid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раді</w:t>
      </w:r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райдержадміністраціях та органах місцевого самоврядування області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програмного комплексу ,,</w:t>
      </w:r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Автоматизована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управління документами ,,</w:t>
      </w:r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 ПРОФ 3” (1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079 місць користувачів, 91 база даних, </w:t>
      </w:r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439 </w:t>
      </w:r>
      <w:proofErr w:type="spellStart"/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картотек</w:t>
      </w:r>
      <w:proofErr w:type="spellEnd"/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довідників системи), актуалізація даних абонентів </w:t>
      </w:r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</w:t>
      </w:r>
      <w:r w:rsidRPr="001107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F22A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107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455 </w:t>
      </w:r>
      <w:r w:rsidRPr="00110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внесених змін), консультації у телефонному режимі (720 викликів);</w:t>
      </w:r>
    </w:p>
    <w:p w14:paraId="5828FF32" w14:textId="321C3B51" w:rsidR="008A0347" w:rsidRPr="00361EDD" w:rsidRDefault="00F22AF9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реєстрів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територіальною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громадою”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Автоматизована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управління документами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 ПРОФ 3”,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місцевого самоврядування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D3171A" w14:textId="77777777" w:rsidR="008A0347" w:rsidRPr="00361EDD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IP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місцевого самоврядування на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 СІАЗ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відомчої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АТС NORTEL CS-1000 (421 абонент, 6 PRI-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тому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виведення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абонентів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перенесення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місць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розташування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абонентів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82A168A" w14:textId="6B617FF6" w:rsidR="008A0347" w:rsidRPr="00361EDD" w:rsidRDefault="00F22AF9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-апаратного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Дніпропетровський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регіональний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Контакт-центр голови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(20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 тому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0-800500474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="008A0347"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Covid-19;</w:t>
      </w:r>
    </w:p>
    <w:p w14:paraId="41AF7AA8" w14:textId="237A73D9" w:rsidR="008A0347" w:rsidRPr="00661F97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автоматизованої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proofErr w:type="spell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Ліга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-Закон” </w:t>
      </w:r>
      <w:r w:rsidR="0066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6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 </w:t>
      </w:r>
      <w:proofErr w:type="spellStart"/>
      <w:r w:rsidR="00661F9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ліцензій</w:t>
      </w:r>
      <w:proofErr w:type="spellEnd"/>
      <w:r w:rsidR="00661F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40166A9" w14:textId="440E9B43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медичної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Health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Світового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Банку;</w:t>
      </w:r>
    </w:p>
    <w:p w14:paraId="44CC1CE3" w14:textId="77777777" w:rsidR="008A0347" w:rsidRPr="00361EDD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системи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антивірусного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корпоративної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мережі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пошти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57D12D8" w14:textId="119A1DA9" w:rsidR="008A0347" w:rsidRPr="00361EDD" w:rsidRDefault="008A0347" w:rsidP="008A0347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мережі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Wi-Fi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(просп. О.</w:t>
      </w:r>
      <w:r w:rsidR="00661F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Поля, 1 та просп. О.</w:t>
      </w:r>
      <w:r w:rsidR="00661F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Поля, 2 – 65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точок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A48D545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76 ТГ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створено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офіційні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поштові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скриньки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доменній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dp.gov.ua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підтримку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Поточне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обслуговування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доменної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СІАЗ (294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користувачі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72A61A7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СІАЗ з питань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встановленого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програмного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інформатизації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F1163E" w14:textId="1FA2009E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підтримку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онлайн-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нарад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конференцій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застосуванням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програмного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Webex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Team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відео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аудіо</w:t>
      </w:r>
      <w:proofErr w:type="spellEnd"/>
      <w:r w:rsidR="00623C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EF0271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постійний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моніторинг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аудит стану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захищеності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інформаційних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обробляються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ЕКЦ.</w:t>
      </w:r>
    </w:p>
    <w:p w14:paraId="323D928D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проведено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поточні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експлуатації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управління КСЗІ ЕКЦ, 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також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станом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захищеності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ЕКЦ та доступу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F2BFB78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відновлення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працездатності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існуючого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обладнання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55B1909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</w:t>
      </w:r>
      <w:proofErr w:type="gram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технічне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обслуговування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ремонт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налагодження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інформатизації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СІАЗ; </w:t>
      </w:r>
    </w:p>
    <w:p w14:paraId="22DC6495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модернізацію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корпоративної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обчислювальних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мереж; </w:t>
      </w:r>
    </w:p>
    <w:p w14:paraId="7C0B7AB2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системно-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технічне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обслуговування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заправку та ремонт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друкувальних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інформатизації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F6F054F" w14:textId="2F88BB78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квітні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003"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C320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заходи з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посилення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відмовостійкості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захищеності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гнучкості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функціонування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інформаційно-аналітичного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органів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місцевого самоврядування в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умовах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воєнного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стану.</w:t>
      </w:r>
    </w:p>
    <w:p w14:paraId="412B9146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заходів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тимчасового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робочих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місць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облдержадміністрації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функціонування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тому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віддалених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робочих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місць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7101A6" w14:textId="108992EB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таких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телекомунікаційних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послуг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D590143" w14:textId="0734F37C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передавання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повідомлень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каналами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зв’язку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високої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пропускної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спроможності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використанням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технологій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швидкісної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телекомунікаційним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центром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Дніпропетровської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облдержадміністрації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районними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сільськими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установами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органів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органів місцевого самоврядування (послуги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віртуальної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мережі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0A925DE1" w14:textId="2A1EB736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виділені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волоконно-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оптичні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канали для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відеоконференцій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C284201" w14:textId="53966EBF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супроводження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телекомунікаційних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послуг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F78DBDC" w14:textId="65B93B5C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підключення</w:t>
      </w:r>
      <w:proofErr w:type="spellEnd"/>
      <w:proofErr w:type="gram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корпоративної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мультисервісної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інформаційної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мережі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A9742F0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телекомунікаційних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послуг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здійснюється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цілодобовому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7EFDDFC" w14:textId="24FE69CB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узгодженого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облдержадміністрації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обласної ради на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телекомунікаційної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мережі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створена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регіональна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відомча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(корпоративна)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мультисервісна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телекомунікаційна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мережа, яка є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невід’ємною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складовою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Системи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інформаційно-аналітичного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облдерж</w:t>
      </w:r>
      <w:proofErr w:type="spellEnd"/>
      <w:r w:rsidR="00623C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proofErr w:type="spellStart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адміністрації</w:t>
      </w:r>
      <w:proofErr w:type="spellEnd"/>
      <w:r w:rsidRPr="0036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23DC7E" w14:textId="77777777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інформаційно-телекомунікаційної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місцевого самоврядування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протягом 2022 року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спроможності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телекомунікаційним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органів місцевого самоврядування.</w:t>
      </w:r>
    </w:p>
    <w:p w14:paraId="42CEC6B5" w14:textId="2BD07C76" w:rsidR="008A0347" w:rsidRPr="00361EDD" w:rsidRDefault="008A0347" w:rsidP="008A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апарату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комп’ютерній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правовій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proofErr w:type="gram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proofErr w:type="gram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ЛІГА:ЗАКОН” 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-продукту Liga360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(БІЗНЕС: для 15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1999 року і є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інформаційною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базою </w:t>
      </w:r>
      <w:r w:rsidR="006D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</w:t>
      </w:r>
      <w:r w:rsidR="006D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6D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C0BE0B" w14:textId="245470FF" w:rsidR="008A0347" w:rsidRPr="00361EDD" w:rsidRDefault="008A0347" w:rsidP="00ED4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антивірусним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серверного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інформаційно-аналітичного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</w:t>
      </w:r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ензії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програмного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F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ESET PROTECT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Entry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для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оновлення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</w:t>
      </w:r>
      <w:r w:rsidR="00F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тавлено </w:t>
      </w:r>
      <w:proofErr w:type="spellStart"/>
      <w:r w:rsidR="00F3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програмне</w:t>
      </w:r>
      <w:proofErr w:type="spellEnd"/>
      <w:r w:rsidR="00F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3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F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ESET PROTECT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r w:rsidR="00F33469">
        <w:rPr>
          <w:rFonts w:ascii="Times New Roman" w:eastAsia="Times New Roman" w:hAnsi="Times New Roman" w:cs="Times New Roman"/>
          <w:sz w:val="28"/>
          <w:szCs w:val="28"/>
          <w:lang w:eastAsia="ru-RU"/>
        </w:rPr>
        <w:t>terprise</w:t>
      </w:r>
      <w:proofErr w:type="spellEnd"/>
      <w:r w:rsidR="00F33469" w:rsidRPr="00F3346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програмне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поштовий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сервер.</w:t>
      </w:r>
    </w:p>
    <w:p w14:paraId="353B82AC" w14:textId="130DF28C" w:rsidR="00032F98" w:rsidRPr="00361EDD" w:rsidRDefault="00032F98" w:rsidP="00032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безперебійного та </w:t>
      </w:r>
      <w:proofErr w:type="spellStart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відмовостійкого</w:t>
      </w:r>
      <w:proofErr w:type="spellEnd"/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 існуючих регіональних інформаційних ресурсів та сервісів, що розміщені на ТКЦ області, дотримання вимог законодавства у сфері ліцензування програмного забезпечення придбано комплект серверного обладнання</w:t>
      </w:r>
      <w:r w:rsidR="00993E9C"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операційні системи для них.</w:t>
      </w:r>
    </w:p>
    <w:p w14:paraId="1B59140D" w14:textId="0D006B0E" w:rsidR="004B1A15" w:rsidRPr="00361EDD" w:rsidRDefault="001A4458" w:rsidP="004B1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діяльності</w:t>
      </w:r>
      <w:r w:rsidR="007B654E" w:rsidRPr="00C32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державних органів області </w:t>
      </w:r>
      <w:r w:rsidRPr="00C32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придбано </w:t>
      </w:r>
      <w:r w:rsidR="004B1A15" w:rsidRPr="00C32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периферійне обладнання: багатофункціональний пристрій А4 – 23 од.; багатофункціональний пристрій А3 – 2 од. та потоковий сканер – 10 од.</w:t>
      </w:r>
    </w:p>
    <w:p w14:paraId="2D67D6F8" w14:textId="0D1D5583" w:rsidR="009B65D1" w:rsidRPr="00361EDD" w:rsidRDefault="009B65D1" w:rsidP="0068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Застосування передових інноваційних технологій </w:t>
      </w:r>
      <w:r w:rsidR="00CA75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bookmarkStart w:id="1" w:name="_GoBack"/>
      <w:bookmarkEnd w:id="1"/>
      <w:r w:rsidR="001A4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61E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рамках виконання заходів Програми дозволяє забезпечити подальший розвиток інформаційного суспільства у Дніпропетровській області, інтегрувати область до світового простору та прискорити сталий економічний розвиток.</w:t>
      </w:r>
    </w:p>
    <w:p w14:paraId="03AEA9A9" w14:textId="77777777" w:rsidR="009B65D1" w:rsidRDefault="009B65D1" w:rsidP="009B6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5DF5551" w14:textId="77777777" w:rsidR="00A766DD" w:rsidRDefault="00A766DD" w:rsidP="009B6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3D8D067" w14:textId="77777777" w:rsidR="00A766DD" w:rsidRPr="00020B2F" w:rsidRDefault="00A766DD" w:rsidP="009B6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C9D4312" w14:textId="77777777" w:rsidR="003903F7" w:rsidRPr="003903F7" w:rsidRDefault="003903F7" w:rsidP="0039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03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голови</w:t>
      </w:r>
    </w:p>
    <w:p w14:paraId="3A1B6D2F" w14:textId="3972DB7B" w:rsidR="001B4E0B" w:rsidRPr="003903F7" w:rsidRDefault="003903F7" w:rsidP="00390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3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обласної ради</w:t>
      </w:r>
      <w:r w:rsidRPr="003903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                            І. КАШИРІН</w:t>
      </w:r>
    </w:p>
    <w:sectPr w:rsidR="001B4E0B" w:rsidRPr="003903F7" w:rsidSect="00A766D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317AC" w14:textId="77777777" w:rsidR="00A87697" w:rsidRDefault="00A87697" w:rsidP="00A87697">
      <w:pPr>
        <w:spacing w:after="0" w:line="240" w:lineRule="auto"/>
      </w:pPr>
      <w:r>
        <w:separator/>
      </w:r>
    </w:p>
  </w:endnote>
  <w:endnote w:type="continuationSeparator" w:id="0">
    <w:p w14:paraId="47584F8D" w14:textId="77777777" w:rsidR="00A87697" w:rsidRDefault="00A87697" w:rsidP="00A8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80C3" w14:textId="77777777" w:rsidR="00A87697" w:rsidRDefault="00A87697" w:rsidP="00A87697">
      <w:pPr>
        <w:spacing w:after="0" w:line="240" w:lineRule="auto"/>
      </w:pPr>
      <w:r>
        <w:separator/>
      </w:r>
    </w:p>
  </w:footnote>
  <w:footnote w:type="continuationSeparator" w:id="0">
    <w:p w14:paraId="0A8A4EA4" w14:textId="77777777" w:rsidR="00A87697" w:rsidRDefault="00A87697" w:rsidP="00A8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674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0A6862" w14:textId="0ECB8AE7" w:rsidR="00A87697" w:rsidRPr="00A87697" w:rsidRDefault="00A87697" w:rsidP="00A8769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7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5D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87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121B"/>
    <w:multiLevelType w:val="hybridMultilevel"/>
    <w:tmpl w:val="9E4C7186"/>
    <w:lvl w:ilvl="0" w:tplc="C08EB1F6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329B4"/>
    <w:multiLevelType w:val="hybridMultilevel"/>
    <w:tmpl w:val="1F22C98C"/>
    <w:lvl w:ilvl="0" w:tplc="A69AE188">
      <w:start w:val="2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3"/>
    <w:rsid w:val="00007D53"/>
    <w:rsid w:val="000170A1"/>
    <w:rsid w:val="00020B2F"/>
    <w:rsid w:val="0002457B"/>
    <w:rsid w:val="00032F98"/>
    <w:rsid w:val="000429DC"/>
    <w:rsid w:val="0005345C"/>
    <w:rsid w:val="000540AA"/>
    <w:rsid w:val="000632E5"/>
    <w:rsid w:val="00063DBE"/>
    <w:rsid w:val="00072C3D"/>
    <w:rsid w:val="00073DDF"/>
    <w:rsid w:val="00086B52"/>
    <w:rsid w:val="00097AC4"/>
    <w:rsid w:val="000A151D"/>
    <w:rsid w:val="000A7DBC"/>
    <w:rsid w:val="000B0369"/>
    <w:rsid w:val="000B03FA"/>
    <w:rsid w:val="000B308E"/>
    <w:rsid w:val="000B3AB3"/>
    <w:rsid w:val="000D0BD1"/>
    <w:rsid w:val="000D4ED0"/>
    <w:rsid w:val="000E025A"/>
    <w:rsid w:val="000E19BA"/>
    <w:rsid w:val="000E2B3E"/>
    <w:rsid w:val="000E5F11"/>
    <w:rsid w:val="000E69EC"/>
    <w:rsid w:val="000F13C0"/>
    <w:rsid w:val="0010422E"/>
    <w:rsid w:val="001107AA"/>
    <w:rsid w:val="001107B2"/>
    <w:rsid w:val="00114860"/>
    <w:rsid w:val="00115C3F"/>
    <w:rsid w:val="00131FCD"/>
    <w:rsid w:val="00134933"/>
    <w:rsid w:val="00141862"/>
    <w:rsid w:val="00145846"/>
    <w:rsid w:val="0015753A"/>
    <w:rsid w:val="001628BA"/>
    <w:rsid w:val="001629D9"/>
    <w:rsid w:val="00166371"/>
    <w:rsid w:val="0017067B"/>
    <w:rsid w:val="00185E53"/>
    <w:rsid w:val="00187297"/>
    <w:rsid w:val="001963B6"/>
    <w:rsid w:val="00196D70"/>
    <w:rsid w:val="001A20AC"/>
    <w:rsid w:val="001A4458"/>
    <w:rsid w:val="001A451F"/>
    <w:rsid w:val="001B3BBF"/>
    <w:rsid w:val="001B4E0B"/>
    <w:rsid w:val="001C0B9C"/>
    <w:rsid w:val="001D16DD"/>
    <w:rsid w:val="001D1F0E"/>
    <w:rsid w:val="001E573F"/>
    <w:rsid w:val="001E7048"/>
    <w:rsid w:val="001F3E15"/>
    <w:rsid w:val="00210E1B"/>
    <w:rsid w:val="00213348"/>
    <w:rsid w:val="00221142"/>
    <w:rsid w:val="002260B8"/>
    <w:rsid w:val="002413D6"/>
    <w:rsid w:val="00247263"/>
    <w:rsid w:val="002612D6"/>
    <w:rsid w:val="00264000"/>
    <w:rsid w:val="002721EB"/>
    <w:rsid w:val="00272B2A"/>
    <w:rsid w:val="00282218"/>
    <w:rsid w:val="002B15FF"/>
    <w:rsid w:val="002B54BF"/>
    <w:rsid w:val="002C44C1"/>
    <w:rsid w:val="002D600C"/>
    <w:rsid w:val="002D656E"/>
    <w:rsid w:val="002E1826"/>
    <w:rsid w:val="002F07EF"/>
    <w:rsid w:val="002F635D"/>
    <w:rsid w:val="00303ACC"/>
    <w:rsid w:val="00321F30"/>
    <w:rsid w:val="00322B1B"/>
    <w:rsid w:val="00323778"/>
    <w:rsid w:val="003260AF"/>
    <w:rsid w:val="00326914"/>
    <w:rsid w:val="0033000A"/>
    <w:rsid w:val="00330144"/>
    <w:rsid w:val="00346C95"/>
    <w:rsid w:val="00354263"/>
    <w:rsid w:val="003573C1"/>
    <w:rsid w:val="00361EDD"/>
    <w:rsid w:val="003663F5"/>
    <w:rsid w:val="00374B18"/>
    <w:rsid w:val="003866B6"/>
    <w:rsid w:val="003903F7"/>
    <w:rsid w:val="00392AF2"/>
    <w:rsid w:val="00396CFF"/>
    <w:rsid w:val="003B29AF"/>
    <w:rsid w:val="003C258C"/>
    <w:rsid w:val="003D1FD3"/>
    <w:rsid w:val="003D23BE"/>
    <w:rsid w:val="003D2CA9"/>
    <w:rsid w:val="003D65AC"/>
    <w:rsid w:val="003D745B"/>
    <w:rsid w:val="003E7033"/>
    <w:rsid w:val="003F0A25"/>
    <w:rsid w:val="003F181F"/>
    <w:rsid w:val="003F53E3"/>
    <w:rsid w:val="003F5CB9"/>
    <w:rsid w:val="004151DE"/>
    <w:rsid w:val="00433B4D"/>
    <w:rsid w:val="0043471A"/>
    <w:rsid w:val="00437113"/>
    <w:rsid w:val="00452346"/>
    <w:rsid w:val="0045443A"/>
    <w:rsid w:val="00455E28"/>
    <w:rsid w:val="00456CA7"/>
    <w:rsid w:val="004608E1"/>
    <w:rsid w:val="0046767F"/>
    <w:rsid w:val="004701E1"/>
    <w:rsid w:val="0048088D"/>
    <w:rsid w:val="0048521A"/>
    <w:rsid w:val="00490233"/>
    <w:rsid w:val="00490747"/>
    <w:rsid w:val="00495C7F"/>
    <w:rsid w:val="004B1A15"/>
    <w:rsid w:val="004B1C1F"/>
    <w:rsid w:val="004C0E3B"/>
    <w:rsid w:val="004C7275"/>
    <w:rsid w:val="004D01EB"/>
    <w:rsid w:val="004D111D"/>
    <w:rsid w:val="004D22B1"/>
    <w:rsid w:val="004E5470"/>
    <w:rsid w:val="004E60C9"/>
    <w:rsid w:val="004F1898"/>
    <w:rsid w:val="004F38AD"/>
    <w:rsid w:val="004F4482"/>
    <w:rsid w:val="00507AEA"/>
    <w:rsid w:val="005137BE"/>
    <w:rsid w:val="005201CE"/>
    <w:rsid w:val="005336BC"/>
    <w:rsid w:val="0054159E"/>
    <w:rsid w:val="00544417"/>
    <w:rsid w:val="005469A1"/>
    <w:rsid w:val="00551DEF"/>
    <w:rsid w:val="00555C60"/>
    <w:rsid w:val="00556ADA"/>
    <w:rsid w:val="00557B56"/>
    <w:rsid w:val="00560398"/>
    <w:rsid w:val="005A2287"/>
    <w:rsid w:val="005A2C21"/>
    <w:rsid w:val="005A4231"/>
    <w:rsid w:val="005C016C"/>
    <w:rsid w:val="005C673A"/>
    <w:rsid w:val="005E2BBE"/>
    <w:rsid w:val="005E429B"/>
    <w:rsid w:val="005E66C3"/>
    <w:rsid w:val="005F1CFE"/>
    <w:rsid w:val="00607689"/>
    <w:rsid w:val="00611AA7"/>
    <w:rsid w:val="00623C97"/>
    <w:rsid w:val="00627480"/>
    <w:rsid w:val="00640A13"/>
    <w:rsid w:val="00645735"/>
    <w:rsid w:val="006470AF"/>
    <w:rsid w:val="0065609C"/>
    <w:rsid w:val="00657FF0"/>
    <w:rsid w:val="00661F97"/>
    <w:rsid w:val="00671248"/>
    <w:rsid w:val="0067385A"/>
    <w:rsid w:val="00675E14"/>
    <w:rsid w:val="00680E20"/>
    <w:rsid w:val="00682718"/>
    <w:rsid w:val="006837E7"/>
    <w:rsid w:val="00685BE4"/>
    <w:rsid w:val="006A5133"/>
    <w:rsid w:val="006B7D0D"/>
    <w:rsid w:val="006C42C2"/>
    <w:rsid w:val="006D21A5"/>
    <w:rsid w:val="006D51C1"/>
    <w:rsid w:val="006D7568"/>
    <w:rsid w:val="007002ED"/>
    <w:rsid w:val="007056CB"/>
    <w:rsid w:val="00710C16"/>
    <w:rsid w:val="007115FE"/>
    <w:rsid w:val="00715034"/>
    <w:rsid w:val="007224F1"/>
    <w:rsid w:val="0073289A"/>
    <w:rsid w:val="00736CE9"/>
    <w:rsid w:val="00753D10"/>
    <w:rsid w:val="00754AF1"/>
    <w:rsid w:val="007611BB"/>
    <w:rsid w:val="00773ED2"/>
    <w:rsid w:val="0077455F"/>
    <w:rsid w:val="00781145"/>
    <w:rsid w:val="00784AF5"/>
    <w:rsid w:val="0078685C"/>
    <w:rsid w:val="00795D51"/>
    <w:rsid w:val="007A08C7"/>
    <w:rsid w:val="007B4152"/>
    <w:rsid w:val="007B5EDA"/>
    <w:rsid w:val="007B654E"/>
    <w:rsid w:val="007D5769"/>
    <w:rsid w:val="007D62F3"/>
    <w:rsid w:val="00814A61"/>
    <w:rsid w:val="00816BC4"/>
    <w:rsid w:val="00826681"/>
    <w:rsid w:val="008342A7"/>
    <w:rsid w:val="00844493"/>
    <w:rsid w:val="008509F8"/>
    <w:rsid w:val="00852066"/>
    <w:rsid w:val="0086443C"/>
    <w:rsid w:val="00881468"/>
    <w:rsid w:val="00886778"/>
    <w:rsid w:val="008A0347"/>
    <w:rsid w:val="008A30A6"/>
    <w:rsid w:val="008B476C"/>
    <w:rsid w:val="008C0C01"/>
    <w:rsid w:val="008E57BD"/>
    <w:rsid w:val="008F0F5D"/>
    <w:rsid w:val="009016C5"/>
    <w:rsid w:val="00913330"/>
    <w:rsid w:val="00913496"/>
    <w:rsid w:val="00915D11"/>
    <w:rsid w:val="00921383"/>
    <w:rsid w:val="00924A62"/>
    <w:rsid w:val="0094323F"/>
    <w:rsid w:val="00955A94"/>
    <w:rsid w:val="00957107"/>
    <w:rsid w:val="00965C0F"/>
    <w:rsid w:val="009711C0"/>
    <w:rsid w:val="00982FC2"/>
    <w:rsid w:val="0099110F"/>
    <w:rsid w:val="009937D5"/>
    <w:rsid w:val="00993E9C"/>
    <w:rsid w:val="009B38F5"/>
    <w:rsid w:val="009B65D1"/>
    <w:rsid w:val="009B6B3F"/>
    <w:rsid w:val="009B6ECD"/>
    <w:rsid w:val="009B7B08"/>
    <w:rsid w:val="009C187E"/>
    <w:rsid w:val="009C2233"/>
    <w:rsid w:val="009C32F0"/>
    <w:rsid w:val="009C6084"/>
    <w:rsid w:val="009C775B"/>
    <w:rsid w:val="009D1EBD"/>
    <w:rsid w:val="009D64A9"/>
    <w:rsid w:val="009E3D4B"/>
    <w:rsid w:val="009E5386"/>
    <w:rsid w:val="009F3B62"/>
    <w:rsid w:val="009F4E7A"/>
    <w:rsid w:val="00A01661"/>
    <w:rsid w:val="00A034FD"/>
    <w:rsid w:val="00A205AC"/>
    <w:rsid w:val="00A20C9E"/>
    <w:rsid w:val="00A221C5"/>
    <w:rsid w:val="00A26A34"/>
    <w:rsid w:val="00A3355B"/>
    <w:rsid w:val="00A3464E"/>
    <w:rsid w:val="00A4758B"/>
    <w:rsid w:val="00A571D4"/>
    <w:rsid w:val="00A63388"/>
    <w:rsid w:val="00A67A63"/>
    <w:rsid w:val="00A74852"/>
    <w:rsid w:val="00A766DD"/>
    <w:rsid w:val="00A863B7"/>
    <w:rsid w:val="00A87697"/>
    <w:rsid w:val="00AA2AEE"/>
    <w:rsid w:val="00AA7BA9"/>
    <w:rsid w:val="00AB4BB2"/>
    <w:rsid w:val="00AC0F9F"/>
    <w:rsid w:val="00AC3C14"/>
    <w:rsid w:val="00AC511D"/>
    <w:rsid w:val="00AD0DE3"/>
    <w:rsid w:val="00AD577C"/>
    <w:rsid w:val="00AD5D66"/>
    <w:rsid w:val="00AD68C2"/>
    <w:rsid w:val="00AE575D"/>
    <w:rsid w:val="00AE60E1"/>
    <w:rsid w:val="00AE6C59"/>
    <w:rsid w:val="00AF0375"/>
    <w:rsid w:val="00B216B4"/>
    <w:rsid w:val="00B21FEC"/>
    <w:rsid w:val="00B35BEA"/>
    <w:rsid w:val="00B3760F"/>
    <w:rsid w:val="00B45410"/>
    <w:rsid w:val="00B454A6"/>
    <w:rsid w:val="00B5328E"/>
    <w:rsid w:val="00B54AAE"/>
    <w:rsid w:val="00B57DE3"/>
    <w:rsid w:val="00B64BB0"/>
    <w:rsid w:val="00B74BF2"/>
    <w:rsid w:val="00B75F22"/>
    <w:rsid w:val="00B84F1F"/>
    <w:rsid w:val="00BA5799"/>
    <w:rsid w:val="00BB4A5D"/>
    <w:rsid w:val="00BC1C6C"/>
    <w:rsid w:val="00BD0067"/>
    <w:rsid w:val="00BE6B80"/>
    <w:rsid w:val="00BF0B35"/>
    <w:rsid w:val="00BF155B"/>
    <w:rsid w:val="00C12B1A"/>
    <w:rsid w:val="00C12DD1"/>
    <w:rsid w:val="00C239A4"/>
    <w:rsid w:val="00C24A71"/>
    <w:rsid w:val="00C257FD"/>
    <w:rsid w:val="00C25AF9"/>
    <w:rsid w:val="00C25B66"/>
    <w:rsid w:val="00C2690D"/>
    <w:rsid w:val="00C32003"/>
    <w:rsid w:val="00C345D1"/>
    <w:rsid w:val="00C41A5D"/>
    <w:rsid w:val="00C45443"/>
    <w:rsid w:val="00C4746E"/>
    <w:rsid w:val="00C510E6"/>
    <w:rsid w:val="00C551AA"/>
    <w:rsid w:val="00C87EA7"/>
    <w:rsid w:val="00C9123A"/>
    <w:rsid w:val="00CA4F26"/>
    <w:rsid w:val="00CA75D3"/>
    <w:rsid w:val="00CB395D"/>
    <w:rsid w:val="00CB6866"/>
    <w:rsid w:val="00CC4019"/>
    <w:rsid w:val="00CD50F9"/>
    <w:rsid w:val="00CD7669"/>
    <w:rsid w:val="00CE27C6"/>
    <w:rsid w:val="00CE316B"/>
    <w:rsid w:val="00CE5BB1"/>
    <w:rsid w:val="00CF0186"/>
    <w:rsid w:val="00CF14AF"/>
    <w:rsid w:val="00CF38A1"/>
    <w:rsid w:val="00D051FF"/>
    <w:rsid w:val="00D211E0"/>
    <w:rsid w:val="00D3690E"/>
    <w:rsid w:val="00D41B25"/>
    <w:rsid w:val="00D5324C"/>
    <w:rsid w:val="00D547EF"/>
    <w:rsid w:val="00D55AC1"/>
    <w:rsid w:val="00D607B8"/>
    <w:rsid w:val="00D74431"/>
    <w:rsid w:val="00D837E5"/>
    <w:rsid w:val="00D9785D"/>
    <w:rsid w:val="00DA0214"/>
    <w:rsid w:val="00DB01FB"/>
    <w:rsid w:val="00DB4B4E"/>
    <w:rsid w:val="00DB5DB1"/>
    <w:rsid w:val="00DD7FE5"/>
    <w:rsid w:val="00DE30A4"/>
    <w:rsid w:val="00DF3309"/>
    <w:rsid w:val="00DF433F"/>
    <w:rsid w:val="00DF599A"/>
    <w:rsid w:val="00E0116D"/>
    <w:rsid w:val="00E0458E"/>
    <w:rsid w:val="00E06DDB"/>
    <w:rsid w:val="00E06F28"/>
    <w:rsid w:val="00E14497"/>
    <w:rsid w:val="00E24C2D"/>
    <w:rsid w:val="00E41A8B"/>
    <w:rsid w:val="00E50CB6"/>
    <w:rsid w:val="00E611A4"/>
    <w:rsid w:val="00E73F00"/>
    <w:rsid w:val="00E97630"/>
    <w:rsid w:val="00EA5D3F"/>
    <w:rsid w:val="00EC7BBE"/>
    <w:rsid w:val="00ED0630"/>
    <w:rsid w:val="00ED4DBF"/>
    <w:rsid w:val="00EF0EB9"/>
    <w:rsid w:val="00F00A48"/>
    <w:rsid w:val="00F01BF7"/>
    <w:rsid w:val="00F01E1F"/>
    <w:rsid w:val="00F03405"/>
    <w:rsid w:val="00F075D1"/>
    <w:rsid w:val="00F22AF9"/>
    <w:rsid w:val="00F267D1"/>
    <w:rsid w:val="00F30CB0"/>
    <w:rsid w:val="00F33469"/>
    <w:rsid w:val="00F34315"/>
    <w:rsid w:val="00F36295"/>
    <w:rsid w:val="00F44775"/>
    <w:rsid w:val="00F51E37"/>
    <w:rsid w:val="00F53675"/>
    <w:rsid w:val="00F53799"/>
    <w:rsid w:val="00F63B3B"/>
    <w:rsid w:val="00F65F90"/>
    <w:rsid w:val="00F7172F"/>
    <w:rsid w:val="00F746C0"/>
    <w:rsid w:val="00F7778D"/>
    <w:rsid w:val="00FA39F0"/>
    <w:rsid w:val="00FA4E29"/>
    <w:rsid w:val="00FA51EE"/>
    <w:rsid w:val="00FA6CAA"/>
    <w:rsid w:val="00FB0045"/>
    <w:rsid w:val="00FB2C00"/>
    <w:rsid w:val="00FC74D0"/>
    <w:rsid w:val="00FD7E09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33960"/>
  <w15:docId w15:val="{D1CCB331-40F1-412C-AEA1-8DD6535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FE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B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4E0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3663F5"/>
    <w:rPr>
      <w:color w:val="0000FF" w:themeColor="hyperlink"/>
      <w:u w:val="single"/>
    </w:rPr>
  </w:style>
  <w:style w:type="paragraph" w:customStyle="1" w:styleId="1">
    <w:name w:val="Обычный1"/>
    <w:rsid w:val="00B75F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0A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A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69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69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ervices.dp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EACE-B71E-40DC-922C-3029E21E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19</Pages>
  <Words>7330</Words>
  <Characters>41784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Елена Алексеевна</dc:creator>
  <cp:lastModifiedBy>user</cp:lastModifiedBy>
  <cp:revision>80</cp:revision>
  <cp:lastPrinted>2023-07-06T08:46:00Z</cp:lastPrinted>
  <dcterms:created xsi:type="dcterms:W3CDTF">2023-02-28T12:38:00Z</dcterms:created>
  <dcterms:modified xsi:type="dcterms:W3CDTF">2023-07-13T12:17:00Z</dcterms:modified>
</cp:coreProperties>
</file>