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8" w:rsidRPr="002F0B2A" w:rsidRDefault="00D12C88" w:rsidP="002F0B2A">
      <w:pPr>
        <w:widowControl w:val="0"/>
        <w:ind w:left="6096"/>
        <w:rPr>
          <w:sz w:val="28"/>
          <w:lang w:val="uk-UA"/>
        </w:rPr>
      </w:pPr>
      <w:r w:rsidRPr="002F0B2A">
        <w:rPr>
          <w:sz w:val="28"/>
          <w:lang w:val="uk-UA"/>
        </w:rPr>
        <w:t xml:space="preserve">Додаток 2 </w:t>
      </w:r>
      <w:r w:rsidRPr="002F0B2A">
        <w:rPr>
          <w:sz w:val="28"/>
          <w:lang w:val="uk-UA"/>
        </w:rPr>
        <w:br/>
        <w:t>до рішення обласної ради</w:t>
      </w:r>
    </w:p>
    <w:p w:rsidR="00D12C88" w:rsidRPr="008F5A29" w:rsidRDefault="00D12C88" w:rsidP="002F0B2A">
      <w:pPr>
        <w:ind w:firstLine="567"/>
        <w:jc w:val="center"/>
        <w:rPr>
          <w:rFonts w:eastAsia="Tw Cen MT Condensed Extra Bold"/>
          <w:b/>
          <w:bCs/>
          <w:lang w:eastAsia="en-US"/>
        </w:rPr>
      </w:pPr>
    </w:p>
    <w:p w:rsidR="00183BC3" w:rsidRPr="008F5A29" w:rsidRDefault="00183BC3" w:rsidP="002F0B2A">
      <w:pPr>
        <w:ind w:firstLine="567"/>
        <w:jc w:val="center"/>
        <w:rPr>
          <w:rFonts w:eastAsia="Tw Cen MT Condensed Extra Bold"/>
          <w:b/>
          <w:bCs/>
          <w:lang w:eastAsia="en-US"/>
        </w:rPr>
      </w:pPr>
    </w:p>
    <w:p w:rsidR="00D12C88" w:rsidRPr="002F0B2A" w:rsidRDefault="00D12C88" w:rsidP="002F0B2A">
      <w:pPr>
        <w:ind w:firstLine="567"/>
        <w:jc w:val="center"/>
        <w:rPr>
          <w:rFonts w:eastAsia="Tw Cen MT Condensed Extra Bold"/>
          <w:b/>
          <w:bCs/>
          <w:sz w:val="28"/>
          <w:szCs w:val="28"/>
          <w:lang w:val="uk-UA" w:eastAsia="en-US"/>
        </w:rPr>
      </w:pPr>
      <w:r w:rsidRPr="002F0B2A">
        <w:rPr>
          <w:rFonts w:eastAsia="Tw Cen MT Condensed Extra Bold"/>
          <w:b/>
          <w:bCs/>
          <w:sz w:val="28"/>
          <w:szCs w:val="28"/>
          <w:lang w:val="uk-UA" w:eastAsia="en-US"/>
        </w:rPr>
        <w:t>ПАСПОРТ</w:t>
      </w:r>
    </w:p>
    <w:p w:rsidR="00D12C88" w:rsidRPr="002F0B2A" w:rsidRDefault="00D12C88" w:rsidP="002F0B2A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2F0B2A">
        <w:rPr>
          <w:rFonts w:eastAsia="Calibri"/>
          <w:b/>
          <w:bCs/>
          <w:sz w:val="28"/>
          <w:szCs w:val="28"/>
          <w:lang w:val="uk-UA"/>
        </w:rPr>
        <w:t>Дніпропетровської обласної комплексної програми (стратегії) екологічної безпеки та запобігання змінам клімату</w:t>
      </w:r>
    </w:p>
    <w:p w:rsidR="00D12C88" w:rsidRPr="002F0B2A" w:rsidRDefault="00D12C88" w:rsidP="002F0B2A">
      <w:pPr>
        <w:ind w:firstLine="567"/>
        <w:jc w:val="center"/>
        <w:rPr>
          <w:rFonts w:eastAsia="Tw Cen MT Condensed Extra Bold"/>
          <w:b/>
          <w:bCs/>
          <w:sz w:val="28"/>
          <w:szCs w:val="28"/>
          <w:lang w:val="uk-UA" w:eastAsia="en-US"/>
        </w:rPr>
      </w:pPr>
      <w:r w:rsidRPr="002F0B2A">
        <w:rPr>
          <w:rFonts w:eastAsia="Tw Cen MT Condensed Extra Bold"/>
          <w:b/>
          <w:bCs/>
          <w:sz w:val="28"/>
          <w:szCs w:val="28"/>
          <w:lang w:val="uk-UA" w:eastAsia="en-US"/>
        </w:rPr>
        <w:t>на 2016 – 2025 роки</w:t>
      </w:r>
    </w:p>
    <w:p w:rsidR="00D12C88" w:rsidRPr="002F0B2A" w:rsidRDefault="00D12C88" w:rsidP="002F0B2A">
      <w:pPr>
        <w:ind w:firstLine="567"/>
        <w:rPr>
          <w:rFonts w:eastAsia="Tw Cen MT Condensed Extra Bold"/>
          <w:b/>
          <w:bCs/>
          <w:sz w:val="28"/>
          <w:szCs w:val="28"/>
          <w:lang w:val="uk-UA" w:eastAsia="en-US"/>
        </w:rPr>
      </w:pPr>
    </w:p>
    <w:p w:rsidR="008759A6" w:rsidRPr="008759A6" w:rsidRDefault="00D12C88" w:rsidP="008759A6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Tw Cen MT Condensed Extra Bold"/>
          <w:sz w:val="28"/>
          <w:szCs w:val="28"/>
          <w:lang w:val="uk-UA" w:eastAsia="en-US"/>
        </w:rPr>
      </w:pPr>
      <w:r w:rsidRPr="008759A6">
        <w:rPr>
          <w:rFonts w:eastAsia="Tw Cen MT Condensed Extra Bold"/>
          <w:sz w:val="28"/>
          <w:szCs w:val="28"/>
          <w:lang w:val="uk-UA" w:eastAsia="en-US"/>
        </w:rPr>
        <w:t xml:space="preserve"> Назва: </w:t>
      </w:r>
      <w:r w:rsidR="008759A6" w:rsidRPr="008759A6">
        <w:rPr>
          <w:rFonts w:eastAsia="Tw Cen MT Condensed Extra Bold"/>
          <w:sz w:val="28"/>
          <w:szCs w:val="28"/>
          <w:lang w:val="uk-UA" w:eastAsia="en-US"/>
        </w:rPr>
        <w:t>Дніпропетровська обласна комплексна програма (стратегія) екологічної безпеки та запобігання змінам клімату на 2016 – 2025 роки</w:t>
      </w:r>
      <w:r w:rsidR="008759A6" w:rsidRPr="008759A6">
        <w:rPr>
          <w:rFonts w:eastAsia="Tw Cen MT Condensed Extra Bold"/>
          <w:bCs/>
          <w:sz w:val="28"/>
          <w:szCs w:val="28"/>
          <w:lang w:val="uk-UA" w:eastAsia="en-US"/>
        </w:rPr>
        <w:t>.</w:t>
      </w:r>
    </w:p>
    <w:p w:rsidR="00D12C88" w:rsidRPr="008759A6" w:rsidRDefault="00D12C88" w:rsidP="002F0B2A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759A6">
        <w:rPr>
          <w:rFonts w:eastAsia="Calibri"/>
          <w:sz w:val="28"/>
          <w:szCs w:val="28"/>
          <w:lang w:val="uk-UA" w:eastAsia="en-US"/>
        </w:rPr>
        <w:t xml:space="preserve"> Підстава для розроблення: закони України „Про охорону навколишнього природного середовища”, </w:t>
      </w:r>
      <w:r w:rsidRPr="008759A6">
        <w:rPr>
          <w:rFonts w:eastAsia="Calibri"/>
          <w:color w:val="000000"/>
          <w:sz w:val="28"/>
          <w:szCs w:val="28"/>
          <w:lang w:val="uk-UA" w:eastAsia="en-US"/>
        </w:rPr>
        <w:t>„</w:t>
      </w:r>
      <w:r w:rsidRPr="008759A6">
        <w:rPr>
          <w:rFonts w:eastAsia="Calibri"/>
          <w:sz w:val="28"/>
          <w:szCs w:val="28"/>
          <w:lang w:val="uk-UA" w:eastAsia="en-US"/>
        </w:rPr>
        <w:t>Про Основні засади (стратегію) державної екологічної політики України на період до 2030 року”.</w:t>
      </w:r>
    </w:p>
    <w:p w:rsidR="00D12C88" w:rsidRPr="002F0B2A" w:rsidRDefault="00D12C88" w:rsidP="002F0B2A">
      <w:pPr>
        <w:numPr>
          <w:ilvl w:val="0"/>
          <w:numId w:val="1"/>
        </w:numPr>
        <w:ind w:left="0" w:firstLine="567"/>
        <w:jc w:val="both"/>
        <w:rPr>
          <w:rFonts w:eastAsia="Tw Cen MT Condensed Extra Bold"/>
          <w:sz w:val="28"/>
          <w:szCs w:val="28"/>
          <w:lang w:val="uk-UA" w:eastAsia="en-US"/>
        </w:rPr>
      </w:pPr>
      <w:r w:rsidRPr="002F0B2A">
        <w:rPr>
          <w:rFonts w:eastAsia="Tw Cen MT Condensed Extra Bold"/>
          <w:sz w:val="28"/>
          <w:szCs w:val="28"/>
          <w:lang w:val="uk-UA" w:eastAsia="en-US"/>
        </w:rPr>
        <w:t xml:space="preserve"> Регіональний замовник Програми: департамент екології та природних ресурсів обл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Pr="002F0B2A">
        <w:rPr>
          <w:rFonts w:eastAsia="Tw Cen MT Condensed Extra Bold"/>
          <w:sz w:val="28"/>
          <w:szCs w:val="28"/>
          <w:lang w:val="uk-UA" w:eastAsia="en-US"/>
        </w:rPr>
        <w:t>адміністрації.</w:t>
      </w:r>
    </w:p>
    <w:p w:rsidR="00D12C88" w:rsidRPr="002F0B2A" w:rsidRDefault="00D12C88" w:rsidP="002F0B2A">
      <w:pPr>
        <w:numPr>
          <w:ilvl w:val="0"/>
          <w:numId w:val="1"/>
        </w:numPr>
        <w:ind w:left="0" w:firstLine="567"/>
        <w:jc w:val="both"/>
        <w:rPr>
          <w:rFonts w:eastAsia="Tw Cen MT Condensed Extra Bold"/>
          <w:color w:val="D9D9D9"/>
          <w:sz w:val="28"/>
          <w:szCs w:val="28"/>
          <w:lang w:val="uk-UA" w:eastAsia="en-US"/>
        </w:rPr>
      </w:pPr>
      <w:r w:rsidRPr="002F0B2A">
        <w:rPr>
          <w:rFonts w:eastAsia="Tw Cen MT Condensed Extra Bold"/>
          <w:sz w:val="28"/>
          <w:szCs w:val="28"/>
          <w:lang w:val="uk-UA" w:eastAsia="en-US"/>
        </w:rPr>
        <w:t xml:space="preserve"> </w:t>
      </w:r>
      <w:proofErr w:type="spellStart"/>
      <w:r w:rsidRPr="002F0B2A">
        <w:rPr>
          <w:rFonts w:eastAsia="Tw Cen MT Condensed Extra Bold"/>
          <w:sz w:val="28"/>
          <w:szCs w:val="28"/>
          <w:lang w:val="uk-UA" w:eastAsia="en-US"/>
        </w:rPr>
        <w:t>Співзамовники</w:t>
      </w:r>
      <w:proofErr w:type="spellEnd"/>
      <w:r w:rsidRPr="002F0B2A">
        <w:rPr>
          <w:rFonts w:eastAsia="Tw Cen MT Condensed Extra Bold"/>
          <w:sz w:val="28"/>
          <w:szCs w:val="28"/>
          <w:lang w:val="uk-UA" w:eastAsia="en-US"/>
        </w:rPr>
        <w:t xml:space="preserve"> Програми: департамент житлово-комунального господарства та будівництва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Pr="002F0B2A">
        <w:rPr>
          <w:rFonts w:eastAsia="Calibri"/>
          <w:sz w:val="28"/>
          <w:szCs w:val="28"/>
          <w:lang w:val="uk-UA" w:eastAsia="en-US"/>
        </w:rPr>
        <w:t xml:space="preserve">, департамент економічного розвитку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Pr="002F0B2A">
        <w:rPr>
          <w:rFonts w:eastAsia="Calibri"/>
          <w:sz w:val="28"/>
          <w:szCs w:val="28"/>
          <w:lang w:val="uk-UA" w:eastAsia="en-US"/>
        </w:rPr>
        <w:t>,</w:t>
      </w:r>
      <w:r w:rsidRPr="002F0B2A">
        <w:rPr>
          <w:rFonts w:eastAsia="Tw Cen MT Condensed Extra Bold"/>
          <w:sz w:val="28"/>
          <w:szCs w:val="28"/>
          <w:lang w:val="uk-UA" w:eastAsia="en-US"/>
        </w:rPr>
        <w:t xml:space="preserve"> управління паливно-енергетичного комплексу та енергозбереження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AD5F2B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AD5F2B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Pr="002F0B2A">
        <w:rPr>
          <w:rFonts w:eastAsia="Tw Cen MT Condensed Extra Bold"/>
          <w:sz w:val="28"/>
          <w:szCs w:val="28"/>
          <w:lang w:val="uk-UA" w:eastAsia="en-US"/>
        </w:rPr>
        <w:t>.</w:t>
      </w:r>
    </w:p>
    <w:p w:rsidR="00D80893" w:rsidRDefault="00D12C88" w:rsidP="00D8089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eastAsia="Tw Cen MT Condensed Extra Bold"/>
          <w:color w:val="FF0000"/>
          <w:sz w:val="28"/>
          <w:szCs w:val="28"/>
          <w:lang w:val="uk-UA" w:eastAsia="en-US"/>
        </w:rPr>
      </w:pPr>
      <w:r w:rsidRPr="002F0B2A">
        <w:rPr>
          <w:rFonts w:eastAsia="Tw Cen MT Condensed Extra Bold"/>
          <w:sz w:val="28"/>
          <w:szCs w:val="28"/>
          <w:lang w:val="uk-UA" w:eastAsia="en-US"/>
        </w:rPr>
        <w:t xml:space="preserve"> Відповідальні за виконання:</w:t>
      </w:r>
      <w:r w:rsidR="00D80893" w:rsidRPr="00D80893">
        <w:rPr>
          <w:rFonts w:eastAsia="Tw Cen MT Condensed Extra Bold"/>
          <w:spacing w:val="-6"/>
          <w:sz w:val="28"/>
          <w:szCs w:val="28"/>
          <w:lang w:val="uk-UA" w:eastAsia="en-US"/>
        </w:rPr>
        <w:t xml:space="preserve">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департамент екології та природних ресурсів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, департамент житлово-комунального господарства та будівництва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, департамент економічного розвитку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, управління паливно-енергетичного комплексу та енергозбереження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6277A4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6277A4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, райдержадміністрації, за згодою: Регіональний офіс водних ресурсів у Дніпропетровській області, Державне підприємство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Дніпровське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лісове господарство”, Державне підприємство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Новомосковське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лісове господарство”, Державне підприємство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Петриківське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лісове господарство”, Державне підприємство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Новомосковський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військовий лісгосп”, Державна екологічна інспекція Придніпровського округу, Управління Державного агентства меліорації та рибного господарства у Дніпропетровській області, територіальні органи центральних органів виконавчої влади, органи місцевого самоврядування, міжнародні фонди, територіальні громади, громадські організації, представники бізнесу, комунальні підприємства: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Дніпропетровський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обласний центр поводження з відходами” Дніпропетровської обласної ради”,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Департамент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екобезпеки, природокористування та енергозбереження Дніпропетровської обласної ради”,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Дніпроінвестпроект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 Дніпропетровської обласної ради”,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Центр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екологічного моніторингу” Дніпропетровської обласної ради”,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Профдезинфекція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Дніпроводоканал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 Дніпровської міської ради”,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Кривбасводоканал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”,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КАМ’ЯНСЬКИЙ ВОДОКАНАЛ</w:t>
      </w:r>
      <w:r w:rsidR="00256550">
        <w:rPr>
          <w:rFonts w:eastAsia="Tw Cen MT Condensed Extra Bold"/>
          <w:sz w:val="28"/>
          <w:szCs w:val="28"/>
          <w:lang w:val="uk-UA" w:eastAsia="en-US"/>
        </w:rPr>
        <w:t xml:space="preserve">” ДОР”, </w:t>
      </w:r>
      <w:r w:rsidR="00256550">
        <w:rPr>
          <w:rFonts w:eastAsia="Tw Cen MT Condensed Extra Bold"/>
          <w:sz w:val="28"/>
          <w:szCs w:val="28"/>
          <w:lang w:val="uk-UA" w:eastAsia="en-US"/>
        </w:rPr>
        <w:lastRenderedPageBreak/>
        <w:t>ВІДОКРЕМЛЕНИЙ ПІДРОЗДІЛ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КРИВОРІЗЬКА ТЕПЛОВА ЕЛЕКТРИЧНА СТАНЦІЯ” АКЦІОНЕРНОГО ТОВАРИСТВА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ДТЕК ДНІПРОЕНЕРГО”, ВІДОКРЕМЛЕНИЙ ПІДРОЗДІЛ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ПРИДНІПРОВСЬКА ТЕПЛОВА ЕЛЕКТРИЧНА СТАНЦІЯ” АКЦІОНЕРНОГО ТОВАРИСТВА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ДТЕК ДНІПРОЕНЕРГО”, </w:t>
      </w:r>
      <w:proofErr w:type="spellStart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ПрАТ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ДМЗ”, ПАТ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Дніпровський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меткомбінат”,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ПАТ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АрселорМіттал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Кривий Ріг”,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ДКХЗ”,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ЮЖКОКС”,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ІНТЕРПАЙП НТЗ”, АТ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Нікопольський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завод феросплавів”,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       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ПІВДГЗК”,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ПІВНГЗК”,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ІНГЗК”,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ЦГЗК”,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     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ПОКРОВСЬКИЙ ГЗК”, АТ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Марганецький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ГЗК”, </w:t>
      </w:r>
      <w:proofErr w:type="spellStart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ПрАТ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СУХА БАЛКА”, ПРАТ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ДТЕК ПАВЛОГРАДВУГІЛЛЯ”, АТ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ДНІПРОАЗОТ”,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ТОВ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МЗ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Дніпросталь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”, </w:t>
      </w:r>
      <w:proofErr w:type="spellStart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ПрАТ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Кривий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 Ріг Цемент”, </w:t>
      </w:r>
      <w:r w:rsidR="001307E7">
        <w:rPr>
          <w:rFonts w:eastAsia="Tw Cen MT Condensed Extra Bold"/>
          <w:sz w:val="28"/>
          <w:szCs w:val="28"/>
          <w:lang w:val="uk-UA" w:eastAsia="en-US"/>
        </w:rPr>
        <w:t xml:space="preserve">                                 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ПАТ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Кривбасзалізрудком</w:t>
      </w:r>
      <w:proofErr w:type="spellEnd"/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”, філія 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ВГМК” АТ </w:t>
      </w:r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 xml:space="preserve">ОГХК”, </w:t>
      </w:r>
      <w:r w:rsidR="00D80893" w:rsidRPr="00D80893">
        <w:rPr>
          <w:rFonts w:eastAsia="Tw Cen MT Condensed Extra Bold"/>
          <w:bCs/>
          <w:sz w:val="28"/>
          <w:szCs w:val="28"/>
          <w:lang w:val="uk-UA" w:eastAsia="en-US"/>
        </w:rPr>
        <w:t xml:space="preserve">КЗ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bCs/>
          <w:sz w:val="28"/>
          <w:szCs w:val="28"/>
          <w:lang w:val="uk-UA" w:eastAsia="en-US"/>
        </w:rPr>
        <w:t>Спеціальна</w:t>
      </w:r>
      <w:proofErr w:type="spellEnd"/>
      <w:r w:rsidR="00D80893" w:rsidRPr="00D80893">
        <w:rPr>
          <w:rFonts w:eastAsia="Tw Cen MT Condensed Extra Bold"/>
          <w:bCs/>
          <w:sz w:val="28"/>
          <w:szCs w:val="28"/>
          <w:lang w:val="uk-UA" w:eastAsia="en-US"/>
        </w:rPr>
        <w:t xml:space="preserve"> адміністрація регіонального ландшафтного парку </w:t>
      </w:r>
      <w:proofErr w:type="spellStart"/>
      <w:r w:rsidR="002F4F2F" w:rsidRPr="002F4F2F">
        <w:rPr>
          <w:rFonts w:eastAsia="Tw Cen MT Condensed Extra Bold"/>
          <w:bCs/>
          <w:sz w:val="28"/>
          <w:szCs w:val="28"/>
          <w:lang w:val="uk-UA" w:eastAsia="en-US"/>
        </w:rPr>
        <w:t>„</w:t>
      </w:r>
      <w:r w:rsidR="00D80893" w:rsidRPr="00D80893">
        <w:rPr>
          <w:rFonts w:eastAsia="Tw Cen MT Condensed Extra Bold"/>
          <w:bCs/>
          <w:sz w:val="28"/>
          <w:szCs w:val="28"/>
          <w:lang w:val="uk-UA" w:eastAsia="en-US"/>
        </w:rPr>
        <w:t>Дніпрові</w:t>
      </w:r>
      <w:proofErr w:type="spellEnd"/>
      <w:r w:rsidR="00D80893" w:rsidRPr="00D80893">
        <w:rPr>
          <w:rFonts w:eastAsia="Tw Cen MT Condensed Extra Bold"/>
          <w:bCs/>
          <w:sz w:val="28"/>
          <w:szCs w:val="28"/>
          <w:lang w:val="uk-UA" w:eastAsia="en-US"/>
        </w:rPr>
        <w:t xml:space="preserve"> Пороги” Дніпропетровської обласної ради”</w:t>
      </w:r>
      <w:r w:rsidR="00D80893" w:rsidRPr="00D80893">
        <w:rPr>
          <w:rFonts w:eastAsia="Tw Cen MT Condensed Extra Bold"/>
          <w:sz w:val="28"/>
          <w:szCs w:val="28"/>
          <w:lang w:val="uk-UA" w:eastAsia="en-US"/>
        </w:rPr>
        <w:t>.</w:t>
      </w:r>
    </w:p>
    <w:p w:rsidR="00A61A93" w:rsidRPr="00A61A93" w:rsidRDefault="00A61A93" w:rsidP="00A61A9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12C88" w:rsidRPr="00D80893">
        <w:rPr>
          <w:rFonts w:eastAsia="Calibri"/>
          <w:sz w:val="28"/>
          <w:szCs w:val="28"/>
          <w:lang w:val="uk-UA" w:eastAsia="en-US"/>
        </w:rPr>
        <w:t xml:space="preserve">Мета: </w:t>
      </w:r>
      <w:r w:rsidR="006F425C" w:rsidRPr="006F425C">
        <w:rPr>
          <w:rFonts w:eastAsia="Calibri"/>
          <w:sz w:val="28"/>
          <w:szCs w:val="28"/>
          <w:lang w:val="uk-UA" w:eastAsia="en-US"/>
        </w:rPr>
        <w:t>створення екологічно безпечних та комфортних умов для життя населення Дніпропетровської області шляхом зменшення антропогенного навантаження й відновлення довкілля за рахунок упровадження інноваційних технологій виробництва, зменшення викидів парникових газів та підвищення рівня екологічної культури і свідомості суспільства.</w:t>
      </w:r>
    </w:p>
    <w:p w:rsidR="00A61A93" w:rsidRDefault="00A61A93" w:rsidP="00A61A9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D12C88" w:rsidRPr="00A61A93">
        <w:rPr>
          <w:rFonts w:eastAsia="Tw Cen MT Condensed Extra Bold"/>
          <w:sz w:val="28"/>
          <w:szCs w:val="28"/>
          <w:lang w:val="uk-UA" w:eastAsia="en-US"/>
        </w:rPr>
        <w:t>Початок: 2016 рік, закінчення: 2025 рік.</w:t>
      </w:r>
    </w:p>
    <w:p w:rsidR="00A61A93" w:rsidRDefault="00A61A93" w:rsidP="00A61A9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D12C88" w:rsidRPr="00A61A93">
        <w:rPr>
          <w:rFonts w:eastAsia="Tw Cen MT Condensed Extra Bold"/>
          <w:sz w:val="28"/>
          <w:szCs w:val="28"/>
          <w:lang w:val="uk-UA" w:eastAsia="en-US"/>
        </w:rPr>
        <w:t xml:space="preserve">Етапи виконання: І етап – з 2016 до 2020 року, ІІ етап – з 2021 до </w:t>
      </w:r>
      <w:r w:rsidR="00D12C88" w:rsidRPr="00A61A93">
        <w:rPr>
          <w:rFonts w:eastAsia="Tw Cen MT Condensed Extra Bold"/>
          <w:sz w:val="28"/>
          <w:szCs w:val="28"/>
          <w:lang w:val="uk-UA" w:eastAsia="en-US"/>
        </w:rPr>
        <w:br/>
        <w:t>2025 року.</w:t>
      </w:r>
    </w:p>
    <w:p w:rsidR="002D3A1F" w:rsidRPr="00D6226C" w:rsidRDefault="00A61A93" w:rsidP="00A61A9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w Cen MT Condensed Extra Bold"/>
          <w:sz w:val="28"/>
          <w:szCs w:val="28"/>
          <w:lang w:val="uk-UA" w:eastAsia="en-US"/>
        </w:rPr>
        <w:t xml:space="preserve"> </w:t>
      </w:r>
      <w:r w:rsidR="00D12C88" w:rsidRPr="00A61A93">
        <w:rPr>
          <w:rFonts w:eastAsia="Tw Cen MT Condensed Extra Bold"/>
          <w:sz w:val="28"/>
          <w:szCs w:val="28"/>
          <w:lang w:val="uk-UA" w:eastAsia="en-US"/>
        </w:rPr>
        <w:t>Загальні обсяги фінансування:</w:t>
      </w:r>
    </w:p>
    <w:p w:rsidR="00D6226C" w:rsidRPr="00A61A93" w:rsidRDefault="00D6226C" w:rsidP="00D6226C">
      <w:pPr>
        <w:tabs>
          <w:tab w:val="left" w:pos="0"/>
        </w:tabs>
        <w:ind w:left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100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6"/>
        <w:gridCol w:w="1275"/>
        <w:gridCol w:w="1276"/>
        <w:gridCol w:w="1209"/>
        <w:gridCol w:w="1201"/>
        <w:gridCol w:w="1389"/>
      </w:tblGrid>
      <w:tr w:rsidR="00D12C88" w:rsidRPr="001247A2" w:rsidTr="00966B4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 xml:space="preserve">Джерела </w:t>
            </w:r>
            <w:proofErr w:type="spellStart"/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фінансу-вання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tabs>
                <w:tab w:val="left" w:pos="709"/>
              </w:tabs>
              <w:ind w:left="-108" w:right="-108" w:firstLine="142"/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Обсяг фінансування, усього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tabs>
                <w:tab w:val="left" w:pos="709"/>
              </w:tabs>
              <w:ind w:firstLine="709"/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За роками виконання, тис. грн</w:t>
            </w:r>
          </w:p>
        </w:tc>
      </w:tr>
      <w:tr w:rsidR="00D12C88" w:rsidRPr="001247A2" w:rsidTr="003A679F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tabs>
                <w:tab w:val="left" w:pos="709"/>
              </w:tabs>
              <w:ind w:firstLine="709"/>
              <w:jc w:val="center"/>
              <w:rPr>
                <w:rFonts w:eastAsia="Tw Cen MT Condensed Extra Bold"/>
                <w:sz w:val="18"/>
                <w:szCs w:val="18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tabs>
                <w:tab w:val="left" w:pos="709"/>
              </w:tabs>
              <w:ind w:firstLine="709"/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ind w:firstLine="34"/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І етап</w:t>
            </w:r>
          </w:p>
          <w:p w:rsidR="00D12C88" w:rsidRPr="001247A2" w:rsidRDefault="00D12C88" w:rsidP="00966B45">
            <w:pPr>
              <w:widowControl w:val="0"/>
              <w:tabs>
                <w:tab w:val="left" w:pos="709"/>
              </w:tabs>
              <w:ind w:firstLine="34"/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 xml:space="preserve">(2016 – </w:t>
            </w: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jc w:val="center"/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z w:val="18"/>
                <w:szCs w:val="18"/>
                <w:lang w:val="uk-UA" w:eastAsia="en-US"/>
              </w:rPr>
              <w:t>2025</w:t>
            </w:r>
          </w:p>
        </w:tc>
      </w:tr>
      <w:tr w:rsidR="003A679F" w:rsidRPr="001247A2" w:rsidTr="003A67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1247A2" w:rsidRDefault="003A679F" w:rsidP="00966B45">
            <w:pPr>
              <w:rPr>
                <w:rFonts w:eastAsia="Calibri"/>
                <w:color w:val="000000"/>
                <w:sz w:val="18"/>
                <w:szCs w:val="20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1 758 380,000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307076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600276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480276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177076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167076</w:t>
            </w:r>
          </w:p>
        </w:tc>
      </w:tr>
      <w:tr w:rsidR="003A679F" w:rsidRPr="001247A2" w:rsidTr="003A67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F" w:rsidRPr="001247A2" w:rsidRDefault="003A679F" w:rsidP="00966B45">
            <w:pPr>
              <w:rPr>
                <w:rFonts w:eastAsia="Calibri"/>
                <w:color w:val="000000"/>
                <w:sz w:val="18"/>
                <w:szCs w:val="20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20"/>
                <w:lang w:val="uk-UA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6 110 272,210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1761248,21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875562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895065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855910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857929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864558</w:t>
            </w:r>
          </w:p>
        </w:tc>
      </w:tr>
      <w:tr w:rsidR="003A679F" w:rsidRPr="001247A2" w:rsidTr="003A67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1247A2" w:rsidRDefault="003A679F" w:rsidP="00966B45">
            <w:pPr>
              <w:rPr>
                <w:rFonts w:eastAsia="Calibri"/>
                <w:color w:val="000000"/>
                <w:sz w:val="18"/>
                <w:szCs w:val="20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20"/>
                <w:lang w:val="uk-UA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1 123 766,520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94242,52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187000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223224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187000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187000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245300</w:t>
            </w:r>
          </w:p>
        </w:tc>
      </w:tr>
      <w:tr w:rsidR="003A679F" w:rsidRPr="001247A2" w:rsidTr="003A67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F" w:rsidRPr="001247A2" w:rsidRDefault="003A679F" w:rsidP="00966B45">
            <w:pPr>
              <w:rPr>
                <w:rFonts w:eastAsia="Calibri"/>
                <w:color w:val="000000"/>
                <w:sz w:val="18"/>
                <w:szCs w:val="20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2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31 765 371,700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17819277,5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3807271,7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2098068,5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2062755,4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2976145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2D1F">
              <w:rPr>
                <w:b/>
                <w:bCs/>
                <w:sz w:val="16"/>
                <w:szCs w:val="16"/>
              </w:rPr>
              <w:t>3001853,6</w:t>
            </w:r>
          </w:p>
        </w:tc>
      </w:tr>
      <w:tr w:rsidR="003A679F" w:rsidRPr="001247A2" w:rsidTr="003A67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F" w:rsidRPr="001247A2" w:rsidRDefault="003A679F" w:rsidP="00966B45">
            <w:pPr>
              <w:rPr>
                <w:rFonts w:eastAsia="Calibri"/>
                <w:color w:val="000000"/>
                <w:sz w:val="18"/>
                <w:szCs w:val="20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40 757 790,430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19 701 368,230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5 176 909,700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3 816 633,500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3 585 941,400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4 198 150,000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9F" w:rsidRPr="00922D1F" w:rsidRDefault="003A679F" w:rsidP="00072B38">
            <w:pPr>
              <w:jc w:val="center"/>
              <w:rPr>
                <w:b/>
                <w:sz w:val="16"/>
                <w:szCs w:val="16"/>
              </w:rPr>
            </w:pPr>
            <w:r w:rsidRPr="00922D1F">
              <w:rPr>
                <w:b/>
                <w:sz w:val="16"/>
                <w:szCs w:val="16"/>
              </w:rPr>
              <w:t>4 278 787,600</w:t>
            </w:r>
          </w:p>
        </w:tc>
      </w:tr>
    </w:tbl>
    <w:p w:rsidR="00D6226C" w:rsidRDefault="00D6226C" w:rsidP="00D6226C">
      <w:pPr>
        <w:tabs>
          <w:tab w:val="left" w:pos="851"/>
        </w:tabs>
        <w:jc w:val="both"/>
        <w:rPr>
          <w:rFonts w:eastAsia="Tw Cen MT Condensed Extra Bold"/>
          <w:sz w:val="28"/>
          <w:szCs w:val="28"/>
          <w:lang w:val="uk-UA" w:eastAsia="en-US"/>
        </w:rPr>
      </w:pPr>
    </w:p>
    <w:p w:rsidR="00D12C88" w:rsidRDefault="00D12C88" w:rsidP="00D6226C">
      <w:pPr>
        <w:pStyle w:val="a7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eastAsia="Tw Cen MT Condensed Extra Bold"/>
          <w:sz w:val="28"/>
          <w:szCs w:val="28"/>
          <w:lang w:val="uk-UA" w:eastAsia="en-US"/>
        </w:rPr>
      </w:pPr>
      <w:r w:rsidRPr="00D6226C">
        <w:rPr>
          <w:rFonts w:eastAsia="Tw Cen MT Condensed Extra Bold"/>
          <w:sz w:val="28"/>
          <w:szCs w:val="28"/>
          <w:lang w:val="uk-UA" w:eastAsia="en-US"/>
        </w:rPr>
        <w:t>Очікувані кінцеві результати виконання Програми:</w:t>
      </w:r>
    </w:p>
    <w:p w:rsidR="00D6226C" w:rsidRPr="00D6226C" w:rsidRDefault="00D6226C" w:rsidP="00D6226C">
      <w:pPr>
        <w:pStyle w:val="a7"/>
        <w:tabs>
          <w:tab w:val="left" w:pos="851"/>
        </w:tabs>
        <w:jc w:val="both"/>
        <w:rPr>
          <w:rFonts w:eastAsia="Tw Cen MT Condensed Extra Bold"/>
          <w:sz w:val="28"/>
          <w:szCs w:val="28"/>
          <w:lang w:val="uk-UA"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2"/>
        <w:gridCol w:w="993"/>
        <w:gridCol w:w="851"/>
        <w:gridCol w:w="852"/>
        <w:gridCol w:w="848"/>
        <w:gridCol w:w="832"/>
        <w:gridCol w:w="840"/>
        <w:gridCol w:w="738"/>
        <w:gridCol w:w="850"/>
      </w:tblGrid>
      <w:tr w:rsidR="00D12C88" w:rsidRPr="001247A2" w:rsidTr="00966B45">
        <w:trPr>
          <w:tblHeader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88" w:rsidRPr="001247A2" w:rsidRDefault="00D12C88" w:rsidP="00966B45">
            <w:pPr>
              <w:widowControl w:val="0"/>
              <w:tabs>
                <w:tab w:val="left" w:pos="481"/>
              </w:tabs>
              <w:spacing w:line="216" w:lineRule="auto"/>
              <w:ind w:left="-119" w:right="-97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Напрями показників П</w:t>
            </w: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рограми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Найменування показників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Одиниця виміру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ind w:right="-73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Усього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Значення показників</w:t>
            </w:r>
          </w:p>
        </w:tc>
      </w:tr>
      <w:tr w:rsidR="00D12C88" w:rsidRPr="001247A2" w:rsidTr="00966B45">
        <w:trPr>
          <w:trHeight w:val="483"/>
          <w:tblHeader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ind w:left="-119"/>
              <w:jc w:val="both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ind w:firstLine="34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І етап</w:t>
            </w:r>
          </w:p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ind w:firstLine="34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(2016 – 2020)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2021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88" w:rsidRPr="001247A2" w:rsidRDefault="00D12C88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b/>
                <w:bCs/>
                <w:spacing w:val="-6"/>
                <w:sz w:val="18"/>
                <w:szCs w:val="18"/>
                <w:lang w:val="uk-UA" w:eastAsia="en-US"/>
              </w:rPr>
              <w:t>2025</w:t>
            </w:r>
          </w:p>
        </w:tc>
      </w:tr>
      <w:tr w:rsidR="00C51F97" w:rsidRPr="001247A2" w:rsidTr="00966B4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1026"/>
              </w:tabs>
              <w:spacing w:line="216" w:lineRule="auto"/>
              <w:ind w:left="-392" w:right="-391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Економічні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Залучення позабюджетних коштів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млн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1247A2">
              <w:rPr>
                <w:rFonts w:eastAsia="Calibri"/>
                <w:color w:val="000000"/>
                <w:sz w:val="16"/>
                <w:szCs w:val="16"/>
                <w:lang w:val="uk-UA"/>
              </w:rPr>
              <w:t>31765,4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1247A2">
              <w:rPr>
                <w:rFonts w:eastAsia="Calibri"/>
                <w:color w:val="000000"/>
                <w:sz w:val="16"/>
                <w:szCs w:val="16"/>
                <w:lang w:val="uk-UA"/>
              </w:rPr>
              <w:t>17819,3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18"/>
                <w:lang w:val="uk-UA"/>
              </w:rPr>
              <w:t>2062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18"/>
                <w:lang w:val="uk-UA"/>
              </w:rPr>
              <w:t>2098,1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color w:val="000000"/>
                <w:sz w:val="18"/>
                <w:szCs w:val="18"/>
                <w:lang w:val="uk-UA"/>
              </w:rPr>
              <w:t>2062,8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1247A2">
              <w:rPr>
                <w:rFonts w:eastAsia="Calibri"/>
                <w:color w:val="000000"/>
                <w:sz w:val="16"/>
                <w:szCs w:val="16"/>
                <w:lang w:val="uk-UA"/>
              </w:rPr>
              <w:t>2976,1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072B38">
            <w:pPr>
              <w:jc w:val="center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1247A2">
              <w:rPr>
                <w:rFonts w:eastAsia="Calibri"/>
                <w:color w:val="000000"/>
                <w:sz w:val="16"/>
                <w:szCs w:val="16"/>
                <w:lang w:val="uk-UA"/>
              </w:rPr>
              <w:t>3001,8</w:t>
            </w:r>
          </w:p>
        </w:tc>
      </w:tr>
      <w:tr w:rsidR="00C51F97" w:rsidRPr="001247A2" w:rsidTr="00966B45">
        <w:trPr>
          <w:trHeight w:val="104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425"/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Соціальні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Кількість в</w:t>
            </w:r>
            <w:r w:rsidR="00A0516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 xml:space="preserve">икидів забруднюючих речовин на </w:t>
            </w:r>
            <w:bookmarkStart w:id="0" w:name="_GoBack"/>
            <w:bookmarkEnd w:id="0"/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1 км² території області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1247A2" w:rsidRDefault="00C51F97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 xml:space="preserve">тонн/1 </w:t>
            </w:r>
            <w:proofErr w:type="spellStart"/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км²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20,625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21,09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8"/>
                <w:lang w:val="uk-UA"/>
              </w:rPr>
            </w:pPr>
            <w:r w:rsidRPr="000324A1">
              <w:rPr>
                <w:rFonts w:eastAsia="Calibri"/>
                <w:spacing w:val="-6"/>
                <w:sz w:val="16"/>
                <w:szCs w:val="18"/>
                <w:lang w:val="uk-UA"/>
              </w:rPr>
              <w:t>21,08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21,07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21,05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97" w:rsidRPr="000324A1" w:rsidRDefault="00C51F97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</w:pPr>
            <w:r w:rsidRPr="000324A1">
              <w:rPr>
                <w:rFonts w:eastAsia="Tw Cen MT Condensed Extra Bold"/>
                <w:spacing w:val="-6"/>
                <w:sz w:val="16"/>
                <w:szCs w:val="18"/>
                <w:lang w:val="uk-UA" w:eastAsia="en-US"/>
              </w:rPr>
              <w:t>20,625</w:t>
            </w:r>
          </w:p>
        </w:tc>
      </w:tr>
      <w:tr w:rsidR="00163190" w:rsidRPr="001247A2" w:rsidTr="00966B45">
        <w:trPr>
          <w:trHeight w:val="76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8E45AE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Кількість населених пунктів</w:t>
            </w:r>
            <w:r w:rsidR="0036134F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,</w:t>
            </w: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 xml:space="preserve"> захищених від шкідливої дії вод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7</w:t>
            </w:r>
          </w:p>
        </w:tc>
      </w:tr>
      <w:tr w:rsidR="00163190" w:rsidRPr="001247A2" w:rsidTr="00966B4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Кількість населених пунктів, забезпечених централізованим водопостачанням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1247A2" w:rsidRDefault="00163190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90" w:rsidRPr="00262B1E" w:rsidRDefault="00163190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</w:pPr>
            <w:r w:rsidRPr="00262B1E">
              <w:rPr>
                <w:rFonts w:eastAsia="Tw Cen MT Condensed Extra Bold"/>
                <w:spacing w:val="-6"/>
                <w:sz w:val="16"/>
                <w:szCs w:val="16"/>
                <w:lang w:val="uk-UA" w:eastAsia="en-US"/>
              </w:rPr>
              <w:t>12</w:t>
            </w:r>
          </w:p>
        </w:tc>
      </w:tr>
      <w:tr w:rsidR="002564FB" w:rsidRPr="001247A2" w:rsidTr="00966B45">
        <w:trPr>
          <w:trHeight w:val="9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tabs>
                <w:tab w:val="left" w:pos="885"/>
              </w:tabs>
              <w:spacing w:line="216" w:lineRule="auto"/>
              <w:ind w:left="-108"/>
              <w:jc w:val="center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Екологічні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 xml:space="preserve">Зменшення обсягів викидів забруднюючих речовин в атмосферне повітря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spacing w:line="240" w:lineRule="exact"/>
              <w:jc w:val="center"/>
              <w:rPr>
                <w:rFonts w:eastAsia="Calibri"/>
                <w:spacing w:val="-6"/>
                <w:sz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lang w:val="uk-UA"/>
              </w:rPr>
              <w:t>тис. тонн/рік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282,15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191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40" w:lineRule="exact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25,15</w:t>
            </w:r>
          </w:p>
        </w:tc>
      </w:tr>
      <w:tr w:rsidR="002564FB" w:rsidRPr="001247A2" w:rsidTr="00966B45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8E45AE">
            <w:pPr>
              <w:spacing w:line="216" w:lineRule="auto"/>
              <w:rPr>
                <w:rFonts w:eastAsia="Calibri"/>
                <w:spacing w:val="-6"/>
                <w:sz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lang w:val="uk-UA"/>
              </w:rPr>
              <w:t>Площа земель, на як</w:t>
            </w:r>
            <w:r>
              <w:rPr>
                <w:rFonts w:eastAsia="Calibri"/>
                <w:spacing w:val="-6"/>
                <w:sz w:val="18"/>
                <w:lang w:val="uk-UA"/>
              </w:rPr>
              <w:t>их</w:t>
            </w:r>
            <w:r w:rsidRPr="001247A2">
              <w:rPr>
                <w:rFonts w:eastAsia="Calibri"/>
                <w:spacing w:val="-6"/>
                <w:sz w:val="18"/>
                <w:lang w:val="uk-UA"/>
              </w:rPr>
              <w:t xml:space="preserve"> планується  провести реконструкцію інженерної інфраструктури зрошувальних систем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lang w:val="uk-UA"/>
              </w:rPr>
              <w:t>тис.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5,084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2,084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0,5</w:t>
            </w:r>
          </w:p>
        </w:tc>
      </w:tr>
      <w:tr w:rsidR="002564FB" w:rsidRPr="001247A2" w:rsidTr="00966B45">
        <w:trPr>
          <w:trHeight w:val="13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spacing w:line="216" w:lineRule="auto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Протяжність русел річок і водойм, на яких планується здійснити  розчищення та врегулювання гідрологічного режиму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1247A2" w:rsidRDefault="002564FB" w:rsidP="00966B45">
            <w:pPr>
              <w:widowControl w:val="0"/>
              <w:spacing w:line="216" w:lineRule="auto"/>
              <w:ind w:right="-108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кілометрів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215,311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95,311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B" w:rsidRPr="00262B1E" w:rsidRDefault="002564F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20</w:t>
            </w:r>
          </w:p>
        </w:tc>
      </w:tr>
      <w:tr w:rsidR="00EE6CFC" w:rsidRPr="001247A2" w:rsidTr="00966B45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>Зменшення кількості забруднюючих речовин, що скидаються зі зворотними водами у поверхневі водні об’єкти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тис.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173,0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9,2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11,2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14,0</w:t>
            </w:r>
          </w:p>
        </w:tc>
      </w:tr>
      <w:tr w:rsidR="00EE6CFC" w:rsidRPr="001247A2" w:rsidTr="00966B45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</w:pPr>
            <w:r w:rsidRPr="001247A2">
              <w:rPr>
                <w:rFonts w:eastAsia="Tw Cen MT Condensed Extra Bold"/>
                <w:spacing w:val="-6"/>
                <w:sz w:val="18"/>
                <w:szCs w:val="18"/>
                <w:lang w:val="uk-UA" w:eastAsia="en-US"/>
              </w:rPr>
              <w:t xml:space="preserve">Кількість створених (розширених) об’єктів природно-заповідного фонду місцевого значення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1247A2" w:rsidRDefault="00EE6CFC" w:rsidP="00966B45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CFC" w:rsidRPr="00262B1E" w:rsidRDefault="00EE6CFC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32</w:t>
            </w:r>
          </w:p>
        </w:tc>
      </w:tr>
      <w:tr w:rsidR="0093676B" w:rsidRPr="001247A2" w:rsidTr="00966B45">
        <w:trPr>
          <w:trHeight w:val="40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mbria Math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mbria Math"/>
                <w:spacing w:val="-6"/>
                <w:sz w:val="18"/>
                <w:szCs w:val="18"/>
                <w:lang w:val="uk-UA"/>
              </w:rPr>
              <w:t>Збільшення площі лісів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mbria Math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mbria Math"/>
                <w:spacing w:val="-6"/>
                <w:sz w:val="18"/>
                <w:szCs w:val="18"/>
                <w:lang w:val="uk-U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mbria Math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mbria Math"/>
                <w:spacing w:val="-6"/>
                <w:sz w:val="16"/>
                <w:szCs w:val="16"/>
                <w:lang w:val="uk-UA"/>
              </w:rPr>
              <w:t>3810,0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326,3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696,7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696,7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696,7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696,7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696,7</w:t>
            </w:r>
          </w:p>
        </w:tc>
      </w:tr>
      <w:tr w:rsidR="0093676B" w:rsidRPr="001247A2" w:rsidTr="00966B45">
        <w:trPr>
          <w:trHeight w:val="11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mbria Math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mbria Math"/>
                <w:spacing w:val="-6"/>
                <w:sz w:val="18"/>
                <w:szCs w:val="18"/>
                <w:lang w:val="uk-UA"/>
              </w:rPr>
              <w:t>Відновлення лісів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mbria Math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mbria Math"/>
                <w:spacing w:val="-6"/>
                <w:sz w:val="18"/>
                <w:szCs w:val="18"/>
                <w:lang w:val="uk-U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2427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321BC4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>
              <w:rPr>
                <w:rFonts w:eastAsia="Calibri"/>
                <w:spacing w:val="-6"/>
                <w:sz w:val="16"/>
                <w:szCs w:val="16"/>
                <w:lang w:val="uk-UA"/>
              </w:rPr>
              <w:t>214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442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442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442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445</w:t>
            </w:r>
          </w:p>
        </w:tc>
      </w:tr>
      <w:tr w:rsidR="0093676B" w:rsidRPr="001247A2" w:rsidTr="00966B45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spacing w:line="216" w:lineRule="auto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Охорона лісів від пожеж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тис.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104,09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34,0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262B1E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6"/>
                <w:szCs w:val="16"/>
                <w:lang w:val="uk-UA"/>
              </w:rPr>
            </w:pPr>
            <w:r w:rsidRPr="00262B1E">
              <w:rPr>
                <w:rFonts w:eastAsia="Calibri"/>
                <w:spacing w:val="-6"/>
                <w:sz w:val="16"/>
                <w:szCs w:val="16"/>
                <w:lang w:val="uk-UA"/>
              </w:rPr>
              <w:t>14</w:t>
            </w:r>
          </w:p>
        </w:tc>
      </w:tr>
      <w:tr w:rsidR="0093676B" w:rsidRPr="001247A2" w:rsidTr="00966B45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Tw Cen MT Condensed Extra Bold"/>
                <w:color w:val="FF0000"/>
                <w:spacing w:val="-6"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mbria Math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mbria Math"/>
                <w:spacing w:val="-6"/>
                <w:sz w:val="18"/>
                <w:szCs w:val="18"/>
                <w:lang w:val="uk-UA"/>
              </w:rPr>
              <w:t>Лісозахисні роботи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966B45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тис.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widowControl w:val="0"/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325,00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76B" w:rsidRPr="001247A2" w:rsidRDefault="0093676B" w:rsidP="00072B38">
            <w:pPr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247A2">
              <w:rPr>
                <w:rFonts w:eastAsia="Calibri"/>
                <w:spacing w:val="-6"/>
                <w:sz w:val="18"/>
                <w:szCs w:val="18"/>
                <w:lang w:val="uk-UA"/>
              </w:rPr>
              <w:t>43,3</w:t>
            </w:r>
          </w:p>
        </w:tc>
      </w:tr>
    </w:tbl>
    <w:p w:rsidR="00D12C88" w:rsidRPr="001247A2" w:rsidRDefault="00D12C88" w:rsidP="00D12C88">
      <w:pPr>
        <w:widowControl w:val="0"/>
        <w:tabs>
          <w:tab w:val="left" w:pos="1134"/>
        </w:tabs>
        <w:spacing w:line="320" w:lineRule="exact"/>
        <w:ind w:firstLine="709"/>
        <w:jc w:val="both"/>
        <w:rPr>
          <w:rFonts w:eastAsia="Calibri"/>
          <w:lang w:val="uk-UA" w:eastAsia="en-US"/>
        </w:rPr>
      </w:pPr>
    </w:p>
    <w:p w:rsidR="00D12C88" w:rsidRPr="00AA4DDD" w:rsidRDefault="00D12C88" w:rsidP="00AA4DDD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12C88">
        <w:rPr>
          <w:rFonts w:eastAsia="Calibri"/>
          <w:sz w:val="28"/>
          <w:szCs w:val="28"/>
          <w:lang w:val="uk-UA" w:eastAsia="en-US"/>
        </w:rPr>
        <w:t xml:space="preserve">11. </w:t>
      </w:r>
      <w:r w:rsidR="00AA4DDD" w:rsidRPr="00AA4DDD">
        <w:rPr>
          <w:rFonts w:eastAsia="Calibri"/>
          <w:sz w:val="28"/>
          <w:szCs w:val="28"/>
          <w:lang w:val="uk-UA" w:eastAsia="en-US"/>
        </w:rPr>
        <w:t xml:space="preserve">Координація та контроль за виконанням: координацію щодо реалізації Програми здійснює замовник – департамент екології та природних ресурсів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8666DC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8666DC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AA4DDD" w:rsidRPr="00AA4DDD">
        <w:rPr>
          <w:rFonts w:eastAsia="Calibri"/>
          <w:sz w:val="28"/>
          <w:szCs w:val="28"/>
          <w:lang w:val="uk-UA" w:eastAsia="en-US"/>
        </w:rPr>
        <w:t>, контроль – постійна комісія обласної ради з питань екології та енергозбереження. Замо</w:t>
      </w:r>
      <w:r w:rsidR="008666DC">
        <w:rPr>
          <w:rFonts w:eastAsia="Calibri"/>
          <w:sz w:val="28"/>
          <w:szCs w:val="28"/>
          <w:lang w:val="uk-UA" w:eastAsia="en-US"/>
        </w:rPr>
        <w:t>вник Програми щоквартально</w:t>
      </w:r>
      <w:r w:rsidR="00AA4DDD">
        <w:rPr>
          <w:rFonts w:eastAsia="Calibri"/>
          <w:sz w:val="28"/>
          <w:szCs w:val="28"/>
          <w:lang w:val="uk-UA" w:eastAsia="en-US"/>
        </w:rPr>
        <w:t xml:space="preserve"> до </w:t>
      </w:r>
      <w:r w:rsidR="00AA4DDD" w:rsidRPr="00AA4DDD">
        <w:rPr>
          <w:rFonts w:eastAsia="Calibri"/>
          <w:sz w:val="28"/>
          <w:szCs w:val="28"/>
          <w:lang w:val="uk-UA" w:eastAsia="en-US"/>
        </w:rPr>
        <w:t xml:space="preserve">15 числа другого місяця, наступного за звітним періодом, надає інформацію про хід її виконання до обласної ради та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обл</w:t>
      </w:r>
      <w:r w:rsidR="008666DC">
        <w:rPr>
          <w:rFonts w:eastAsia="Tw Cen MT Condensed Extra Bold"/>
          <w:sz w:val="28"/>
          <w:szCs w:val="28"/>
          <w:lang w:val="uk-UA" w:eastAsia="en-US"/>
        </w:rPr>
        <w:t xml:space="preserve">асної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держ</w:t>
      </w:r>
      <w:r w:rsidR="008666DC">
        <w:rPr>
          <w:rFonts w:eastAsia="Tw Cen MT Condensed Extra Bold"/>
          <w:sz w:val="28"/>
          <w:szCs w:val="28"/>
          <w:lang w:val="uk-UA" w:eastAsia="en-US"/>
        </w:rPr>
        <w:t xml:space="preserve">авної </w:t>
      </w:r>
      <w:r w:rsidR="008666DC" w:rsidRPr="002F0B2A">
        <w:rPr>
          <w:rFonts w:eastAsia="Tw Cen MT Condensed Extra Bold"/>
          <w:sz w:val="28"/>
          <w:szCs w:val="28"/>
          <w:lang w:val="uk-UA" w:eastAsia="en-US"/>
        </w:rPr>
        <w:t>адміністрації</w:t>
      </w:r>
      <w:r w:rsidR="00AA4DDD" w:rsidRPr="00AA4DDD">
        <w:rPr>
          <w:rFonts w:eastAsia="Calibri"/>
          <w:sz w:val="28"/>
          <w:szCs w:val="28"/>
          <w:lang w:val="uk-UA" w:eastAsia="en-US"/>
        </w:rPr>
        <w:t>.</w:t>
      </w:r>
    </w:p>
    <w:p w:rsidR="00D12C88" w:rsidRDefault="00D12C88" w:rsidP="00D12C88">
      <w:pPr>
        <w:widowControl w:val="0"/>
        <w:rPr>
          <w:sz w:val="28"/>
          <w:szCs w:val="28"/>
          <w:lang w:val="uk-UA"/>
        </w:rPr>
      </w:pPr>
    </w:p>
    <w:p w:rsidR="00AA4DDD" w:rsidRPr="00D12C88" w:rsidRDefault="00AA4DDD" w:rsidP="00D12C88">
      <w:pPr>
        <w:widowControl w:val="0"/>
        <w:rPr>
          <w:sz w:val="28"/>
          <w:szCs w:val="28"/>
          <w:lang w:val="uk-UA"/>
        </w:rPr>
      </w:pPr>
    </w:p>
    <w:p w:rsidR="00D12C88" w:rsidRPr="00D12C88" w:rsidRDefault="00D12C88" w:rsidP="00D12C88">
      <w:pPr>
        <w:rPr>
          <w:b/>
          <w:sz w:val="28"/>
          <w:lang w:val="uk-UA"/>
        </w:rPr>
      </w:pPr>
      <w:r w:rsidRPr="00D12C88">
        <w:rPr>
          <w:b/>
          <w:sz w:val="28"/>
          <w:lang w:val="uk-UA"/>
        </w:rPr>
        <w:t xml:space="preserve">Заступник голови </w:t>
      </w:r>
    </w:p>
    <w:p w:rsidR="00D12C88" w:rsidRPr="00D12C88" w:rsidRDefault="008666DC" w:rsidP="00D12C8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обласної ради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І.</w:t>
      </w:r>
      <w:r w:rsidR="00D12C88" w:rsidRPr="00D12C88">
        <w:rPr>
          <w:b/>
          <w:sz w:val="28"/>
          <w:lang w:val="uk-UA"/>
        </w:rPr>
        <w:t xml:space="preserve"> КАШИРІН</w:t>
      </w:r>
    </w:p>
    <w:p w:rsidR="00E13CD1" w:rsidRPr="00D12C88" w:rsidRDefault="00E13CD1">
      <w:pPr>
        <w:rPr>
          <w:lang w:val="uk-UA"/>
        </w:rPr>
      </w:pPr>
    </w:p>
    <w:sectPr w:rsidR="00E13CD1" w:rsidRPr="00D12C88" w:rsidSect="00183BC3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FF" w:rsidRDefault="00E24EFF" w:rsidP="00EF73D7">
      <w:r>
        <w:separator/>
      </w:r>
    </w:p>
  </w:endnote>
  <w:endnote w:type="continuationSeparator" w:id="0">
    <w:p w:rsidR="00E24EFF" w:rsidRDefault="00E24EFF" w:rsidP="00EF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FF" w:rsidRDefault="00E24EFF" w:rsidP="00EF73D7">
      <w:r>
        <w:separator/>
      </w:r>
    </w:p>
  </w:footnote>
  <w:footnote w:type="continuationSeparator" w:id="0">
    <w:p w:rsidR="00E24EFF" w:rsidRDefault="00E24EFF" w:rsidP="00EF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73559"/>
      <w:docPartObj>
        <w:docPartGallery w:val="Page Numbers (Top of Page)"/>
        <w:docPartUnique/>
      </w:docPartObj>
    </w:sdtPr>
    <w:sdtEndPr/>
    <w:sdtContent>
      <w:p w:rsidR="00EF73D7" w:rsidRDefault="00EF7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850"/>
    <w:multiLevelType w:val="hybridMultilevel"/>
    <w:tmpl w:val="9E0A6728"/>
    <w:lvl w:ilvl="0" w:tplc="43F8D3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51F6"/>
    <w:multiLevelType w:val="hybridMultilevel"/>
    <w:tmpl w:val="3E92D132"/>
    <w:lvl w:ilvl="0" w:tplc="172C5B3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8"/>
    <w:rsid w:val="000324A1"/>
    <w:rsid w:val="00065F25"/>
    <w:rsid w:val="001307E7"/>
    <w:rsid w:val="00155DD0"/>
    <w:rsid w:val="00163190"/>
    <w:rsid w:val="00183BC3"/>
    <w:rsid w:val="001B2892"/>
    <w:rsid w:val="002564FB"/>
    <w:rsid w:val="00256550"/>
    <w:rsid w:val="00262B1E"/>
    <w:rsid w:val="002D3A1F"/>
    <w:rsid w:val="002E0813"/>
    <w:rsid w:val="002F0B2A"/>
    <w:rsid w:val="002F4F2F"/>
    <w:rsid w:val="00321BC4"/>
    <w:rsid w:val="003345FE"/>
    <w:rsid w:val="0036134F"/>
    <w:rsid w:val="003A679F"/>
    <w:rsid w:val="003D50BD"/>
    <w:rsid w:val="004553E2"/>
    <w:rsid w:val="004631EC"/>
    <w:rsid w:val="005F3B5D"/>
    <w:rsid w:val="0060565A"/>
    <w:rsid w:val="006277A4"/>
    <w:rsid w:val="00636F94"/>
    <w:rsid w:val="00682A63"/>
    <w:rsid w:val="006F3E65"/>
    <w:rsid w:val="006F425C"/>
    <w:rsid w:val="007A284B"/>
    <w:rsid w:val="00817D02"/>
    <w:rsid w:val="00865216"/>
    <w:rsid w:val="008666DC"/>
    <w:rsid w:val="008759A6"/>
    <w:rsid w:val="0089317C"/>
    <w:rsid w:val="008E45AE"/>
    <w:rsid w:val="008F5A29"/>
    <w:rsid w:val="00922D1F"/>
    <w:rsid w:val="0093676B"/>
    <w:rsid w:val="009530B2"/>
    <w:rsid w:val="00A05162"/>
    <w:rsid w:val="00A3171C"/>
    <w:rsid w:val="00A61A93"/>
    <w:rsid w:val="00A66728"/>
    <w:rsid w:val="00AA4DDD"/>
    <w:rsid w:val="00AB348D"/>
    <w:rsid w:val="00AD5F2B"/>
    <w:rsid w:val="00AE03E8"/>
    <w:rsid w:val="00B43896"/>
    <w:rsid w:val="00C062CF"/>
    <w:rsid w:val="00C25793"/>
    <w:rsid w:val="00C51F97"/>
    <w:rsid w:val="00D12C88"/>
    <w:rsid w:val="00D6226C"/>
    <w:rsid w:val="00D80893"/>
    <w:rsid w:val="00D818D9"/>
    <w:rsid w:val="00E13CD1"/>
    <w:rsid w:val="00E24EFF"/>
    <w:rsid w:val="00EE6CFC"/>
    <w:rsid w:val="00EF73D7"/>
    <w:rsid w:val="00F00CCE"/>
    <w:rsid w:val="00FC3CE1"/>
    <w:rsid w:val="00FD46EC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F7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6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F7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6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2023-11-22T08:12:00Z</cp:lastPrinted>
  <dcterms:created xsi:type="dcterms:W3CDTF">2023-04-12T10:49:00Z</dcterms:created>
  <dcterms:modified xsi:type="dcterms:W3CDTF">2023-11-22T10:50:00Z</dcterms:modified>
</cp:coreProperties>
</file>