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24BDD" w14:textId="77777777" w:rsidR="00BE2971" w:rsidRPr="00680BC0" w:rsidRDefault="00BE2971" w:rsidP="00BE2971">
      <w:pPr>
        <w:ind w:left="5529" w:right="283"/>
        <w:rPr>
          <w:sz w:val="28"/>
          <w:szCs w:val="28"/>
          <w:lang w:val="uk-UA"/>
        </w:rPr>
      </w:pPr>
      <w:r w:rsidRPr="00680BC0">
        <w:rPr>
          <w:sz w:val="28"/>
          <w:szCs w:val="28"/>
          <w:lang w:val="uk-UA"/>
        </w:rPr>
        <w:t xml:space="preserve">Додаток </w:t>
      </w:r>
    </w:p>
    <w:p w14:paraId="7C054AE7" w14:textId="77777777" w:rsidR="00BE2971" w:rsidRDefault="00BE2971" w:rsidP="00BE2971">
      <w:pPr>
        <w:ind w:right="283" w:firstLine="5529"/>
        <w:rPr>
          <w:sz w:val="28"/>
          <w:szCs w:val="28"/>
          <w:lang w:val="uk-UA"/>
        </w:rPr>
      </w:pPr>
      <w:r w:rsidRPr="00680BC0">
        <w:rPr>
          <w:sz w:val="28"/>
          <w:szCs w:val="28"/>
          <w:lang w:val="uk-UA"/>
        </w:rPr>
        <w:t>до рішення обласної ради</w:t>
      </w:r>
    </w:p>
    <w:p w14:paraId="72177627" w14:textId="77777777" w:rsidR="00BE2971" w:rsidRDefault="00BE2971" w:rsidP="00BE2971">
      <w:pPr>
        <w:ind w:right="283"/>
        <w:jc w:val="center"/>
        <w:rPr>
          <w:b/>
          <w:sz w:val="28"/>
          <w:szCs w:val="28"/>
          <w:lang w:val="uk-UA"/>
        </w:rPr>
      </w:pPr>
    </w:p>
    <w:p w14:paraId="091CA84A" w14:textId="77777777" w:rsidR="00BE2971" w:rsidRDefault="00BE2971" w:rsidP="00BE2971">
      <w:pPr>
        <w:ind w:right="283"/>
        <w:jc w:val="center"/>
        <w:rPr>
          <w:b/>
          <w:sz w:val="28"/>
          <w:szCs w:val="28"/>
          <w:lang w:val="uk-UA"/>
        </w:rPr>
      </w:pPr>
    </w:p>
    <w:p w14:paraId="2B70C493" w14:textId="77777777" w:rsidR="00BE2971" w:rsidRDefault="00BE2971" w:rsidP="00BE297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</w:t>
      </w:r>
    </w:p>
    <w:p w14:paraId="2031FCE4" w14:textId="77777777" w:rsidR="00BE2971" w:rsidRDefault="00BE2971" w:rsidP="00BE297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затвердження Стратегії розвитку </w:t>
      </w:r>
    </w:p>
    <w:p w14:paraId="38BF873A" w14:textId="0125B968" w:rsidR="00BE2971" w:rsidRDefault="00680BC0" w:rsidP="00BE297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комунального </w:t>
      </w:r>
      <w:r w:rsidR="00BE2971">
        <w:rPr>
          <w:b/>
          <w:sz w:val="28"/>
          <w:szCs w:val="28"/>
          <w:lang w:val="uk-UA"/>
        </w:rPr>
        <w:t xml:space="preserve">закладу професійної (професійно-технічної), фахової передвищої освіти, </w:t>
      </w:r>
      <w:r>
        <w:rPr>
          <w:b/>
          <w:sz w:val="28"/>
          <w:szCs w:val="28"/>
          <w:lang w:val="uk-UA"/>
        </w:rPr>
        <w:t>що</w:t>
      </w:r>
      <w:r w:rsidR="00542582">
        <w:rPr>
          <w:b/>
          <w:sz w:val="28"/>
          <w:szCs w:val="28"/>
          <w:lang w:val="uk-UA"/>
        </w:rPr>
        <w:t xml:space="preserve"> належи</w:t>
      </w:r>
      <w:r w:rsidR="00BE2971">
        <w:rPr>
          <w:b/>
          <w:sz w:val="28"/>
          <w:szCs w:val="28"/>
          <w:lang w:val="uk-UA"/>
        </w:rPr>
        <w:t>ть до спільної власності територіальних громад сіл, селищ, міст Дніпропетровської області</w:t>
      </w:r>
    </w:p>
    <w:p w14:paraId="26B39217" w14:textId="77777777" w:rsidR="00BE2971" w:rsidRDefault="00BE2971" w:rsidP="00BE2971">
      <w:pPr>
        <w:ind w:right="283"/>
        <w:jc w:val="center"/>
        <w:rPr>
          <w:b/>
          <w:sz w:val="28"/>
          <w:szCs w:val="28"/>
          <w:lang w:val="uk-UA"/>
        </w:rPr>
      </w:pPr>
    </w:p>
    <w:p w14:paraId="51F843E9" w14:textId="6DF94090" w:rsidR="00BE2971" w:rsidRDefault="00BE2971" w:rsidP="00BE2971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 Цей Порядок визначає процедуру затвердження Стратегії розвитку </w:t>
      </w:r>
      <w:r w:rsidR="00061F0F" w:rsidRPr="00061F0F">
        <w:rPr>
          <w:color w:val="000000"/>
          <w:sz w:val="28"/>
          <w:szCs w:val="28"/>
          <w:lang w:val="uk-UA"/>
        </w:rPr>
        <w:t xml:space="preserve">комунального </w:t>
      </w:r>
      <w:r>
        <w:rPr>
          <w:color w:val="000000"/>
          <w:sz w:val="28"/>
          <w:szCs w:val="28"/>
          <w:lang w:val="uk-UA"/>
        </w:rPr>
        <w:t xml:space="preserve">закладу професійної (професійно-технічної), фахової передвищої освіти, </w:t>
      </w:r>
      <w:r w:rsidR="00061F0F">
        <w:rPr>
          <w:color w:val="000000"/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 xml:space="preserve"> належ</w:t>
      </w:r>
      <w:r w:rsidR="0054258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ть до спільної власності територіальних громад сіл, селищ, міст Дніпропетровської області </w:t>
      </w:r>
      <w:r>
        <w:rPr>
          <w:color w:val="000000"/>
          <w:sz w:val="28"/>
          <w:szCs w:val="28"/>
          <w:lang w:val="uk-UA"/>
        </w:rPr>
        <w:t xml:space="preserve">(далі ‒ Стратегія), </w:t>
      </w:r>
      <w:r>
        <w:rPr>
          <w:sz w:val="28"/>
          <w:szCs w:val="28"/>
          <w:lang w:val="uk-UA"/>
        </w:rPr>
        <w:t xml:space="preserve">згідно із законами України </w:t>
      </w:r>
      <w:r w:rsidRPr="00BE2971">
        <w:rPr>
          <w:sz w:val="28"/>
          <w:szCs w:val="28"/>
          <w:lang w:val="uk-UA"/>
        </w:rPr>
        <w:t xml:space="preserve">„Про освіту”, </w:t>
      </w:r>
      <w:r>
        <w:rPr>
          <w:sz w:val="28"/>
          <w:szCs w:val="28"/>
          <w:lang w:val="uk-UA"/>
        </w:rPr>
        <w:t>„Про фахову передвищу освіту”.</w:t>
      </w:r>
    </w:p>
    <w:p w14:paraId="3C522D64" w14:textId="77777777" w:rsidR="00BE2971" w:rsidRDefault="00BE2971" w:rsidP="00BE2971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14:paraId="37A436D0" w14:textId="5CAE5CBD" w:rsidR="00BE2971" w:rsidRDefault="00BE2971" w:rsidP="00BE2971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Стратегія складається за Примірною формою складання Стратегії розвитку </w:t>
      </w:r>
      <w:r w:rsidR="00061F0F">
        <w:rPr>
          <w:color w:val="000000"/>
          <w:sz w:val="28"/>
          <w:szCs w:val="28"/>
          <w:lang w:val="uk-UA"/>
        </w:rPr>
        <w:t xml:space="preserve">комунального </w:t>
      </w:r>
      <w:r>
        <w:rPr>
          <w:color w:val="000000"/>
          <w:sz w:val="28"/>
          <w:szCs w:val="28"/>
          <w:lang w:val="uk-UA"/>
        </w:rPr>
        <w:t xml:space="preserve">закладу професійної (професійно-технічної), фахової передвищої освіти, </w:t>
      </w:r>
      <w:r w:rsidR="00061F0F">
        <w:rPr>
          <w:color w:val="000000"/>
          <w:sz w:val="28"/>
          <w:szCs w:val="28"/>
          <w:lang w:val="uk-UA"/>
        </w:rPr>
        <w:t>що</w:t>
      </w:r>
      <w:r>
        <w:rPr>
          <w:color w:val="000000"/>
          <w:sz w:val="28"/>
          <w:szCs w:val="28"/>
          <w:lang w:val="uk-UA"/>
        </w:rPr>
        <w:t xml:space="preserve"> належ</w:t>
      </w:r>
      <w:r w:rsidR="00972C18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>ть до спільної власності територіальних громад сіл, селищ, міст Дніпропетровської області, що додається (далі – Форма) (додаток 1 до додатка до рішення обласної ради). Титульний аркуш Стратегії оформлюється згідно з додатком 2 до додатка до рішення обласної ради.</w:t>
      </w:r>
    </w:p>
    <w:p w14:paraId="31D7891A" w14:textId="77777777" w:rsidR="00BE2971" w:rsidRDefault="00BE2971" w:rsidP="00BE2971">
      <w:pPr>
        <w:jc w:val="center"/>
        <w:rPr>
          <w:color w:val="000000"/>
          <w:sz w:val="28"/>
          <w:szCs w:val="28"/>
          <w:lang w:val="uk-UA"/>
        </w:rPr>
      </w:pPr>
    </w:p>
    <w:p w14:paraId="5F960B81" w14:textId="58FF8E52" w:rsidR="00061F0F" w:rsidRDefault="00061F0F" w:rsidP="00BE2971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061F0F">
        <w:rPr>
          <w:sz w:val="28"/>
          <w:szCs w:val="28"/>
          <w:lang w:val="uk-UA"/>
        </w:rPr>
        <w:t>3. Комунальний заклад професійної (професійно-технічної), фахо</w:t>
      </w:r>
      <w:r w:rsidR="00542582">
        <w:rPr>
          <w:sz w:val="28"/>
          <w:szCs w:val="28"/>
          <w:lang w:val="uk-UA"/>
        </w:rPr>
        <w:t>вої передвищої освіти, що належи</w:t>
      </w:r>
      <w:r w:rsidRPr="00061F0F">
        <w:rPr>
          <w:sz w:val="28"/>
          <w:szCs w:val="28"/>
          <w:lang w:val="uk-UA"/>
        </w:rPr>
        <w:t>ть до спільної власності територіальних громад сіл, селищ, міст Дніпропетровської області (далі –</w:t>
      </w:r>
      <w:r w:rsidR="00370440">
        <w:rPr>
          <w:sz w:val="28"/>
          <w:szCs w:val="28"/>
          <w:lang w:val="uk-UA"/>
        </w:rPr>
        <w:t xml:space="preserve"> </w:t>
      </w:r>
      <w:r w:rsidRPr="00061F0F">
        <w:rPr>
          <w:sz w:val="28"/>
          <w:szCs w:val="28"/>
          <w:lang w:val="uk-UA"/>
        </w:rPr>
        <w:t xml:space="preserve">заклади освіти), розробляє Стратегію один раз на п’ять років відповідно до Форми, схвалює її на засіданні педагогічної ради та подає у трьох примірниках, прошнурованих, пронумерованих, </w:t>
      </w:r>
      <w:r w:rsidR="00370440">
        <w:rPr>
          <w:sz w:val="28"/>
          <w:szCs w:val="28"/>
          <w:lang w:val="uk-UA"/>
        </w:rPr>
        <w:t>затверджених</w:t>
      </w:r>
      <w:r w:rsidRPr="00061F0F">
        <w:rPr>
          <w:sz w:val="28"/>
          <w:szCs w:val="28"/>
          <w:lang w:val="uk-UA"/>
        </w:rPr>
        <w:t xml:space="preserve"> особисто керівником та засвідчених печаткою, на погодження до профільного структурного підрозділу Дніпропетровської обласної державної адміністрації – департаменту освіти і науки – як головного розпорядника коштів обласного бюджету (далі – головний розпорядник коштів), після чого – на затвердження з супровідним листом до Дніпропетровської обласної ради (далі – обласна рада). </w:t>
      </w:r>
    </w:p>
    <w:p w14:paraId="454C5C0B" w14:textId="77777777" w:rsidR="00061F0F" w:rsidRDefault="00061F0F" w:rsidP="00BE2971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14:paraId="434EED71" w14:textId="5F03B7FA" w:rsidR="00BE2971" w:rsidRDefault="00BE2971" w:rsidP="00BE2971">
      <w:pPr>
        <w:shd w:val="clear" w:color="auto" w:fill="FFFFFF"/>
        <w:ind w:firstLine="708"/>
        <w:jc w:val="both"/>
        <w:rPr>
          <w:color w:val="000000"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lang w:val="uk-UA"/>
        </w:rPr>
        <w:t xml:space="preserve">4. </w:t>
      </w:r>
      <w:r>
        <w:rPr>
          <w:color w:val="000000"/>
          <w:sz w:val="28"/>
          <w:szCs w:val="28"/>
          <w:lang w:val="uk-UA"/>
        </w:rPr>
        <w:t>Головний розпорядник коштів у межах своїх повноважень опрацьовує, зокрема здійснює внутрішній контроль за внесенням достовірних даних, та погоджує за підписом керівника надану закладом освіти Стратегію.</w:t>
      </w:r>
    </w:p>
    <w:p w14:paraId="3761407A" w14:textId="77777777" w:rsidR="00621152" w:rsidRDefault="00621152" w:rsidP="00BE2971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</w:p>
    <w:p w14:paraId="50CA2333" w14:textId="5D69BF48" w:rsidR="00BE2971" w:rsidRDefault="00BE2971" w:rsidP="00BE2971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 </w:t>
      </w:r>
      <w:r>
        <w:rPr>
          <w:bCs/>
          <w:color w:val="000000"/>
          <w:sz w:val="28"/>
          <w:szCs w:val="28"/>
          <w:lang w:val="uk-UA"/>
        </w:rPr>
        <w:t xml:space="preserve">Після надходження до обласної ради Стратегії, </w:t>
      </w:r>
      <w:r w:rsidR="00370440">
        <w:rPr>
          <w:bCs/>
          <w:color w:val="000000"/>
          <w:sz w:val="28"/>
          <w:szCs w:val="28"/>
          <w:lang w:val="uk-UA"/>
        </w:rPr>
        <w:t>погодженої</w:t>
      </w:r>
      <w:r>
        <w:rPr>
          <w:bCs/>
          <w:color w:val="000000"/>
          <w:sz w:val="28"/>
          <w:szCs w:val="28"/>
          <w:lang w:val="uk-UA"/>
        </w:rPr>
        <w:t xml:space="preserve"> головним розпорядником коштів, вона опрацьовується та заслуховується за участю керівника закладу освіти на засіданні постійної комісії обласної ради </w:t>
      </w:r>
      <w:r>
        <w:rPr>
          <w:color w:val="000000"/>
          <w:sz w:val="28"/>
          <w:szCs w:val="28"/>
          <w:lang w:val="uk-UA"/>
        </w:rPr>
        <w:t>з питань науки, освіти, соціальної політики та праці</w:t>
      </w:r>
      <w:r>
        <w:rPr>
          <w:bCs/>
          <w:color w:val="000000"/>
          <w:sz w:val="28"/>
          <w:szCs w:val="28"/>
          <w:lang w:val="uk-UA"/>
        </w:rPr>
        <w:t xml:space="preserve">. </w:t>
      </w:r>
    </w:p>
    <w:p w14:paraId="75B53716" w14:textId="77777777" w:rsidR="00BE2971" w:rsidRDefault="00BE2971" w:rsidP="00BE2971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</w:p>
    <w:p w14:paraId="440F45D9" w14:textId="129A5BB0" w:rsidR="00BE2971" w:rsidRDefault="00BE2971" w:rsidP="00BE2971">
      <w:pPr>
        <w:tabs>
          <w:tab w:val="left" w:pos="993"/>
        </w:tabs>
        <w:ind w:firstLine="71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6. У разі схвального рішення за підсумками розгляду Стратегії на засіданні вищезгаданої комісії, відповідного витягу з протоколу та на підставі службової записки </w:t>
      </w:r>
      <w:r w:rsidR="00542582">
        <w:rPr>
          <w:bCs/>
          <w:sz w:val="28"/>
          <w:szCs w:val="28"/>
          <w:lang w:val="uk-UA"/>
        </w:rPr>
        <w:t xml:space="preserve">начальника </w:t>
      </w:r>
      <w:r>
        <w:rPr>
          <w:bCs/>
          <w:sz w:val="28"/>
          <w:szCs w:val="28"/>
          <w:lang w:val="uk-UA"/>
        </w:rPr>
        <w:t>управління з питань охорони здоров’я, соціальної політики та розвитку освітньої галузі виконав</w:t>
      </w:r>
      <w:r w:rsidR="00542582">
        <w:rPr>
          <w:bCs/>
          <w:sz w:val="28"/>
          <w:szCs w:val="28"/>
          <w:lang w:val="uk-UA"/>
        </w:rPr>
        <w:t xml:space="preserve">чого апарату </w:t>
      </w:r>
      <w:r>
        <w:rPr>
          <w:bCs/>
          <w:sz w:val="28"/>
          <w:szCs w:val="28"/>
          <w:lang w:val="uk-UA"/>
        </w:rPr>
        <w:t xml:space="preserve">обласної ради на ім’я голови обласної ради, Стратегія затверджується головою обласної ради. </w:t>
      </w:r>
    </w:p>
    <w:p w14:paraId="18F75D3E" w14:textId="77777777" w:rsidR="00BE2971" w:rsidRDefault="00BE2971" w:rsidP="00BE2971">
      <w:pPr>
        <w:tabs>
          <w:tab w:val="left" w:pos="993"/>
        </w:tabs>
        <w:ind w:firstLine="710"/>
        <w:jc w:val="both"/>
        <w:rPr>
          <w:sz w:val="28"/>
          <w:szCs w:val="28"/>
          <w:lang w:val="uk-UA"/>
        </w:rPr>
      </w:pPr>
    </w:p>
    <w:p w14:paraId="64C0CAF8" w14:textId="3CDC2006" w:rsidR="00BE2971" w:rsidRDefault="00BE2971" w:rsidP="00BE2971">
      <w:pPr>
        <w:tabs>
          <w:tab w:val="left" w:pos="993"/>
        </w:tabs>
        <w:ind w:firstLine="71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7. Один примірник затвердженої Стратегії зберігається у </w:t>
      </w:r>
      <w:r>
        <w:rPr>
          <w:color w:val="000000"/>
          <w:sz w:val="28"/>
          <w:szCs w:val="28"/>
          <w:lang w:val="uk-UA"/>
        </w:rPr>
        <w:t xml:space="preserve">головного розпорядника коштів, другий – </w:t>
      </w:r>
      <w:r>
        <w:rPr>
          <w:bCs/>
          <w:sz w:val="28"/>
          <w:szCs w:val="28"/>
          <w:lang w:val="uk-UA"/>
        </w:rPr>
        <w:t>в управлінні з питань охорони здоров’я, соціальної політики та розвитку освітньої галузі виконавчого апарату обласної ради, третій – в закладі освіти.</w:t>
      </w:r>
    </w:p>
    <w:p w14:paraId="533775D1" w14:textId="77777777" w:rsidR="00BE2971" w:rsidRDefault="00BE2971" w:rsidP="00BE2971">
      <w:pPr>
        <w:tabs>
          <w:tab w:val="left" w:pos="993"/>
        </w:tabs>
        <w:ind w:firstLine="710"/>
        <w:jc w:val="both"/>
        <w:rPr>
          <w:bCs/>
          <w:sz w:val="28"/>
          <w:szCs w:val="28"/>
          <w:lang w:val="uk-UA"/>
        </w:rPr>
      </w:pPr>
    </w:p>
    <w:p w14:paraId="11AFB815" w14:textId="63C54B1D" w:rsidR="00BE2971" w:rsidRDefault="00BE2971" w:rsidP="00BE2971">
      <w:pPr>
        <w:tabs>
          <w:tab w:val="left" w:pos="993"/>
        </w:tabs>
        <w:ind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Внесення змін до Стратегії здійснюється у разі потреби за поданням закладу освіти за власною ініціативою або за рекомендацією постійної комісії з питань науки, освіти, соціальної політики та праці у порядку, визначеному в пункті 3 цього Порядку. </w:t>
      </w:r>
    </w:p>
    <w:p w14:paraId="1D35B959" w14:textId="77777777" w:rsidR="00BE2971" w:rsidRDefault="00BE2971" w:rsidP="00BE2971">
      <w:pPr>
        <w:tabs>
          <w:tab w:val="left" w:pos="993"/>
        </w:tabs>
        <w:ind w:firstLine="710"/>
        <w:jc w:val="both"/>
        <w:rPr>
          <w:sz w:val="28"/>
          <w:szCs w:val="28"/>
          <w:lang w:val="uk-UA"/>
        </w:rPr>
      </w:pPr>
    </w:p>
    <w:p w14:paraId="31145C41" w14:textId="3FEEFDE8" w:rsidR="00BE2971" w:rsidRDefault="00BE2971" w:rsidP="00BE2971">
      <w:pPr>
        <w:tabs>
          <w:tab w:val="left" w:pos="993"/>
        </w:tabs>
        <w:ind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37044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аклад освіти звітує перед </w:t>
      </w:r>
      <w:r>
        <w:rPr>
          <w:bCs/>
          <w:sz w:val="28"/>
          <w:szCs w:val="28"/>
          <w:lang w:val="uk-UA"/>
        </w:rPr>
        <w:t>головним розпорядником коштів</w:t>
      </w:r>
      <w:r>
        <w:rPr>
          <w:sz w:val="28"/>
          <w:szCs w:val="28"/>
          <w:lang w:val="uk-UA"/>
        </w:rPr>
        <w:t xml:space="preserve"> та обласною радою про перебіг виконання Стратегії щороку (після закінчення навчального року) та після завершення терміну дії Стратегії шляхом надання звіту </w:t>
      </w:r>
      <w:r w:rsidR="0062115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супровідним листом. Звіт попередньо схвалюється на засіданні педагогічної ради та опубліковується на офіційному сайті </w:t>
      </w:r>
      <w:bookmarkStart w:id="0" w:name="_GoBack"/>
      <w:bookmarkEnd w:id="0"/>
      <w:r>
        <w:rPr>
          <w:sz w:val="28"/>
          <w:szCs w:val="28"/>
          <w:lang w:val="uk-UA"/>
        </w:rPr>
        <w:t>закладу освіти</w:t>
      </w:r>
      <w:r w:rsidR="00061F0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75240A0B" w14:textId="77777777" w:rsidR="00BE2971" w:rsidRDefault="00BE2971" w:rsidP="00BE2971">
      <w:pPr>
        <w:tabs>
          <w:tab w:val="left" w:pos="993"/>
        </w:tabs>
        <w:ind w:firstLine="710"/>
        <w:jc w:val="both"/>
        <w:rPr>
          <w:sz w:val="28"/>
          <w:szCs w:val="28"/>
          <w:lang w:val="uk-UA"/>
        </w:rPr>
      </w:pPr>
    </w:p>
    <w:p w14:paraId="02A23F70" w14:textId="77777777" w:rsidR="00BE2971" w:rsidRDefault="00BE2971" w:rsidP="00BE2971">
      <w:pPr>
        <w:pStyle w:val="a3"/>
        <w:shd w:val="clear" w:color="auto" w:fill="FFFFFF"/>
        <w:spacing w:before="0" w:beforeAutospacing="0" w:afterAutospacing="0" w:line="360" w:lineRule="atLeast"/>
        <w:ind w:right="283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 </w:t>
      </w:r>
    </w:p>
    <w:p w14:paraId="25684D7B" w14:textId="77777777" w:rsidR="00BE2971" w:rsidRDefault="00BE2971" w:rsidP="00BE2971">
      <w:pPr>
        <w:ind w:right="283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Заступник</w:t>
      </w:r>
    </w:p>
    <w:p w14:paraId="2D713E74" w14:textId="77777777" w:rsidR="00BE2971" w:rsidRDefault="00BE2971" w:rsidP="00BE2971">
      <w:pPr>
        <w:tabs>
          <w:tab w:val="left" w:pos="8789"/>
        </w:tabs>
        <w:ind w:right="283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голови обласної ради                                                               І. КАШИРІН</w:t>
      </w:r>
    </w:p>
    <w:p w14:paraId="6C75BFA8" w14:textId="77777777" w:rsidR="00BE2971" w:rsidRPr="0059760F" w:rsidRDefault="00BE2971" w:rsidP="00BE2971">
      <w:pPr>
        <w:rPr>
          <w:lang w:val="uk-UA"/>
        </w:rPr>
      </w:pPr>
    </w:p>
    <w:p w14:paraId="3E272B03" w14:textId="77777777" w:rsidR="00BE2971" w:rsidRDefault="00BE2971" w:rsidP="0059760F">
      <w:pPr>
        <w:ind w:left="5529" w:right="283"/>
        <w:rPr>
          <w:sz w:val="28"/>
          <w:szCs w:val="28"/>
          <w:lang w:val="uk-UA"/>
        </w:rPr>
      </w:pPr>
    </w:p>
    <w:p w14:paraId="34CFBB01" w14:textId="77777777" w:rsidR="00BE2971" w:rsidRDefault="00BE2971" w:rsidP="0059760F">
      <w:pPr>
        <w:ind w:left="5529" w:right="283"/>
        <w:rPr>
          <w:sz w:val="28"/>
          <w:szCs w:val="28"/>
          <w:lang w:val="uk-UA"/>
        </w:rPr>
      </w:pPr>
    </w:p>
    <w:p w14:paraId="3549F753" w14:textId="77777777" w:rsidR="00BE2971" w:rsidRDefault="00BE2971" w:rsidP="0059760F">
      <w:pPr>
        <w:ind w:left="5529" w:right="283"/>
        <w:rPr>
          <w:sz w:val="28"/>
          <w:szCs w:val="28"/>
          <w:lang w:val="uk-UA"/>
        </w:rPr>
      </w:pPr>
    </w:p>
    <w:p w14:paraId="6C64BB73" w14:textId="77777777" w:rsidR="00BE2971" w:rsidRDefault="00BE2971" w:rsidP="0059760F">
      <w:pPr>
        <w:ind w:left="5529" w:right="283"/>
        <w:rPr>
          <w:sz w:val="28"/>
          <w:szCs w:val="28"/>
          <w:lang w:val="uk-UA"/>
        </w:rPr>
      </w:pPr>
    </w:p>
    <w:p w14:paraId="6B24E9D5" w14:textId="77777777" w:rsidR="00BE2971" w:rsidRDefault="00BE2971" w:rsidP="0059760F">
      <w:pPr>
        <w:ind w:left="5529" w:right="283"/>
        <w:rPr>
          <w:sz w:val="28"/>
          <w:szCs w:val="28"/>
          <w:lang w:val="uk-UA"/>
        </w:rPr>
      </w:pPr>
    </w:p>
    <w:p w14:paraId="591A9B1F" w14:textId="77777777" w:rsidR="00BE2971" w:rsidRDefault="00BE2971" w:rsidP="0059760F">
      <w:pPr>
        <w:ind w:left="5529" w:right="283"/>
        <w:rPr>
          <w:sz w:val="28"/>
          <w:szCs w:val="28"/>
          <w:lang w:val="uk-UA"/>
        </w:rPr>
      </w:pPr>
    </w:p>
    <w:p w14:paraId="4936BD02" w14:textId="77777777" w:rsidR="00BE2971" w:rsidRDefault="00BE2971" w:rsidP="0059760F">
      <w:pPr>
        <w:ind w:left="5529" w:right="283"/>
        <w:rPr>
          <w:sz w:val="28"/>
          <w:szCs w:val="28"/>
          <w:lang w:val="uk-UA"/>
        </w:rPr>
      </w:pPr>
    </w:p>
    <w:p w14:paraId="4A2AC9B2" w14:textId="77777777" w:rsidR="00BE2971" w:rsidRDefault="00BE2971" w:rsidP="0059760F">
      <w:pPr>
        <w:ind w:left="5529" w:right="283"/>
        <w:rPr>
          <w:sz w:val="28"/>
          <w:szCs w:val="28"/>
          <w:lang w:val="uk-UA"/>
        </w:rPr>
      </w:pPr>
    </w:p>
    <w:p w14:paraId="1CF58137" w14:textId="77777777" w:rsidR="00BE2971" w:rsidRDefault="00BE2971" w:rsidP="0059760F">
      <w:pPr>
        <w:ind w:left="5529" w:right="283"/>
        <w:rPr>
          <w:sz w:val="28"/>
          <w:szCs w:val="28"/>
          <w:lang w:val="uk-UA"/>
        </w:rPr>
      </w:pPr>
    </w:p>
    <w:p w14:paraId="495CB1BA" w14:textId="77777777" w:rsidR="00BE2971" w:rsidRDefault="00BE2971" w:rsidP="0059760F">
      <w:pPr>
        <w:ind w:left="5529" w:right="283"/>
        <w:rPr>
          <w:sz w:val="28"/>
          <w:szCs w:val="28"/>
          <w:lang w:val="uk-UA"/>
        </w:rPr>
      </w:pPr>
    </w:p>
    <w:p w14:paraId="1D69E974" w14:textId="77777777" w:rsidR="00BE2971" w:rsidRDefault="00BE2971" w:rsidP="0059760F">
      <w:pPr>
        <w:ind w:left="5529" w:right="283"/>
        <w:rPr>
          <w:sz w:val="28"/>
          <w:szCs w:val="28"/>
          <w:lang w:val="uk-UA"/>
        </w:rPr>
      </w:pPr>
    </w:p>
    <w:p w14:paraId="1095E072" w14:textId="77777777" w:rsidR="00BE2971" w:rsidRDefault="00BE2971" w:rsidP="0059760F">
      <w:pPr>
        <w:ind w:left="5529" w:right="283"/>
        <w:rPr>
          <w:sz w:val="28"/>
          <w:szCs w:val="28"/>
          <w:lang w:val="uk-UA"/>
        </w:rPr>
      </w:pPr>
    </w:p>
    <w:sectPr w:rsidR="00BE2971" w:rsidSect="00061F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12D87" w14:textId="77777777" w:rsidR="00585762" w:rsidRDefault="00585762" w:rsidP="00061F0F">
      <w:r>
        <w:separator/>
      </w:r>
    </w:p>
  </w:endnote>
  <w:endnote w:type="continuationSeparator" w:id="0">
    <w:p w14:paraId="33C33933" w14:textId="77777777" w:rsidR="00585762" w:rsidRDefault="00585762" w:rsidP="0006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11AC7" w14:textId="77777777" w:rsidR="00585762" w:rsidRDefault="00585762" w:rsidP="00061F0F">
      <w:r>
        <w:separator/>
      </w:r>
    </w:p>
  </w:footnote>
  <w:footnote w:type="continuationSeparator" w:id="0">
    <w:p w14:paraId="5DEB5BDD" w14:textId="77777777" w:rsidR="00585762" w:rsidRDefault="00585762" w:rsidP="00061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4714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1C03249" w14:textId="00F33810" w:rsidR="00061F0F" w:rsidRPr="00061F0F" w:rsidRDefault="00061F0F">
        <w:pPr>
          <w:pStyle w:val="a4"/>
          <w:jc w:val="center"/>
          <w:rPr>
            <w:sz w:val="28"/>
            <w:szCs w:val="28"/>
          </w:rPr>
        </w:pPr>
        <w:r w:rsidRPr="00061F0F">
          <w:rPr>
            <w:sz w:val="28"/>
            <w:szCs w:val="28"/>
          </w:rPr>
          <w:fldChar w:fldCharType="begin"/>
        </w:r>
        <w:r w:rsidRPr="00061F0F">
          <w:rPr>
            <w:sz w:val="28"/>
            <w:szCs w:val="28"/>
          </w:rPr>
          <w:instrText>PAGE   \* MERGEFORMAT</w:instrText>
        </w:r>
        <w:r w:rsidRPr="00061F0F">
          <w:rPr>
            <w:sz w:val="28"/>
            <w:szCs w:val="28"/>
          </w:rPr>
          <w:fldChar w:fldCharType="separate"/>
        </w:r>
        <w:r w:rsidR="00370440">
          <w:rPr>
            <w:noProof/>
            <w:sz w:val="28"/>
            <w:szCs w:val="28"/>
          </w:rPr>
          <w:t>2</w:t>
        </w:r>
        <w:r w:rsidRPr="00061F0F">
          <w:rPr>
            <w:sz w:val="28"/>
            <w:szCs w:val="28"/>
          </w:rPr>
          <w:fldChar w:fldCharType="end"/>
        </w:r>
      </w:p>
    </w:sdtContent>
  </w:sdt>
  <w:p w14:paraId="53DC5325" w14:textId="77777777" w:rsidR="00061F0F" w:rsidRDefault="00061F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4C"/>
    <w:rsid w:val="00061F0F"/>
    <w:rsid w:val="000C2695"/>
    <w:rsid w:val="00153073"/>
    <w:rsid w:val="00195D55"/>
    <w:rsid w:val="00206317"/>
    <w:rsid w:val="00281DDE"/>
    <w:rsid w:val="0031180F"/>
    <w:rsid w:val="00370440"/>
    <w:rsid w:val="00542582"/>
    <w:rsid w:val="00585762"/>
    <w:rsid w:val="0059760F"/>
    <w:rsid w:val="00621152"/>
    <w:rsid w:val="0062474E"/>
    <w:rsid w:val="00680BC0"/>
    <w:rsid w:val="006C6C4C"/>
    <w:rsid w:val="007B4C86"/>
    <w:rsid w:val="008B4C6D"/>
    <w:rsid w:val="008F4D8B"/>
    <w:rsid w:val="00972C18"/>
    <w:rsid w:val="00AA5B6E"/>
    <w:rsid w:val="00B12B92"/>
    <w:rsid w:val="00B15515"/>
    <w:rsid w:val="00BE2971"/>
    <w:rsid w:val="00C07084"/>
    <w:rsid w:val="00D26F0F"/>
    <w:rsid w:val="00D64A34"/>
    <w:rsid w:val="00DD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E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0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60F"/>
    <w:pPr>
      <w:spacing w:before="100" w:beforeAutospacing="1" w:after="100" w:afterAutospacing="1"/>
    </w:pPr>
    <w:rPr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061F0F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1F0F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footer"/>
    <w:basedOn w:val="a"/>
    <w:link w:val="a7"/>
    <w:uiPriority w:val="99"/>
    <w:unhideWhenUsed/>
    <w:rsid w:val="00061F0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1F0F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0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60F"/>
    <w:pPr>
      <w:spacing w:before="100" w:beforeAutospacing="1" w:after="100" w:afterAutospacing="1"/>
    </w:pPr>
    <w:rPr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061F0F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1F0F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footer"/>
    <w:basedOn w:val="a"/>
    <w:link w:val="a7"/>
    <w:uiPriority w:val="99"/>
    <w:unhideWhenUsed/>
    <w:rsid w:val="00061F0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1F0F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2308</Words>
  <Characters>1316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Казимиров</dc:creator>
  <cp:keywords/>
  <dc:description/>
  <cp:lastModifiedBy>User</cp:lastModifiedBy>
  <cp:revision>17</cp:revision>
  <dcterms:created xsi:type="dcterms:W3CDTF">2023-09-15T06:48:00Z</dcterms:created>
  <dcterms:modified xsi:type="dcterms:W3CDTF">2024-02-19T13:06:00Z</dcterms:modified>
</cp:coreProperties>
</file>