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14906381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7A3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F7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FF4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11BC2F" w14:textId="331DDA80" w:rsidR="0062388C" w:rsidRPr="0062388C" w:rsidRDefault="00FF449A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06 червня</w:t>
      </w:r>
      <w:r w:rsidR="0062388C"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2024 року</w:t>
      </w:r>
    </w:p>
    <w:p w14:paraId="20462121" w14:textId="06AE4B8B" w:rsidR="00ED3E7B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FF44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.00</w:t>
      </w:r>
    </w:p>
    <w:p w14:paraId="7B6C73F4" w14:textId="77777777" w:rsidR="0062388C" w:rsidRPr="007D65C4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A63EA9F" w14:textId="66F8C9C0" w:rsidR="00166FF9" w:rsidRPr="00166FF9" w:rsidRDefault="00166FF9" w:rsidP="007A3234">
      <w:pPr>
        <w:pStyle w:val="a7"/>
        <w:tabs>
          <w:tab w:val="left" w:pos="5850"/>
        </w:tabs>
        <w:ind w:firstLine="709"/>
        <w:rPr>
          <w:szCs w:val="28"/>
        </w:rPr>
      </w:pPr>
      <w:r w:rsidRPr="00166FF9">
        <w:rPr>
          <w:szCs w:val="28"/>
        </w:rPr>
        <w:t xml:space="preserve">Заслухавши та обговоривши інформацію </w:t>
      </w:r>
      <w:r w:rsidR="00123CD8" w:rsidRPr="00055EC9">
        <w:rPr>
          <w:szCs w:val="28"/>
        </w:rPr>
        <w:t xml:space="preserve">голови постійної комісії обласної ради з питань науки, освіти, соціальної політики та праці </w:t>
      </w:r>
      <w:proofErr w:type="spellStart"/>
      <w:r w:rsidR="00123CD8" w:rsidRPr="00055EC9">
        <w:rPr>
          <w:szCs w:val="28"/>
        </w:rPr>
        <w:t>Коломойця</w:t>
      </w:r>
      <w:proofErr w:type="spellEnd"/>
      <w:r w:rsidR="00123CD8" w:rsidRPr="00055EC9">
        <w:rPr>
          <w:szCs w:val="28"/>
        </w:rPr>
        <w:t xml:space="preserve"> А.О. щодо</w:t>
      </w:r>
      <w:r w:rsidRPr="00166FF9">
        <w:rPr>
          <w:szCs w:val="28"/>
        </w:rPr>
        <w:t xml:space="preserve"> </w:t>
      </w:r>
      <w:r w:rsidR="007A3234" w:rsidRPr="007A3234">
        <w:rPr>
          <w:bCs/>
          <w:szCs w:val="28"/>
        </w:rPr>
        <w:t>відзначення педагогічних та науково-педагогічних працівників Почесними грамотами та Г</w:t>
      </w:r>
      <w:r w:rsidR="007A3234">
        <w:rPr>
          <w:bCs/>
          <w:szCs w:val="28"/>
        </w:rPr>
        <w:t>рамотами Верховної Ради України</w:t>
      </w:r>
      <w:r w:rsidRPr="00166FF9">
        <w:rPr>
          <w:szCs w:val="28"/>
        </w:rPr>
        <w:t xml:space="preserve">, </w:t>
      </w:r>
      <w:r w:rsidR="00123CD8">
        <w:rPr>
          <w:szCs w:val="28"/>
        </w:rPr>
        <w:t xml:space="preserve">враховуючи звернення </w:t>
      </w:r>
      <w:r w:rsidR="007A3234" w:rsidRPr="007A3234">
        <w:rPr>
          <w:szCs w:val="28"/>
        </w:rPr>
        <w:t>виконуючого обов’язки ректора Українського державного університету науки і технологій, доктора технічних наук, професора Сухого К. (лист від 14.03.2024 № 03/399-21/3, зареєстрований в обласній раді 14.03.2024 за № ВХ-1539/0/1-24);</w:t>
      </w:r>
      <w:r w:rsidR="007A3234">
        <w:rPr>
          <w:szCs w:val="28"/>
        </w:rPr>
        <w:t xml:space="preserve"> </w:t>
      </w:r>
      <w:r w:rsidR="007A3234" w:rsidRPr="007A3234">
        <w:rPr>
          <w:szCs w:val="28"/>
        </w:rPr>
        <w:t xml:space="preserve">директора департаменту освіти </w:t>
      </w:r>
      <w:proofErr w:type="spellStart"/>
      <w:r w:rsidR="007A3234" w:rsidRPr="007A3234">
        <w:rPr>
          <w:szCs w:val="28"/>
        </w:rPr>
        <w:t>Кам’янської</w:t>
      </w:r>
      <w:proofErr w:type="spellEnd"/>
      <w:r w:rsidR="007A3234" w:rsidRPr="007A3234">
        <w:rPr>
          <w:szCs w:val="28"/>
        </w:rPr>
        <w:t xml:space="preserve"> міської ради Реви Н. (лист від 27.05.2024 № 01-09/126, зареєстрований в обласній раді 27.05.2024 за </w:t>
      </w:r>
      <w:r w:rsidR="007A3234">
        <w:rPr>
          <w:szCs w:val="28"/>
        </w:rPr>
        <w:t xml:space="preserve"> </w:t>
      </w:r>
      <w:r w:rsidR="007A3234" w:rsidRPr="007A3234">
        <w:rPr>
          <w:szCs w:val="28"/>
        </w:rPr>
        <w:t>№ ВХ-3047/0/1-24)</w:t>
      </w:r>
      <w:r w:rsidR="00123CD8">
        <w:rPr>
          <w:szCs w:val="28"/>
        </w:rPr>
        <w:t xml:space="preserve">, </w:t>
      </w:r>
      <w:r w:rsidRPr="00166FF9">
        <w:rPr>
          <w:szCs w:val="28"/>
        </w:rPr>
        <w:t>постійна комісія вирішила:</w:t>
      </w:r>
    </w:p>
    <w:p w14:paraId="762CAE8C" w14:textId="77777777" w:rsidR="00166FF9" w:rsidRPr="007D65C4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14:paraId="6A8C1F6D" w14:textId="77777777" w:rsidR="007A3234" w:rsidRPr="007A3234" w:rsidRDefault="007A3234" w:rsidP="007A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 Інформацію голови постійної комісії обласної ради з питань науки, освіти, соціальної політики та праці </w:t>
      </w:r>
      <w:proofErr w:type="spellStart"/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Коломойця</w:t>
      </w:r>
      <w:proofErr w:type="spellEnd"/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А.О. взяти до відома.</w:t>
      </w:r>
    </w:p>
    <w:p w14:paraId="1C9E96B4" w14:textId="77777777" w:rsidR="007A3234" w:rsidRPr="007A3234" w:rsidRDefault="007A3234" w:rsidP="007A32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Підтримати кандидатури та порушити клопотання про нагородження Грамотами Верховної Ради України: </w:t>
      </w:r>
    </w:p>
    <w:p w14:paraId="0B0845C5" w14:textId="77777777" w:rsidR="007A3234" w:rsidRPr="007A3234" w:rsidRDefault="007A3234" w:rsidP="007A32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Селівьорстова</w:t>
      </w:r>
      <w:proofErr w:type="spellEnd"/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Вадима Юрійовича, декана факультету електромеханіки та електрометалургії Українського державного університету науки і технологій, доктора технічних наук, професора;</w:t>
      </w:r>
    </w:p>
    <w:p w14:paraId="576949E4" w14:textId="77777777" w:rsidR="007A3234" w:rsidRPr="007A3234" w:rsidRDefault="007A3234" w:rsidP="007A32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Маркуля</w:t>
      </w:r>
      <w:proofErr w:type="spellEnd"/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Руслана Володимировича, начальника науково-дослідної частини Українського державного університету науки і технологій, кандидата технічних наук, доцента. </w:t>
      </w:r>
    </w:p>
    <w:p w14:paraId="7D4499EC" w14:textId="77777777" w:rsidR="007A3234" w:rsidRPr="007A3234" w:rsidRDefault="007A3234" w:rsidP="007A32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Жучек</w:t>
      </w:r>
      <w:proofErr w:type="spellEnd"/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Яни Петрівни, директора комунального закладу „Науковий ліцей імені Анатолія </w:t>
      </w:r>
      <w:proofErr w:type="spellStart"/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Лигунаˮ</w:t>
      </w:r>
      <w:proofErr w:type="spellEnd"/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Кам’янської</w:t>
      </w:r>
      <w:proofErr w:type="spellEnd"/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ради; </w:t>
      </w:r>
    </w:p>
    <w:p w14:paraId="4BD1FABB" w14:textId="77777777" w:rsidR="007A3234" w:rsidRPr="007A3234" w:rsidRDefault="007A3234" w:rsidP="007A3234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Звернутися до голови обласної ради з проханням підтримати кандидатури: </w:t>
      </w:r>
      <w:proofErr w:type="spellStart"/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Селівьорстова</w:t>
      </w:r>
      <w:proofErr w:type="spellEnd"/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Вадима Юрійовича, декана факультету електромеханіки та електрометалургії Українського державного університету науки і технологій, доктора технічних наук, професора; </w:t>
      </w:r>
      <w:proofErr w:type="spellStart"/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Маркуля</w:t>
      </w:r>
      <w:proofErr w:type="spellEnd"/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Руслана Володимировича, начальника науково-дослідної частини Українського державного університету науки і технологій, кандидата технічних наук, </w:t>
      </w:r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доцента; </w:t>
      </w:r>
      <w:proofErr w:type="spellStart"/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Жучек</w:t>
      </w:r>
      <w:proofErr w:type="spellEnd"/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Яни Петрівни, директора комунального закладу „Науковий ліцей імені Анатолія </w:t>
      </w:r>
      <w:proofErr w:type="spellStart"/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Лигунаˮ</w:t>
      </w:r>
      <w:proofErr w:type="spellEnd"/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Кам’янської</w:t>
      </w:r>
      <w:proofErr w:type="spellEnd"/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– для нагородження Грамотами Верховної Ради України та доручити виконавчому апарату обласної ради підготувати відповідний проєкт рішення „Про порушення клопотання щодо нагородження відзнаками Верховної Ради </w:t>
      </w:r>
      <w:proofErr w:type="spellStart"/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Україниˮ</w:t>
      </w:r>
      <w:proofErr w:type="spellEnd"/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затвердження на черговій сесії обласної ради.</w:t>
      </w:r>
      <w:r w:rsidRPr="007A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8CA57C" w14:textId="77777777" w:rsidR="007A3234" w:rsidRPr="007A3234" w:rsidRDefault="007A3234" w:rsidP="007A3234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7A32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постійній комісії обласної ради з питань регламенту, депутатської етики, діяльності рад, розвитку місцевого самоврядування та адміністративно-територіального устрою врахувати пропозиції постійної комісії обласної ради з питань науки, освіти, соціальної політики та праці при підготовці проєкту рішення „Про порушення клопотання щодо нагородження відзнаками Верховної Ради </w:t>
      </w:r>
      <w:proofErr w:type="spellStart"/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Україниˮ</w:t>
      </w:r>
      <w:proofErr w:type="spellEnd"/>
      <w:r w:rsidRPr="007A3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затвердження на черговій сесії обласної ради.</w:t>
      </w:r>
      <w:r w:rsidRPr="007A32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p w14:paraId="1BB55FD0" w14:textId="77777777" w:rsidR="007A3234" w:rsidRPr="007A3234" w:rsidRDefault="007A3234" w:rsidP="007A3234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18297945" w14:textId="77777777" w:rsidR="007A3234" w:rsidRPr="007A3234" w:rsidRDefault="007A3234" w:rsidP="007A32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A32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Результати голосування:</w:t>
      </w:r>
    </w:p>
    <w:tbl>
      <w:tblPr>
        <w:tblStyle w:val="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08"/>
        <w:gridCol w:w="851"/>
        <w:gridCol w:w="1559"/>
      </w:tblGrid>
      <w:tr w:rsidR="007A3234" w:rsidRPr="007A3234" w14:paraId="19D86B1B" w14:textId="77777777" w:rsidTr="00847EAE">
        <w:trPr>
          <w:jc w:val="right"/>
        </w:trPr>
        <w:tc>
          <w:tcPr>
            <w:tcW w:w="2129" w:type="dxa"/>
          </w:tcPr>
          <w:p w14:paraId="0A1E0338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7A3234">
              <w:rPr>
                <w:b/>
                <w:sz w:val="24"/>
                <w:szCs w:val="24"/>
                <w:lang w:val="uk-UA"/>
              </w:rPr>
              <w:t xml:space="preserve">Прізвище, </w:t>
            </w:r>
          </w:p>
          <w:p w14:paraId="3C6E22D5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7A3234">
              <w:rPr>
                <w:b/>
                <w:sz w:val="24"/>
                <w:szCs w:val="24"/>
                <w:lang w:val="uk-UA"/>
              </w:rPr>
              <w:t>ініціали</w:t>
            </w:r>
          </w:p>
        </w:tc>
        <w:tc>
          <w:tcPr>
            <w:tcW w:w="708" w:type="dxa"/>
          </w:tcPr>
          <w:p w14:paraId="683B14A7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7A3234">
              <w:rPr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1" w:type="dxa"/>
          </w:tcPr>
          <w:p w14:paraId="3D942B40" w14:textId="77777777" w:rsidR="007A3234" w:rsidRPr="007A3234" w:rsidRDefault="007A3234" w:rsidP="007A3234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  <w:lang w:val="uk-UA"/>
              </w:rPr>
            </w:pPr>
            <w:r w:rsidRPr="007A3234">
              <w:rPr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559" w:type="dxa"/>
          </w:tcPr>
          <w:p w14:paraId="784C1542" w14:textId="77777777" w:rsidR="007A3234" w:rsidRPr="007A3234" w:rsidRDefault="007A3234" w:rsidP="007A3234">
            <w:pPr>
              <w:spacing w:after="0" w:line="240" w:lineRule="auto"/>
              <w:ind w:left="-73" w:right="-2"/>
              <w:contextualSpacing/>
              <w:rPr>
                <w:b/>
                <w:sz w:val="24"/>
                <w:szCs w:val="24"/>
                <w:lang w:val="uk-UA"/>
              </w:rPr>
            </w:pPr>
            <w:r w:rsidRPr="007A3234">
              <w:rPr>
                <w:b/>
                <w:sz w:val="24"/>
                <w:szCs w:val="24"/>
                <w:lang w:val="uk-UA"/>
              </w:rPr>
              <w:t>Утримались</w:t>
            </w:r>
          </w:p>
        </w:tc>
      </w:tr>
      <w:tr w:rsidR="007A3234" w:rsidRPr="007A3234" w14:paraId="1B7EEC85" w14:textId="77777777" w:rsidTr="00847EAE">
        <w:trPr>
          <w:jc w:val="right"/>
        </w:trPr>
        <w:tc>
          <w:tcPr>
            <w:tcW w:w="2129" w:type="dxa"/>
          </w:tcPr>
          <w:p w14:paraId="1E91B477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A3234">
              <w:rPr>
                <w:b/>
                <w:i/>
                <w:sz w:val="24"/>
                <w:szCs w:val="24"/>
                <w:lang w:val="uk-UA"/>
              </w:rPr>
              <w:t>Коломоєць</w:t>
            </w:r>
            <w:proofErr w:type="spellEnd"/>
            <w:r w:rsidRPr="007A3234">
              <w:rPr>
                <w:b/>
                <w:i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708" w:type="dxa"/>
          </w:tcPr>
          <w:p w14:paraId="56C501E9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5EE728D3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6516170B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7A3234" w:rsidRPr="007A3234" w14:paraId="3A81CCEF" w14:textId="77777777" w:rsidTr="00847EAE">
        <w:trPr>
          <w:jc w:val="right"/>
        </w:trPr>
        <w:tc>
          <w:tcPr>
            <w:tcW w:w="2129" w:type="dxa"/>
          </w:tcPr>
          <w:p w14:paraId="6F4476E4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A3234">
              <w:rPr>
                <w:b/>
                <w:i/>
                <w:sz w:val="24"/>
                <w:szCs w:val="24"/>
                <w:lang w:val="uk-UA"/>
              </w:rPr>
              <w:t>Корнякова</w:t>
            </w:r>
            <w:proofErr w:type="spellEnd"/>
            <w:r w:rsidRPr="007A3234">
              <w:rPr>
                <w:b/>
                <w:i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708" w:type="dxa"/>
          </w:tcPr>
          <w:p w14:paraId="3091FB18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6B5AA1B5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0EFA7C5E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7A3234" w:rsidRPr="007A3234" w14:paraId="64D9E90E" w14:textId="77777777" w:rsidTr="00847EAE">
        <w:trPr>
          <w:jc w:val="right"/>
        </w:trPr>
        <w:tc>
          <w:tcPr>
            <w:tcW w:w="2129" w:type="dxa"/>
          </w:tcPr>
          <w:p w14:paraId="209FBBCD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A3234">
              <w:rPr>
                <w:b/>
                <w:i/>
                <w:sz w:val="24"/>
                <w:szCs w:val="24"/>
                <w:lang w:val="uk-UA"/>
              </w:rPr>
              <w:t>Пустова</w:t>
            </w:r>
            <w:proofErr w:type="spellEnd"/>
            <w:r w:rsidRPr="007A3234">
              <w:rPr>
                <w:b/>
                <w:i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708" w:type="dxa"/>
          </w:tcPr>
          <w:p w14:paraId="2AF46C2F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7DE71033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24657F85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7A3234" w:rsidRPr="007A3234" w14:paraId="55CCB7A8" w14:textId="77777777" w:rsidTr="00847EAE">
        <w:trPr>
          <w:jc w:val="right"/>
        </w:trPr>
        <w:tc>
          <w:tcPr>
            <w:tcW w:w="2129" w:type="dxa"/>
          </w:tcPr>
          <w:p w14:paraId="16CEB2D4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A3234">
              <w:rPr>
                <w:b/>
                <w:i/>
                <w:sz w:val="24"/>
                <w:szCs w:val="24"/>
                <w:lang w:val="uk-UA"/>
              </w:rPr>
              <w:t>Гиренко</w:t>
            </w:r>
            <w:proofErr w:type="spellEnd"/>
            <w:r w:rsidRPr="007A3234">
              <w:rPr>
                <w:b/>
                <w:i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708" w:type="dxa"/>
          </w:tcPr>
          <w:p w14:paraId="12AF2258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63C54DB4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2342D406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7A3234" w:rsidRPr="007A3234" w14:paraId="025DFA13" w14:textId="77777777" w:rsidTr="00847EAE">
        <w:trPr>
          <w:jc w:val="right"/>
        </w:trPr>
        <w:tc>
          <w:tcPr>
            <w:tcW w:w="2129" w:type="dxa"/>
          </w:tcPr>
          <w:p w14:paraId="29AE7AD4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A3234">
              <w:rPr>
                <w:b/>
                <w:i/>
                <w:sz w:val="24"/>
                <w:szCs w:val="24"/>
                <w:lang w:val="uk-UA"/>
              </w:rPr>
              <w:t>Зеєва</w:t>
            </w:r>
            <w:proofErr w:type="spellEnd"/>
            <w:r w:rsidRPr="007A3234">
              <w:rPr>
                <w:b/>
                <w:i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708" w:type="dxa"/>
          </w:tcPr>
          <w:p w14:paraId="25AAE5D8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2840463E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44D389E5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7A3234">
              <w:rPr>
                <w:b/>
                <w:i/>
                <w:sz w:val="24"/>
                <w:szCs w:val="24"/>
                <w:lang w:val="uk-UA"/>
              </w:rPr>
              <w:t>0</w:t>
            </w:r>
          </w:p>
        </w:tc>
      </w:tr>
      <w:tr w:rsidR="007A3234" w:rsidRPr="007A3234" w14:paraId="0CAB05FE" w14:textId="77777777" w:rsidTr="00847EAE">
        <w:trPr>
          <w:jc w:val="right"/>
        </w:trPr>
        <w:tc>
          <w:tcPr>
            <w:tcW w:w="2129" w:type="dxa"/>
          </w:tcPr>
          <w:p w14:paraId="6A4F633F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</w:p>
          <w:p w14:paraId="029F5883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7A3234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8" w:type="dxa"/>
          </w:tcPr>
          <w:p w14:paraId="36133DEE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</w:p>
          <w:p w14:paraId="1B3BB0FA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7A3234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14:paraId="5C01254F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</w:p>
          <w:p w14:paraId="33013445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7A3234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14:paraId="503F1C79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</w:p>
          <w:p w14:paraId="20342CE5" w14:textId="77777777" w:rsidR="007A3234" w:rsidRPr="007A3234" w:rsidRDefault="007A3234" w:rsidP="007A3234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7A3234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</w:tbl>
    <w:p w14:paraId="5F4ED46B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25480FE8" w14:textId="77777777" w:rsidR="00123CD8" w:rsidRDefault="00123CD8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96F240" w14:textId="77777777" w:rsidR="00123CD8" w:rsidRDefault="00123CD8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7A3234">
      <w:headerReference w:type="default" r:id="rId9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CE783" w14:textId="77777777" w:rsidR="00C206EF" w:rsidRDefault="00C206EF" w:rsidP="00123CD8">
      <w:pPr>
        <w:spacing w:after="0" w:line="240" w:lineRule="auto"/>
      </w:pPr>
      <w:r>
        <w:separator/>
      </w:r>
    </w:p>
  </w:endnote>
  <w:endnote w:type="continuationSeparator" w:id="0">
    <w:p w14:paraId="4143A988" w14:textId="77777777" w:rsidR="00C206EF" w:rsidRDefault="00C206EF" w:rsidP="0012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1462D" w14:textId="77777777" w:rsidR="00C206EF" w:rsidRDefault="00C206EF" w:rsidP="00123CD8">
      <w:pPr>
        <w:spacing w:after="0" w:line="240" w:lineRule="auto"/>
      </w:pPr>
      <w:r>
        <w:separator/>
      </w:r>
    </w:p>
  </w:footnote>
  <w:footnote w:type="continuationSeparator" w:id="0">
    <w:p w14:paraId="3AF828D5" w14:textId="77777777" w:rsidR="00C206EF" w:rsidRDefault="00C206EF" w:rsidP="0012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764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0A1BF0" w14:textId="66787CBC" w:rsidR="00123CD8" w:rsidRPr="00123CD8" w:rsidRDefault="00123CD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3C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3C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3C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323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3C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53B1194" w14:textId="77777777" w:rsidR="00123CD8" w:rsidRDefault="00123CD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D41"/>
    <w:multiLevelType w:val="hybridMultilevel"/>
    <w:tmpl w:val="E962ECDA"/>
    <w:lvl w:ilvl="0" w:tplc="16145730">
      <w:start w:val="1"/>
      <w:numFmt w:val="decimal"/>
      <w:suff w:val="space"/>
      <w:lvlText w:val="%1."/>
      <w:lvlJc w:val="left"/>
      <w:pPr>
        <w:ind w:left="1068" w:hanging="708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117A7"/>
    <w:multiLevelType w:val="hybridMultilevel"/>
    <w:tmpl w:val="E962ECDA"/>
    <w:lvl w:ilvl="0" w:tplc="16145730">
      <w:start w:val="1"/>
      <w:numFmt w:val="decimal"/>
      <w:suff w:val="space"/>
      <w:lvlText w:val="%1."/>
      <w:lvlJc w:val="left"/>
      <w:pPr>
        <w:ind w:left="1068" w:hanging="708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23CD8"/>
    <w:rsid w:val="00166FF9"/>
    <w:rsid w:val="00177F14"/>
    <w:rsid w:val="00281DDE"/>
    <w:rsid w:val="003A5362"/>
    <w:rsid w:val="00420412"/>
    <w:rsid w:val="005209DF"/>
    <w:rsid w:val="0054605C"/>
    <w:rsid w:val="0056180A"/>
    <w:rsid w:val="0062388C"/>
    <w:rsid w:val="00711235"/>
    <w:rsid w:val="007A3234"/>
    <w:rsid w:val="007D65C4"/>
    <w:rsid w:val="00872FA9"/>
    <w:rsid w:val="008B4C6D"/>
    <w:rsid w:val="00952891"/>
    <w:rsid w:val="009D00AD"/>
    <w:rsid w:val="00A76278"/>
    <w:rsid w:val="00AB1E3B"/>
    <w:rsid w:val="00BB43A3"/>
    <w:rsid w:val="00C206EF"/>
    <w:rsid w:val="00CE1124"/>
    <w:rsid w:val="00CF2B5C"/>
    <w:rsid w:val="00DA76BD"/>
    <w:rsid w:val="00E421D8"/>
    <w:rsid w:val="00EC75CA"/>
    <w:rsid w:val="00ED3E7B"/>
    <w:rsid w:val="00F738E8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table" w:styleId="a6">
    <w:name w:val="Table Grid"/>
    <w:basedOn w:val="a1"/>
    <w:uiPriority w:val="39"/>
    <w:rsid w:val="00FF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7D65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rsid w:val="007D65C4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table" w:customStyle="1" w:styleId="1">
    <w:name w:val="Сетка таблицы1"/>
    <w:basedOn w:val="a1"/>
    <w:next w:val="a6"/>
    <w:uiPriority w:val="39"/>
    <w:rsid w:val="007D65C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BB43A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23C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CD8"/>
    <w:rPr>
      <w:kern w:val="0"/>
      <w14:ligatures w14:val="none"/>
    </w:rPr>
  </w:style>
  <w:style w:type="paragraph" w:styleId="ab">
    <w:name w:val="footer"/>
    <w:basedOn w:val="a"/>
    <w:link w:val="ac"/>
    <w:uiPriority w:val="99"/>
    <w:unhideWhenUsed/>
    <w:rsid w:val="00123C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CD8"/>
    <w:rPr>
      <w:kern w:val="0"/>
      <w14:ligatures w14:val="none"/>
    </w:rPr>
  </w:style>
  <w:style w:type="table" w:customStyle="1" w:styleId="3">
    <w:name w:val="Сетка таблицы3"/>
    <w:basedOn w:val="a1"/>
    <w:next w:val="a6"/>
    <w:uiPriority w:val="39"/>
    <w:rsid w:val="007A323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table" w:styleId="a6">
    <w:name w:val="Table Grid"/>
    <w:basedOn w:val="a1"/>
    <w:uiPriority w:val="39"/>
    <w:rsid w:val="00FF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7D65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rsid w:val="007D65C4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table" w:customStyle="1" w:styleId="1">
    <w:name w:val="Сетка таблицы1"/>
    <w:basedOn w:val="a1"/>
    <w:next w:val="a6"/>
    <w:uiPriority w:val="39"/>
    <w:rsid w:val="007D65C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BB43A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23C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CD8"/>
    <w:rPr>
      <w:kern w:val="0"/>
      <w14:ligatures w14:val="none"/>
    </w:rPr>
  </w:style>
  <w:style w:type="paragraph" w:styleId="ab">
    <w:name w:val="footer"/>
    <w:basedOn w:val="a"/>
    <w:link w:val="ac"/>
    <w:uiPriority w:val="99"/>
    <w:unhideWhenUsed/>
    <w:rsid w:val="00123C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CD8"/>
    <w:rPr>
      <w:kern w:val="0"/>
      <w14:ligatures w14:val="none"/>
    </w:rPr>
  </w:style>
  <w:style w:type="table" w:customStyle="1" w:styleId="3">
    <w:name w:val="Сетка таблицы3"/>
    <w:basedOn w:val="a1"/>
    <w:next w:val="a6"/>
    <w:uiPriority w:val="39"/>
    <w:rsid w:val="007A323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2028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12</cp:revision>
  <cp:lastPrinted>2023-07-17T06:34:00Z</cp:lastPrinted>
  <dcterms:created xsi:type="dcterms:W3CDTF">2023-07-17T06:35:00Z</dcterms:created>
  <dcterms:modified xsi:type="dcterms:W3CDTF">2024-06-06T12:30:00Z</dcterms:modified>
</cp:coreProperties>
</file>