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2E2EAFA6" w14:textId="77777777" w:rsidR="009A4F87" w:rsidRPr="00625084" w:rsidRDefault="009A4F87" w:rsidP="009A4F87">
      <w:pPr>
        <w:pStyle w:val="a4"/>
      </w:pPr>
    </w:p>
    <w:p w14:paraId="50154EB7" w14:textId="0D413C08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A15723">
        <w:rPr>
          <w:b/>
          <w:bCs/>
        </w:rPr>
        <w:t>9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7E8E719C" w:rsidR="009A4F87" w:rsidRDefault="009A4F87" w:rsidP="00967E9D">
      <w:pPr>
        <w:jc w:val="both"/>
        <w:rPr>
          <w:szCs w:val="28"/>
        </w:rPr>
      </w:pPr>
      <w:r>
        <w:t xml:space="preserve">Заслухавши та обговоривши інформацію </w:t>
      </w:r>
      <w:r w:rsidR="00A15723">
        <w:t>голови постійної комісії обласної ради з питань сім</w:t>
      </w:r>
      <w:r w:rsidR="00A15723" w:rsidRPr="004D7B06">
        <w:t>’</w:t>
      </w:r>
      <w:r w:rsidR="00A15723">
        <w:t xml:space="preserve">ї, молоді та спорту </w:t>
      </w:r>
      <w:proofErr w:type="spellStart"/>
      <w:r w:rsidR="00A15723">
        <w:t>Кошляка</w:t>
      </w:r>
      <w:proofErr w:type="spellEnd"/>
      <w:r w:rsidR="00A15723">
        <w:t xml:space="preserve"> М.А.</w:t>
      </w:r>
      <w:r w:rsidR="00F65527">
        <w:t xml:space="preserve"> </w:t>
      </w:r>
      <w:r w:rsidR="0045189E">
        <w:t xml:space="preserve">про </w:t>
      </w:r>
      <w:r w:rsidR="00A15723" w:rsidRPr="00A15723">
        <w:rPr>
          <w:color w:val="000000"/>
          <w:szCs w:val="28"/>
        </w:rPr>
        <w:t>внесення змін до рішення обласної ради від 02 грудня 2016 року № 122-7/</w:t>
      </w:r>
      <w:r w:rsidR="00A15723" w:rsidRPr="00A15723">
        <w:rPr>
          <w:color w:val="000000"/>
          <w:szCs w:val="28"/>
          <w:lang w:val="en-US"/>
        </w:rPr>
        <w:t>VII</w:t>
      </w:r>
      <w:r w:rsidR="00A15723" w:rsidRPr="00A15723">
        <w:rPr>
          <w:color w:val="000000"/>
          <w:szCs w:val="28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 2024 року” (із змінами)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648EB712" w14:textId="77777777" w:rsidR="00A15723" w:rsidRDefault="00A15723" w:rsidP="00A15723">
      <w:pPr>
        <w:pStyle w:val="a7"/>
        <w:tabs>
          <w:tab w:val="left" w:pos="426"/>
        </w:tabs>
        <w:ind w:left="0"/>
        <w:jc w:val="both"/>
        <w:rPr>
          <w:lang w:val="uk-UA"/>
        </w:rPr>
      </w:pPr>
      <w:r w:rsidRPr="004D7B06">
        <w:rPr>
          <w:bCs/>
          <w:lang w:val="uk-UA"/>
        </w:rPr>
        <w:t xml:space="preserve">1. </w:t>
      </w:r>
      <w:r w:rsidRPr="003E1B5A">
        <w:rPr>
          <w:lang w:val="uk-UA"/>
        </w:rPr>
        <w:t xml:space="preserve">Інформацію </w:t>
      </w:r>
      <w:r>
        <w:rPr>
          <w:lang w:val="uk-UA"/>
        </w:rPr>
        <w:t>голови постійної комісії обласної ради з питань сім</w:t>
      </w:r>
      <w:r w:rsidRPr="004D7B06">
        <w:rPr>
          <w:lang w:val="uk-UA"/>
        </w:rPr>
        <w:t>’</w:t>
      </w:r>
      <w:r>
        <w:rPr>
          <w:lang w:val="uk-UA"/>
        </w:rPr>
        <w:t xml:space="preserve">ї, молоді та спорту </w:t>
      </w:r>
      <w:proofErr w:type="spellStart"/>
      <w:r>
        <w:rPr>
          <w:lang w:val="uk-UA"/>
        </w:rPr>
        <w:t>Кошляка</w:t>
      </w:r>
      <w:proofErr w:type="spellEnd"/>
      <w:r>
        <w:rPr>
          <w:lang w:val="uk-UA"/>
        </w:rPr>
        <w:t xml:space="preserve"> М.А. та </w:t>
      </w:r>
      <w:bookmarkStart w:id="0" w:name="_Hlk176359971"/>
      <w:r w:rsidRPr="00F1230B">
        <w:rPr>
          <w:lang w:val="uk-UA"/>
        </w:rPr>
        <w:t xml:space="preserve">виконуючої обов’язки </w:t>
      </w:r>
      <w:r w:rsidRPr="00F1230B">
        <w:rPr>
          <w:rFonts w:eastAsia="Calibri"/>
          <w:lang w:val="uk-UA"/>
        </w:rPr>
        <w:t xml:space="preserve">начальника </w:t>
      </w:r>
      <w:r w:rsidRPr="00F1230B">
        <w:rPr>
          <w:lang w:val="uk-UA"/>
        </w:rPr>
        <w:t>управління молоді і спорту Дніпропетровської обласної державної адміністрації</w:t>
      </w:r>
      <w:r w:rsidRPr="00F1230B">
        <w:rPr>
          <w:rFonts w:eastAsia="Calibri"/>
          <w:lang w:val="uk-UA"/>
        </w:rPr>
        <w:t xml:space="preserve"> </w:t>
      </w:r>
      <w:bookmarkEnd w:id="0"/>
      <w:r w:rsidRPr="00F1230B">
        <w:rPr>
          <w:rFonts w:eastAsia="Calibri"/>
          <w:lang w:val="uk-UA"/>
        </w:rPr>
        <w:t xml:space="preserve">Скляр Ю.О. </w:t>
      </w:r>
      <w:r w:rsidRPr="003E1B5A">
        <w:rPr>
          <w:lang w:val="uk-UA"/>
        </w:rPr>
        <w:t>взяти до відома.</w:t>
      </w:r>
    </w:p>
    <w:p w14:paraId="52120AD3" w14:textId="77777777" w:rsidR="00A15723" w:rsidRDefault="00A15723" w:rsidP="00A15723">
      <w:pPr>
        <w:pStyle w:val="a7"/>
        <w:tabs>
          <w:tab w:val="left" w:pos="426"/>
        </w:tabs>
        <w:ind w:left="0"/>
        <w:jc w:val="both"/>
        <w:rPr>
          <w:color w:val="000000"/>
          <w:lang w:val="uk-UA"/>
        </w:rPr>
      </w:pPr>
      <w:r>
        <w:rPr>
          <w:lang w:val="uk-UA"/>
        </w:rPr>
        <w:t>2. </w:t>
      </w:r>
      <w:r w:rsidRPr="00E46D78">
        <w:rPr>
          <w:lang w:val="uk-UA"/>
        </w:rPr>
        <w:t xml:space="preserve">Рекомендувати сесії обласної ради затвердити </w:t>
      </w:r>
      <w:proofErr w:type="spellStart"/>
      <w:r w:rsidRPr="00E46D78">
        <w:rPr>
          <w:lang w:val="uk-UA"/>
        </w:rPr>
        <w:t>проєкт</w:t>
      </w:r>
      <w:proofErr w:type="spellEnd"/>
      <w:r w:rsidRPr="00E46D78">
        <w:rPr>
          <w:lang w:val="uk-UA"/>
        </w:rPr>
        <w:t xml:space="preserve"> рішення обласної ради „</w:t>
      </w:r>
      <w:r w:rsidRPr="00167759">
        <w:rPr>
          <w:bCs/>
          <w:color w:val="000000"/>
          <w:lang w:val="uk-UA"/>
        </w:rPr>
        <w:t>Про внесення змін до рішення обласної ради</w:t>
      </w:r>
      <w:r w:rsidRPr="00167759">
        <w:rPr>
          <w:b/>
          <w:color w:val="000000"/>
          <w:lang w:val="uk-UA"/>
        </w:rPr>
        <w:t xml:space="preserve"> </w:t>
      </w:r>
      <w:r w:rsidRPr="00167759">
        <w:rPr>
          <w:color w:val="000000"/>
          <w:lang w:val="uk-UA"/>
        </w:rPr>
        <w:t xml:space="preserve">від </w:t>
      </w:r>
      <w:r w:rsidRPr="00B87BC2">
        <w:rPr>
          <w:color w:val="000000"/>
          <w:lang w:val="uk-UA"/>
        </w:rPr>
        <w:t xml:space="preserve">02 грудня 2016 року </w:t>
      </w:r>
      <w:r>
        <w:rPr>
          <w:color w:val="000000"/>
          <w:lang w:val="uk-UA"/>
        </w:rPr>
        <w:t xml:space="preserve">                          </w:t>
      </w:r>
      <w:r w:rsidRPr="00B87BC2">
        <w:rPr>
          <w:color w:val="000000"/>
          <w:lang w:val="uk-UA"/>
        </w:rPr>
        <w:t>№ 122-7/</w:t>
      </w:r>
      <w:r w:rsidRPr="005A04EA">
        <w:rPr>
          <w:color w:val="000000"/>
          <w:lang w:val="en-US"/>
        </w:rPr>
        <w:t>VII</w:t>
      </w:r>
      <w:r w:rsidRPr="00B87BC2">
        <w:rPr>
          <w:color w:val="000000"/>
          <w:lang w:val="uk-UA"/>
        </w:rPr>
        <w:t xml:space="preserve"> „Про затвердження Цільової соціальної комплексної програми розвитку фізичної культури і спорту в Дніпропетровській області до 2024 року” (із змінами)</w:t>
      </w:r>
      <w:r>
        <w:rPr>
          <w:color w:val="000000"/>
          <w:lang w:val="uk-UA"/>
        </w:rPr>
        <w:t xml:space="preserve"> </w:t>
      </w:r>
      <w:r w:rsidRPr="00DA57E1">
        <w:rPr>
          <w:color w:val="000000"/>
          <w:lang w:val="uk-UA"/>
        </w:rPr>
        <w:t>щодо внесення змін до пункту 6.4</w:t>
      </w:r>
      <w:r>
        <w:rPr>
          <w:color w:val="000000"/>
          <w:lang w:val="uk-UA"/>
        </w:rPr>
        <w:t xml:space="preserve"> </w:t>
      </w:r>
      <w:r w:rsidRPr="00DA57E1">
        <w:rPr>
          <w:lang w:val="uk-UA"/>
        </w:rPr>
        <w:t>в частині надання стипендій учасникам Олімпійських та Паралімпійських ігор у м. Парижі</w:t>
      </w:r>
      <w:r>
        <w:rPr>
          <w:color w:val="000000"/>
          <w:lang w:val="uk-UA"/>
        </w:rPr>
        <w:t>.</w:t>
      </w:r>
    </w:p>
    <w:p w14:paraId="19361FF7" w14:textId="77777777" w:rsidR="00A15723" w:rsidRPr="00B87BC2" w:rsidRDefault="00A15723" w:rsidP="00A15723">
      <w:pPr>
        <w:pStyle w:val="a7"/>
        <w:tabs>
          <w:tab w:val="left" w:pos="426"/>
        </w:tabs>
        <w:ind w:left="0"/>
        <w:jc w:val="both"/>
        <w:rPr>
          <w:lang w:val="uk-UA"/>
        </w:rPr>
      </w:pPr>
    </w:p>
    <w:p w14:paraId="4C74FC01" w14:textId="77777777" w:rsidR="00A15723" w:rsidRPr="004E1056" w:rsidRDefault="00A15723" w:rsidP="00A15723">
      <w:pPr>
        <w:ind w:left="1287" w:hanging="720"/>
        <w:jc w:val="center"/>
        <w:rPr>
          <w:b/>
          <w:bCs/>
          <w:szCs w:val="28"/>
        </w:rPr>
      </w:pPr>
      <w:r w:rsidRPr="004E1056">
        <w:rPr>
          <w:b/>
          <w:bCs/>
          <w:szCs w:val="28"/>
        </w:rPr>
        <w:t>Результати голосування:</w:t>
      </w:r>
    </w:p>
    <w:p w14:paraId="3EF491D3" w14:textId="77777777" w:rsidR="00A15723" w:rsidRPr="004E1056" w:rsidRDefault="00A15723" w:rsidP="00A15723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A15723" w:rsidRPr="004E1056" w14:paraId="14B417D4" w14:textId="77777777" w:rsidTr="00944D9C">
        <w:tc>
          <w:tcPr>
            <w:tcW w:w="2180" w:type="dxa"/>
            <w:hideMark/>
          </w:tcPr>
          <w:p w14:paraId="478B0EDD" w14:textId="77777777" w:rsidR="00A15723" w:rsidRPr="004E1056" w:rsidRDefault="00A15723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3CC60B81" w14:textId="77777777" w:rsidR="00A15723" w:rsidRPr="004E1056" w:rsidRDefault="00A15723" w:rsidP="00A15723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  <w:tr w:rsidR="00A15723" w:rsidRPr="004E1056" w14:paraId="59B744E8" w14:textId="77777777" w:rsidTr="00944D9C">
        <w:tc>
          <w:tcPr>
            <w:tcW w:w="2180" w:type="dxa"/>
            <w:hideMark/>
          </w:tcPr>
          <w:p w14:paraId="5C02C9D3" w14:textId="77777777" w:rsidR="00A15723" w:rsidRPr="004E1056" w:rsidRDefault="00A15723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72058B20" w14:textId="77777777" w:rsidR="00A15723" w:rsidRPr="004E1056" w:rsidRDefault="00A15723" w:rsidP="00A15723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A15723" w:rsidRPr="004E1056" w14:paraId="616691B8" w14:textId="77777777" w:rsidTr="00944D9C">
        <w:tc>
          <w:tcPr>
            <w:tcW w:w="2180" w:type="dxa"/>
            <w:hideMark/>
          </w:tcPr>
          <w:p w14:paraId="66DB62E7" w14:textId="77777777" w:rsidR="00A15723" w:rsidRPr="004E1056" w:rsidRDefault="00A15723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096E23F8" w14:textId="77777777" w:rsidR="00A15723" w:rsidRPr="004E1056" w:rsidRDefault="00A15723" w:rsidP="00A15723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0</w:t>
            </w:r>
          </w:p>
        </w:tc>
      </w:tr>
      <w:tr w:rsidR="00A15723" w:rsidRPr="004E1056" w14:paraId="30424ABF" w14:textId="77777777" w:rsidTr="00944D9C">
        <w:tc>
          <w:tcPr>
            <w:tcW w:w="2180" w:type="dxa"/>
            <w:hideMark/>
          </w:tcPr>
          <w:p w14:paraId="36F13BA0" w14:textId="77777777" w:rsidR="00A15723" w:rsidRPr="004E1056" w:rsidRDefault="00A15723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4E1056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4E1056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F8945A9" w14:textId="77777777" w:rsidR="00A15723" w:rsidRPr="004E1056" w:rsidRDefault="00A15723" w:rsidP="00A15723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4E1056">
              <w:rPr>
                <w:bCs/>
                <w:szCs w:val="28"/>
                <w:lang w:val="ru-RU"/>
              </w:rPr>
              <w:t>4</w:t>
            </w:r>
          </w:p>
        </w:tc>
      </w:tr>
    </w:tbl>
    <w:p w14:paraId="2C7CC9BA" w14:textId="77777777" w:rsidR="00A15723" w:rsidRPr="004E1056" w:rsidRDefault="00A15723" w:rsidP="00A15723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Кошляк</w:t>
      </w:r>
      <w:proofErr w:type="spellEnd"/>
      <w:r w:rsidRPr="004E1056">
        <w:rPr>
          <w:szCs w:val="28"/>
        </w:rPr>
        <w:t xml:space="preserve"> М.А. – за</w:t>
      </w:r>
    </w:p>
    <w:p w14:paraId="4A53A4A2" w14:textId="77777777" w:rsidR="00A15723" w:rsidRPr="004E1056" w:rsidRDefault="00A15723" w:rsidP="00A15723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Міфтахутдінова</w:t>
      </w:r>
      <w:proofErr w:type="spellEnd"/>
      <w:r w:rsidRPr="004E1056">
        <w:rPr>
          <w:szCs w:val="28"/>
        </w:rPr>
        <w:t xml:space="preserve"> Д.А. – за</w:t>
      </w:r>
    </w:p>
    <w:p w14:paraId="05DFC04F" w14:textId="77777777" w:rsidR="00A15723" w:rsidRPr="004E1056" w:rsidRDefault="00A15723" w:rsidP="00A15723">
      <w:pPr>
        <w:ind w:left="1287" w:hanging="720"/>
        <w:jc w:val="both"/>
        <w:rPr>
          <w:szCs w:val="28"/>
        </w:rPr>
      </w:pPr>
      <w:r w:rsidRPr="004E1056">
        <w:rPr>
          <w:szCs w:val="28"/>
        </w:rPr>
        <w:t>Музика Д.С. – за</w:t>
      </w:r>
    </w:p>
    <w:p w14:paraId="73E147ED" w14:textId="77777777" w:rsidR="00A15723" w:rsidRPr="00751BDB" w:rsidRDefault="00A15723" w:rsidP="00A15723">
      <w:pPr>
        <w:ind w:left="1287" w:hanging="720"/>
        <w:jc w:val="both"/>
        <w:rPr>
          <w:szCs w:val="28"/>
        </w:rPr>
      </w:pPr>
      <w:proofErr w:type="spellStart"/>
      <w:r w:rsidRPr="004E1056">
        <w:rPr>
          <w:szCs w:val="28"/>
        </w:rPr>
        <w:t>Немченко</w:t>
      </w:r>
      <w:proofErr w:type="spellEnd"/>
      <w:r w:rsidRPr="004E1056">
        <w:rPr>
          <w:szCs w:val="28"/>
        </w:rPr>
        <w:t xml:space="preserve"> К.І. – за</w:t>
      </w:r>
    </w:p>
    <w:p w14:paraId="55B9FB9F" w14:textId="77777777" w:rsidR="00A15723" w:rsidRDefault="00A15723">
      <w:pPr>
        <w:rPr>
          <w:b/>
          <w:szCs w:val="28"/>
        </w:rPr>
      </w:pPr>
    </w:p>
    <w:p w14:paraId="5AF50156" w14:textId="57CFB0AF" w:rsidR="006A1A5E" w:rsidRDefault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21B4" w14:textId="77777777" w:rsidR="00BA59B6" w:rsidRDefault="00BA59B6" w:rsidP="00787058">
      <w:r>
        <w:separator/>
      </w:r>
    </w:p>
  </w:endnote>
  <w:endnote w:type="continuationSeparator" w:id="0">
    <w:p w14:paraId="30E52DAB" w14:textId="77777777" w:rsidR="00BA59B6" w:rsidRDefault="00BA59B6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DF50" w14:textId="77777777" w:rsidR="00BA59B6" w:rsidRDefault="00BA59B6" w:rsidP="00787058">
      <w:r>
        <w:separator/>
      </w:r>
    </w:p>
  </w:footnote>
  <w:footnote w:type="continuationSeparator" w:id="0">
    <w:p w14:paraId="559E925B" w14:textId="77777777" w:rsidR="00BA59B6" w:rsidRDefault="00BA59B6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738"/>
    <w:multiLevelType w:val="hybridMultilevel"/>
    <w:tmpl w:val="EA160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B3A0A"/>
    <w:multiLevelType w:val="hybridMultilevel"/>
    <w:tmpl w:val="AA4E2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3"/>
  </w:num>
  <w:num w:numId="2" w16cid:durableId="1783180865">
    <w:abstractNumId w:val="0"/>
  </w:num>
  <w:num w:numId="3" w16cid:durableId="314339377">
    <w:abstractNumId w:val="2"/>
  </w:num>
  <w:num w:numId="4" w16cid:durableId="107442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1536EF"/>
    <w:rsid w:val="00213D7F"/>
    <w:rsid w:val="002F096F"/>
    <w:rsid w:val="003C1753"/>
    <w:rsid w:val="0041525A"/>
    <w:rsid w:val="0045189E"/>
    <w:rsid w:val="004B2A5B"/>
    <w:rsid w:val="005711B1"/>
    <w:rsid w:val="006A1A5E"/>
    <w:rsid w:val="00742BAA"/>
    <w:rsid w:val="00787058"/>
    <w:rsid w:val="00814C8F"/>
    <w:rsid w:val="00967E9D"/>
    <w:rsid w:val="009A4F87"/>
    <w:rsid w:val="00A15723"/>
    <w:rsid w:val="00B80308"/>
    <w:rsid w:val="00BA59B6"/>
    <w:rsid w:val="00C73D9A"/>
    <w:rsid w:val="00F65527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963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cp:lastPrinted>2024-09-05T09:08:00Z</cp:lastPrinted>
  <dcterms:created xsi:type="dcterms:W3CDTF">2024-09-05T08:52:00Z</dcterms:created>
  <dcterms:modified xsi:type="dcterms:W3CDTF">2024-09-05T11:16:00Z</dcterms:modified>
</cp:coreProperties>
</file>