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E9" w:rsidRPr="00115FC5" w:rsidRDefault="007B24E9" w:rsidP="007B24E9">
      <w:pPr>
        <w:pStyle w:val="3"/>
        <w:jc w:val="center"/>
      </w:pPr>
      <w:r>
        <w:rPr>
          <w:noProof/>
          <w:lang w:eastAsia="uk-UA"/>
        </w:rPr>
        <w:drawing>
          <wp:inline distT="0" distB="0" distL="0" distR="0">
            <wp:extent cx="730250" cy="7099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4E9" w:rsidRPr="00115FC5" w:rsidRDefault="007B24E9" w:rsidP="007B24E9">
      <w:pPr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ДНІПРОПЕТРОВСЬКА ОБЛАСНА РАДА</w:t>
      </w:r>
    </w:p>
    <w:p w:rsidR="007B24E9" w:rsidRPr="00115FC5" w:rsidRDefault="007B24E9" w:rsidP="007B24E9">
      <w:pPr>
        <w:shd w:val="clear" w:color="auto" w:fill="FFFFFF"/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V</w:t>
      </w:r>
      <w:r>
        <w:rPr>
          <w:b/>
          <w:sz w:val="36"/>
          <w:szCs w:val="36"/>
        </w:rPr>
        <w:t>Ш</w:t>
      </w:r>
      <w:r w:rsidRPr="00115FC5">
        <w:rPr>
          <w:b/>
          <w:sz w:val="36"/>
          <w:szCs w:val="36"/>
        </w:rPr>
        <w:t xml:space="preserve"> СКЛИКАННЯ</w:t>
      </w:r>
    </w:p>
    <w:p w:rsidR="007B24E9" w:rsidRPr="00115FC5" w:rsidRDefault="007B24E9" w:rsidP="007B24E9">
      <w:pPr>
        <w:shd w:val="clear" w:color="auto" w:fill="FFFFFF"/>
        <w:jc w:val="center"/>
        <w:rPr>
          <w:b/>
        </w:rPr>
      </w:pPr>
    </w:p>
    <w:p w:rsidR="007B24E9" w:rsidRPr="00115FC5" w:rsidRDefault="007B24E9" w:rsidP="007B24E9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115FC5">
        <w:rPr>
          <w:b/>
          <w:bCs/>
          <w:iCs/>
          <w:sz w:val="32"/>
          <w:szCs w:val="32"/>
        </w:rPr>
        <w:t>Постійна комісія обласної ради з питань охорони здоров’я, дитинства та материнства</w:t>
      </w:r>
    </w:p>
    <w:p w:rsidR="007B24E9" w:rsidRDefault="007B24E9" w:rsidP="007B24E9">
      <w:pPr>
        <w:ind w:left="-8" w:right="-8"/>
        <w:jc w:val="center"/>
      </w:pPr>
      <w:r>
        <w:rPr>
          <w:b/>
          <w:bCs/>
          <w:iCs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29210" r="30480" b="37465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2WWQ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d9jCRpoEXd5837zbr73n3ZrNHmQ/ez+9Z97e66H93d5iPE95tPEPvN7n63&#10;vEZ9r2SrbQaAY3lpvBblUl7pC1XeWCTVuCZyzkJF1ysNn0n8iejRET+xGvjM2peKQg65dSrIuqxM&#10;4yFBMLQM3VsduseWDpWwOOinwzSGJpf7vYhk+4PaWPeCqQb5IMeCSy8sycjiwjpPhGT7FL8s1ZQL&#10;EcwhJGpzfHySHHvoRoNUrubyGgxzEyCsEpz6dH/QmvlsLAxaEG+48IQ6YedhmlG3kgb4mhE62cWO&#10;cLGNgY6QHg+KA4K7aOuot6fx6WQ4Gaa9tD+Y9NK4KHrPp+O0N5gmJ8fFs2I8LpJ3nlqSZjWnlEnP&#10;bu/uJP079+zu2daXB38fhIkeowcFgez+HUiH7vqGbq0xU3R1afZdB0OH5N3l8zfm4Rzih7+I0S8A&#10;AAD//wMAUEsDBBQABgAIAAAAIQA2xhjG3gAAAAgBAAAPAAAAZHJzL2Rvd25yZXYueG1sTI/BTsMw&#10;EETvSPyDtUhcqtaGSBBCnApVcOGA1JYD3Nx4SSLidWq7TeDrWdQDHHdmNPumXE6uF0cMsfOk4Wqh&#10;QCDV3nbUaHjdPs1zEDEZsqb3hBq+MMKyOj8rTWH9SGs8blIjuIRiYTS0KQ2FlLFu0Zm48AMSex8+&#10;OJP4DI20wYxc7np5rdSNdKYj/tCaAVct1p+bg9Ng1zE+rqb8O3sJz/v9Wz57H7czrS8vpod7EAmn&#10;9BeGX3xGh4qZdv5ANopewzzLOMm64gXs3+XqFsTuJMiqlP8HVD8AAAD//wMAUEsBAi0AFAAGAAgA&#10;AAAhALaDOJL+AAAA4QEAABMAAAAAAAAAAAAAAAAAAAAAAFtDb250ZW50X1R5cGVzXS54bWxQSwEC&#10;LQAUAAYACAAAACEAOP0h/9YAAACUAQAACwAAAAAAAAAAAAAAAAAvAQAAX3JlbHMvLnJlbHNQSwEC&#10;LQAUAAYACAAAACEAuastllkCAABqBAAADgAAAAAAAAAAAAAAAAAuAgAAZHJzL2Uyb0RvYy54bWxQ&#10;SwECLQAUAAYACAAAACEANsYYxt4AAAAIAQAADwAAAAAAAAAAAAAAAACzBAAAZHJzL2Rvd25yZXYu&#10;eG1sUEsFBgAAAAAEAAQA8wAAAL4FAAAAAA==&#10;" strokeweight="4.5pt">
                <v:stroke linestyle="thinThick"/>
                <w10:wrap type="square"/>
              </v:line>
            </w:pict>
          </mc:Fallback>
        </mc:AlternateContent>
      </w:r>
      <w:r w:rsidRPr="00115FC5">
        <w:t xml:space="preserve">49004, м. Дніпро, </w:t>
      </w:r>
      <w:proofErr w:type="spellStart"/>
      <w:r w:rsidRPr="00115FC5">
        <w:t>пр</w:t>
      </w:r>
      <w:proofErr w:type="spellEnd"/>
      <w:r w:rsidRPr="00115FC5">
        <w:rPr>
          <w:lang w:val="ru-RU"/>
        </w:rPr>
        <w:t>осп</w:t>
      </w:r>
      <w:r w:rsidRPr="00115FC5">
        <w:t xml:space="preserve">. </w:t>
      </w:r>
      <w:r w:rsidRPr="00115FC5">
        <w:rPr>
          <w:lang w:val="ru-RU"/>
        </w:rPr>
        <w:t>Поля</w:t>
      </w:r>
      <w:r w:rsidRPr="00115FC5">
        <w:t>, 2</w:t>
      </w:r>
    </w:p>
    <w:p w:rsidR="00B64AEC" w:rsidRPr="00AD46E1" w:rsidRDefault="007E417E" w:rsidP="005950BC">
      <w:pPr>
        <w:jc w:val="center"/>
        <w:rPr>
          <w:b/>
          <w:lang w:val="ru-RU"/>
        </w:rPr>
      </w:pPr>
      <w:r>
        <w:rPr>
          <w:b/>
        </w:rPr>
        <w:t>ВИСНОВКИ ТА</w:t>
      </w:r>
      <w:r w:rsidR="005950BC" w:rsidRPr="005950BC">
        <w:rPr>
          <w:b/>
        </w:rPr>
        <w:t xml:space="preserve"> РЕКОМЕНДАЦІЇ № </w:t>
      </w:r>
      <w:r w:rsidR="00022408">
        <w:rPr>
          <w:b/>
        </w:rPr>
        <w:t>5</w:t>
      </w:r>
      <w:r w:rsidR="0056343E">
        <w:rPr>
          <w:b/>
        </w:rPr>
        <w:t>/2</w:t>
      </w:r>
      <w:bookmarkStart w:id="0" w:name="_GoBack"/>
      <w:bookmarkEnd w:id="0"/>
      <w:r w:rsidR="000731B1">
        <w:rPr>
          <w:b/>
        </w:rPr>
        <w:t>/</w:t>
      </w:r>
      <w:r w:rsidR="00311B4E">
        <w:rPr>
          <w:b/>
          <w:lang w:val="ru-RU"/>
        </w:rPr>
        <w:t>21</w:t>
      </w:r>
    </w:p>
    <w:p w:rsidR="005950BC" w:rsidRDefault="005950BC" w:rsidP="005950BC">
      <w:pPr>
        <w:ind w:left="1416" w:firstLine="708"/>
      </w:pPr>
      <w:r>
        <w:t xml:space="preserve">засідання постійної комісії обласної ради </w:t>
      </w:r>
    </w:p>
    <w:p w:rsidR="00311B4E" w:rsidRPr="00236BAD" w:rsidRDefault="00311B4E" w:rsidP="00311B4E">
      <w:pPr>
        <w:spacing w:line="223" w:lineRule="auto"/>
        <w:jc w:val="right"/>
      </w:pPr>
      <w:r w:rsidRPr="00236BAD">
        <w:t>„</w:t>
      </w:r>
      <w:r>
        <w:rPr>
          <w:lang w:val="ru-RU"/>
        </w:rPr>
        <w:t>02</w:t>
      </w:r>
      <w:r w:rsidRPr="00236BAD">
        <w:t xml:space="preserve">” </w:t>
      </w:r>
      <w:proofErr w:type="spellStart"/>
      <w:r>
        <w:rPr>
          <w:lang w:val="ru-RU"/>
        </w:rPr>
        <w:t>травня</w:t>
      </w:r>
      <w:proofErr w:type="spellEnd"/>
      <w:r w:rsidRPr="00236BAD">
        <w:t xml:space="preserve"> 202</w:t>
      </w:r>
      <w:r>
        <w:rPr>
          <w:lang w:val="ru-RU"/>
        </w:rPr>
        <w:t>5</w:t>
      </w:r>
      <w:r w:rsidRPr="00236BAD">
        <w:t xml:space="preserve"> року</w:t>
      </w:r>
    </w:p>
    <w:p w:rsidR="00311B4E" w:rsidRPr="00236BAD" w:rsidRDefault="00311B4E" w:rsidP="00311B4E">
      <w:pPr>
        <w:spacing w:line="223" w:lineRule="auto"/>
        <w:jc w:val="right"/>
      </w:pPr>
    </w:p>
    <w:p w:rsidR="00311B4E" w:rsidRPr="005C69B5" w:rsidRDefault="00311B4E" w:rsidP="00311B4E">
      <w:pPr>
        <w:spacing w:line="223" w:lineRule="auto"/>
        <w:jc w:val="right"/>
      </w:pPr>
      <w:r>
        <w:t>11</w:t>
      </w:r>
      <w:r w:rsidRPr="00A05D7D">
        <w:t>.00</w:t>
      </w:r>
    </w:p>
    <w:p w:rsidR="005950BC" w:rsidRPr="00266184" w:rsidRDefault="005950BC" w:rsidP="006905CB">
      <w:pPr>
        <w:spacing w:line="276" w:lineRule="auto"/>
        <w:jc w:val="right"/>
      </w:pPr>
    </w:p>
    <w:p w:rsidR="0056343E" w:rsidRPr="007612DD" w:rsidRDefault="005950BC" w:rsidP="0056343E">
      <w:pPr>
        <w:ind w:firstLine="708"/>
        <w:jc w:val="both"/>
      </w:pPr>
      <w:r w:rsidRPr="005950BC">
        <w:t xml:space="preserve">Заслухали та обговорили інформацію </w:t>
      </w:r>
      <w:proofErr w:type="spellStart"/>
      <w:r w:rsidR="00B300AA">
        <w:rPr>
          <w:szCs w:val="28"/>
        </w:rPr>
        <w:t>Пустової</w:t>
      </w:r>
      <w:proofErr w:type="spellEnd"/>
      <w:r w:rsidR="00B300AA">
        <w:rPr>
          <w:szCs w:val="28"/>
        </w:rPr>
        <w:t xml:space="preserve"> А.О.</w:t>
      </w:r>
      <w:r w:rsidR="00B300AA" w:rsidRPr="0034475E">
        <w:rPr>
          <w:szCs w:val="28"/>
        </w:rPr>
        <w:t xml:space="preserve"> </w:t>
      </w:r>
      <w:r w:rsidR="0056343E">
        <w:rPr>
          <w:szCs w:val="28"/>
        </w:rPr>
        <w:t>п</w:t>
      </w:r>
      <w:r w:rsidR="0056343E">
        <w:t>ро розгляд з</w:t>
      </w:r>
      <w:r w:rsidR="0056343E" w:rsidRPr="007612DD">
        <w:t xml:space="preserve">вернення виконуючого обов’язки генерального директора                                                   КП ,,Міжобласний центр медичної генетики і пренатальної діагностики імені П.М. </w:t>
      </w:r>
      <w:proofErr w:type="spellStart"/>
      <w:r w:rsidR="0056343E" w:rsidRPr="007612DD">
        <w:t>Веропотвеляна</w:t>
      </w:r>
      <w:proofErr w:type="spellEnd"/>
      <w:r w:rsidR="0056343E" w:rsidRPr="007612DD">
        <w:t xml:space="preserve">” ДОР” </w:t>
      </w:r>
      <w:proofErr w:type="spellStart"/>
      <w:r w:rsidR="0056343E" w:rsidRPr="007612DD">
        <w:t>Веропотвеляна</w:t>
      </w:r>
      <w:proofErr w:type="spellEnd"/>
      <w:r w:rsidR="0056343E" w:rsidRPr="007612DD">
        <w:t xml:space="preserve"> М.П. щодо виділення коштів обласного бюджету  на ремонт та технічне обслуговування обладнання для виконання програми </w:t>
      </w:r>
      <w:proofErr w:type="spellStart"/>
      <w:r w:rsidR="0056343E" w:rsidRPr="007612DD">
        <w:t>неонатального</w:t>
      </w:r>
      <w:proofErr w:type="spellEnd"/>
      <w:r w:rsidR="0056343E" w:rsidRPr="007612DD">
        <w:t xml:space="preserve"> </w:t>
      </w:r>
      <w:proofErr w:type="spellStart"/>
      <w:r w:rsidR="0056343E" w:rsidRPr="007612DD">
        <w:t>скринінгу</w:t>
      </w:r>
      <w:proofErr w:type="spellEnd"/>
      <w:r w:rsidR="0056343E">
        <w:t xml:space="preserve"> (від 01.05.2025 № 01.10/213)</w:t>
      </w:r>
      <w:r w:rsidR="0056343E" w:rsidRPr="007612DD">
        <w:t xml:space="preserve">.  </w:t>
      </w:r>
    </w:p>
    <w:p w:rsidR="005950BC" w:rsidRDefault="00916379" w:rsidP="0056343E">
      <w:pPr>
        <w:ind w:firstLine="708"/>
        <w:jc w:val="both"/>
      </w:pPr>
      <w:r>
        <w:t>З</w:t>
      </w:r>
      <w:r w:rsidR="005950BC" w:rsidRPr="005950BC">
        <w:t xml:space="preserve">а результатами розгляду питання постійна комісія </w:t>
      </w:r>
      <w:r w:rsidR="005950BC" w:rsidRPr="005950BC">
        <w:rPr>
          <w:b/>
        </w:rPr>
        <w:t>вирішила</w:t>
      </w:r>
      <w:r w:rsidR="005950BC" w:rsidRPr="005950BC">
        <w:t xml:space="preserve">: </w:t>
      </w:r>
    </w:p>
    <w:p w:rsidR="0056343E" w:rsidRDefault="0056343E" w:rsidP="0056343E">
      <w:pPr>
        <w:ind w:firstLine="708"/>
        <w:jc w:val="both"/>
        <w:rPr>
          <w:rFonts w:eastAsia="Arial Unicode MS"/>
          <w:b/>
          <w:bCs/>
          <w:szCs w:val="28"/>
          <w:lang w:eastAsia="x-none"/>
        </w:rPr>
      </w:pPr>
      <w:r w:rsidRPr="009626C4">
        <w:t>Для прийняття обґрунтованого рішення, беручи до уваги важливість порушен</w:t>
      </w:r>
      <w:r>
        <w:t>ого питання</w:t>
      </w:r>
      <w:r w:rsidRPr="009626C4">
        <w:t xml:space="preserve">, необхідності </w:t>
      </w:r>
      <w:r>
        <w:t>його</w:t>
      </w:r>
      <w:r w:rsidRPr="009626C4">
        <w:t xml:space="preserve"> додаткового опрацювання, направити звернення </w:t>
      </w:r>
      <w:r w:rsidRPr="007612DD">
        <w:t xml:space="preserve">виконуючого обов’язки генерального директора                                                   КП ,,Міжобласний центр медичної генетики і пренатальної діагностики імені П.М. </w:t>
      </w:r>
      <w:proofErr w:type="spellStart"/>
      <w:r w:rsidRPr="007612DD">
        <w:t>Веропотвеляна</w:t>
      </w:r>
      <w:proofErr w:type="spellEnd"/>
      <w:r w:rsidRPr="007612DD">
        <w:t xml:space="preserve">” ДОР” </w:t>
      </w:r>
      <w:proofErr w:type="spellStart"/>
      <w:r w:rsidRPr="007612DD">
        <w:t>Веропотвеляна</w:t>
      </w:r>
      <w:proofErr w:type="spellEnd"/>
      <w:r w:rsidRPr="007612DD">
        <w:t xml:space="preserve"> М.П. щодо виділення коштів обласного бюджету  на ремонт та технічне обслуговування обладнання для виконання програми </w:t>
      </w:r>
      <w:proofErr w:type="spellStart"/>
      <w:r w:rsidRPr="007612DD">
        <w:t>неонатального</w:t>
      </w:r>
      <w:proofErr w:type="spellEnd"/>
      <w:r w:rsidRPr="007612DD">
        <w:t xml:space="preserve"> </w:t>
      </w:r>
      <w:proofErr w:type="spellStart"/>
      <w:r w:rsidRPr="007612DD">
        <w:t>скринінгу</w:t>
      </w:r>
      <w:proofErr w:type="spellEnd"/>
      <w:r>
        <w:t xml:space="preserve"> </w:t>
      </w:r>
      <w:r w:rsidRPr="009626C4">
        <w:t>до департаменту охорони здоров’я обласної державної адміністрації, що є головним розпорядником коштів обласного бюджету з метою надання роз’яснень та пропозицій по зверненню</w:t>
      </w:r>
      <w:r>
        <w:t>.</w:t>
      </w:r>
      <w:r w:rsidRPr="009626C4">
        <w:rPr>
          <w:b/>
          <w:szCs w:val="28"/>
        </w:rPr>
        <w:t xml:space="preserve">  </w:t>
      </w:r>
    </w:p>
    <w:p w:rsidR="00CB7903" w:rsidRPr="00B954B2" w:rsidRDefault="00CB7903" w:rsidP="00CB7903">
      <w:pPr>
        <w:pStyle w:val="a9"/>
        <w:jc w:val="center"/>
        <w:rPr>
          <w:b/>
          <w:bCs/>
        </w:rPr>
      </w:pPr>
      <w:r w:rsidRPr="00B954B2">
        <w:rPr>
          <w:b/>
          <w:bCs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56343E" w:rsidTr="000C1806">
        <w:tc>
          <w:tcPr>
            <w:tcW w:w="4503" w:type="dxa"/>
            <w:shd w:val="clear" w:color="auto" w:fill="auto"/>
          </w:tcPr>
          <w:p w:rsidR="0056343E" w:rsidRDefault="0056343E" w:rsidP="000C1806">
            <w:pPr>
              <w:spacing w:line="209" w:lineRule="auto"/>
            </w:pPr>
            <w:proofErr w:type="spellStart"/>
            <w:r>
              <w:t>Пустова</w:t>
            </w:r>
            <w:proofErr w:type="spellEnd"/>
            <w:r>
              <w:t xml:space="preserve"> А.О. </w:t>
            </w:r>
          </w:p>
        </w:tc>
        <w:tc>
          <w:tcPr>
            <w:tcW w:w="1670" w:type="dxa"/>
            <w:shd w:val="clear" w:color="auto" w:fill="auto"/>
          </w:tcPr>
          <w:p w:rsidR="0056343E" w:rsidRPr="00C1212F" w:rsidRDefault="0056343E" w:rsidP="000C1806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За </w:t>
            </w:r>
          </w:p>
        </w:tc>
      </w:tr>
      <w:tr w:rsidR="0056343E" w:rsidTr="000C1806">
        <w:tc>
          <w:tcPr>
            <w:tcW w:w="4503" w:type="dxa"/>
            <w:shd w:val="clear" w:color="auto" w:fill="auto"/>
          </w:tcPr>
          <w:p w:rsidR="0056343E" w:rsidRPr="00C1212F" w:rsidRDefault="0056343E" w:rsidP="000C1806">
            <w:pPr>
              <w:spacing w:line="209" w:lineRule="auto"/>
              <w:rPr>
                <w:lang w:val="ru-RU"/>
              </w:rPr>
            </w:pPr>
            <w:r>
              <w:t>Чорний В.І.</w:t>
            </w:r>
            <w:r w:rsidRPr="0035410B">
              <w:t xml:space="preserve">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56343E" w:rsidRDefault="0056343E" w:rsidP="000C1806">
            <w:pPr>
              <w:jc w:val="center"/>
            </w:pPr>
            <w:r w:rsidRPr="00A5107D">
              <w:rPr>
                <w:lang w:val="ru-RU"/>
              </w:rPr>
              <w:t>За</w:t>
            </w:r>
          </w:p>
        </w:tc>
      </w:tr>
      <w:tr w:rsidR="0056343E" w:rsidTr="000C1806">
        <w:tc>
          <w:tcPr>
            <w:tcW w:w="4503" w:type="dxa"/>
            <w:shd w:val="clear" w:color="auto" w:fill="auto"/>
          </w:tcPr>
          <w:p w:rsidR="0056343E" w:rsidRDefault="0056343E" w:rsidP="000C1806">
            <w:pPr>
              <w:spacing w:line="209" w:lineRule="auto"/>
            </w:pPr>
            <w:proofErr w:type="spellStart"/>
            <w:r w:rsidRPr="00A914F9">
              <w:t>Палош</w:t>
            </w:r>
            <w:proofErr w:type="spellEnd"/>
            <w:r w:rsidRPr="00A914F9">
              <w:t xml:space="preserve"> А.А.</w:t>
            </w:r>
            <w:r w:rsidRPr="0035410B">
              <w:t xml:space="preserve"> </w:t>
            </w:r>
          </w:p>
        </w:tc>
        <w:tc>
          <w:tcPr>
            <w:tcW w:w="1670" w:type="dxa"/>
            <w:shd w:val="clear" w:color="auto" w:fill="auto"/>
          </w:tcPr>
          <w:p w:rsidR="0056343E" w:rsidRDefault="0056343E" w:rsidP="000C1806">
            <w:pPr>
              <w:jc w:val="center"/>
            </w:pPr>
            <w:r w:rsidRPr="00A5107D">
              <w:rPr>
                <w:lang w:val="ru-RU"/>
              </w:rPr>
              <w:t>За</w:t>
            </w:r>
          </w:p>
        </w:tc>
      </w:tr>
      <w:tr w:rsidR="0056343E" w:rsidTr="000C1806">
        <w:tc>
          <w:tcPr>
            <w:tcW w:w="4503" w:type="dxa"/>
            <w:shd w:val="clear" w:color="auto" w:fill="auto"/>
          </w:tcPr>
          <w:p w:rsidR="0056343E" w:rsidRDefault="0056343E" w:rsidP="000C1806">
            <w:pPr>
              <w:spacing w:line="209" w:lineRule="auto"/>
            </w:pPr>
            <w:r w:rsidRPr="00A914F9">
              <w:t>Македонський І.О.</w:t>
            </w:r>
            <w:r w:rsidRPr="005C69B5">
              <w:t xml:space="preserve"> 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  <w:r>
              <w:t xml:space="preserve"> </w:t>
            </w:r>
            <w:r w:rsidRPr="0035410B">
              <w:t xml:space="preserve">  </w:t>
            </w:r>
          </w:p>
        </w:tc>
        <w:tc>
          <w:tcPr>
            <w:tcW w:w="1670" w:type="dxa"/>
            <w:shd w:val="clear" w:color="auto" w:fill="auto"/>
          </w:tcPr>
          <w:p w:rsidR="0056343E" w:rsidRDefault="0056343E" w:rsidP="000C1806">
            <w:pPr>
              <w:jc w:val="center"/>
            </w:pPr>
            <w:r w:rsidRPr="00A5107D">
              <w:rPr>
                <w:lang w:val="ru-RU"/>
              </w:rPr>
              <w:t>За</w:t>
            </w:r>
          </w:p>
        </w:tc>
      </w:tr>
      <w:tr w:rsidR="0056343E" w:rsidTr="000C1806">
        <w:tc>
          <w:tcPr>
            <w:tcW w:w="4503" w:type="dxa"/>
            <w:shd w:val="clear" w:color="auto" w:fill="auto"/>
          </w:tcPr>
          <w:p w:rsidR="0056343E" w:rsidRDefault="0056343E" w:rsidP="000C1806">
            <w:pPr>
              <w:spacing w:line="209" w:lineRule="auto"/>
            </w:pPr>
            <w:proofErr w:type="spellStart"/>
            <w:r w:rsidRPr="00A914F9">
              <w:t>Юревич</w:t>
            </w:r>
            <w:proofErr w:type="spellEnd"/>
            <w:r w:rsidRPr="00A914F9">
              <w:t xml:space="preserve"> Т.А.</w:t>
            </w:r>
            <w:r w:rsidRPr="005C69B5">
              <w:t xml:space="preserve"> 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  <w:r w:rsidRPr="0035410B">
              <w:t xml:space="preserve"> </w:t>
            </w:r>
          </w:p>
        </w:tc>
        <w:tc>
          <w:tcPr>
            <w:tcW w:w="1670" w:type="dxa"/>
            <w:shd w:val="clear" w:color="auto" w:fill="auto"/>
          </w:tcPr>
          <w:p w:rsidR="0056343E" w:rsidRDefault="0056343E" w:rsidP="000C1806">
            <w:pPr>
              <w:jc w:val="center"/>
            </w:pPr>
            <w:r w:rsidRPr="00A5107D">
              <w:rPr>
                <w:lang w:val="ru-RU"/>
              </w:rPr>
              <w:t>За</w:t>
            </w:r>
          </w:p>
        </w:tc>
      </w:tr>
      <w:tr w:rsidR="0056343E" w:rsidTr="000C1806">
        <w:tc>
          <w:tcPr>
            <w:tcW w:w="4503" w:type="dxa"/>
            <w:shd w:val="clear" w:color="auto" w:fill="auto"/>
          </w:tcPr>
          <w:p w:rsidR="0056343E" w:rsidRDefault="0056343E" w:rsidP="000C1806">
            <w:pPr>
              <w:spacing w:line="209" w:lineRule="auto"/>
            </w:pPr>
            <w:r w:rsidRPr="00A914F9">
              <w:t>Мороз С.М</w:t>
            </w:r>
            <w:r>
              <w:t>.</w:t>
            </w:r>
            <w:r w:rsidRPr="005C69B5">
              <w:t xml:space="preserve"> 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56343E" w:rsidRPr="00CE597B" w:rsidRDefault="0056343E" w:rsidP="000C1806">
            <w:pPr>
              <w:jc w:val="center"/>
              <w:rPr>
                <w:i/>
                <w:sz w:val="24"/>
              </w:rPr>
            </w:pPr>
            <w:r w:rsidRPr="00A5107D">
              <w:rPr>
                <w:lang w:val="ru-RU"/>
              </w:rPr>
              <w:t>За</w:t>
            </w:r>
          </w:p>
        </w:tc>
      </w:tr>
      <w:tr w:rsidR="0056343E" w:rsidTr="000C1806">
        <w:trPr>
          <w:trHeight w:val="607"/>
        </w:trPr>
        <w:tc>
          <w:tcPr>
            <w:tcW w:w="4503" w:type="dxa"/>
            <w:shd w:val="clear" w:color="auto" w:fill="auto"/>
          </w:tcPr>
          <w:p w:rsidR="0056343E" w:rsidRPr="00CE597B" w:rsidRDefault="0056343E" w:rsidP="000C1806">
            <w:pPr>
              <w:spacing w:line="209" w:lineRule="auto"/>
              <w:rPr>
                <w:lang w:val="ru-RU"/>
              </w:rPr>
            </w:pPr>
            <w:proofErr w:type="spellStart"/>
            <w:r w:rsidRPr="00BC6A7E">
              <w:t>Веропотвелян</w:t>
            </w:r>
            <w:proofErr w:type="spellEnd"/>
            <w:r w:rsidRPr="00BC6A7E">
              <w:t xml:space="preserve"> М.П</w:t>
            </w:r>
            <w:r>
              <w:rPr>
                <w:lang w:val="ru-RU"/>
              </w:rPr>
              <w:t xml:space="preserve">. </w:t>
            </w:r>
          </w:p>
        </w:tc>
        <w:tc>
          <w:tcPr>
            <w:tcW w:w="1670" w:type="dxa"/>
            <w:shd w:val="clear" w:color="auto" w:fill="auto"/>
          </w:tcPr>
          <w:p w:rsidR="0056343E" w:rsidRPr="009924A9" w:rsidRDefault="0056343E" w:rsidP="000C1806">
            <w:pPr>
              <w:jc w:val="center"/>
              <w:rPr>
                <w:i/>
                <w:sz w:val="24"/>
              </w:rPr>
            </w:pPr>
            <w:r w:rsidRPr="009924A9">
              <w:rPr>
                <w:i/>
                <w:sz w:val="24"/>
              </w:rPr>
              <w:t xml:space="preserve"> Не приймав участь у голосуванні</w:t>
            </w:r>
          </w:p>
        </w:tc>
      </w:tr>
      <w:tr w:rsidR="0056343E" w:rsidTr="000C1806">
        <w:tc>
          <w:tcPr>
            <w:tcW w:w="4503" w:type="dxa"/>
            <w:shd w:val="clear" w:color="auto" w:fill="auto"/>
          </w:tcPr>
          <w:p w:rsidR="0056343E" w:rsidRPr="00C1212F" w:rsidRDefault="0056343E" w:rsidP="000C1806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56343E" w:rsidRPr="00C1212F" w:rsidRDefault="0056343E" w:rsidP="000C1806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56343E" w:rsidTr="000C1806">
        <w:tc>
          <w:tcPr>
            <w:tcW w:w="4503" w:type="dxa"/>
            <w:shd w:val="clear" w:color="auto" w:fill="auto"/>
          </w:tcPr>
          <w:p w:rsidR="0056343E" w:rsidRPr="00C1212F" w:rsidRDefault="0056343E" w:rsidP="000C1806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56343E" w:rsidRPr="00C1212F" w:rsidRDefault="0056343E" w:rsidP="000C1806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56343E" w:rsidTr="000C1806">
        <w:tc>
          <w:tcPr>
            <w:tcW w:w="4503" w:type="dxa"/>
            <w:shd w:val="clear" w:color="auto" w:fill="auto"/>
          </w:tcPr>
          <w:p w:rsidR="0056343E" w:rsidRPr="00C1212F" w:rsidRDefault="0056343E" w:rsidP="000C1806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56343E" w:rsidRPr="00C1212F" w:rsidRDefault="0056343E" w:rsidP="000C1806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  <w:tr w:rsidR="0056343E" w:rsidTr="000C1806">
        <w:tc>
          <w:tcPr>
            <w:tcW w:w="4503" w:type="dxa"/>
            <w:shd w:val="clear" w:color="auto" w:fill="auto"/>
          </w:tcPr>
          <w:p w:rsidR="0056343E" w:rsidRPr="00C1212F" w:rsidRDefault="0056343E" w:rsidP="000C1806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56343E" w:rsidRPr="00C1212F" w:rsidRDefault="0056343E" w:rsidP="000C1806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</w:tbl>
    <w:p w:rsidR="00CB7903" w:rsidRDefault="00CB7903" w:rsidP="00596D21">
      <w:pPr>
        <w:ind w:left="2977" w:firstLine="575"/>
        <w:jc w:val="both"/>
      </w:pPr>
    </w:p>
    <w:p w:rsidR="00596D21" w:rsidRPr="00FA1BC4" w:rsidRDefault="00596D21" w:rsidP="00596D21">
      <w:pPr>
        <w:ind w:left="2977" w:firstLine="575"/>
        <w:jc w:val="both"/>
      </w:pPr>
    </w:p>
    <w:p w:rsidR="005950BC" w:rsidRPr="005950BC" w:rsidRDefault="005950BC">
      <w:pPr>
        <w:rPr>
          <w:b/>
        </w:rPr>
      </w:pPr>
      <w:r w:rsidRPr="005950BC">
        <w:rPr>
          <w:b/>
        </w:rPr>
        <w:t xml:space="preserve">Голова комісії </w:t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  <w:t>А. О.ПУСТОВА</w:t>
      </w:r>
    </w:p>
    <w:sectPr w:rsidR="005950BC" w:rsidRPr="005950BC" w:rsidSect="00B300A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13C7"/>
    <w:multiLevelType w:val="hybridMultilevel"/>
    <w:tmpl w:val="B5CC0944"/>
    <w:lvl w:ilvl="0" w:tplc="90AE0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F701D5"/>
    <w:multiLevelType w:val="hybridMultilevel"/>
    <w:tmpl w:val="E5AA45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975AA"/>
    <w:multiLevelType w:val="hybridMultilevel"/>
    <w:tmpl w:val="C55A8FEC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71FF030F"/>
    <w:multiLevelType w:val="hybridMultilevel"/>
    <w:tmpl w:val="62C0D8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4E67C93"/>
    <w:multiLevelType w:val="multilevel"/>
    <w:tmpl w:val="DF10014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">
    <w:nsid w:val="75B4547A"/>
    <w:multiLevelType w:val="hybridMultilevel"/>
    <w:tmpl w:val="9F08937C"/>
    <w:lvl w:ilvl="0" w:tplc="0422000F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E9"/>
    <w:rsid w:val="00022408"/>
    <w:rsid w:val="000731B1"/>
    <w:rsid w:val="000D1B9D"/>
    <w:rsid w:val="002F0121"/>
    <w:rsid w:val="003035AC"/>
    <w:rsid w:val="00311B4E"/>
    <w:rsid w:val="00337D8D"/>
    <w:rsid w:val="003B2E33"/>
    <w:rsid w:val="003B6147"/>
    <w:rsid w:val="00462FF9"/>
    <w:rsid w:val="00471F3D"/>
    <w:rsid w:val="004C1989"/>
    <w:rsid w:val="004D711C"/>
    <w:rsid w:val="0056343E"/>
    <w:rsid w:val="005950BC"/>
    <w:rsid w:val="00596D21"/>
    <w:rsid w:val="00611192"/>
    <w:rsid w:val="006905CB"/>
    <w:rsid w:val="007B24E9"/>
    <w:rsid w:val="007E417E"/>
    <w:rsid w:val="0086559A"/>
    <w:rsid w:val="00916379"/>
    <w:rsid w:val="00924DF8"/>
    <w:rsid w:val="0097578C"/>
    <w:rsid w:val="00A26FDC"/>
    <w:rsid w:val="00AD46E1"/>
    <w:rsid w:val="00B300AA"/>
    <w:rsid w:val="00B46403"/>
    <w:rsid w:val="00B64AEC"/>
    <w:rsid w:val="00B864DA"/>
    <w:rsid w:val="00BE4070"/>
    <w:rsid w:val="00C97350"/>
    <w:rsid w:val="00CB018F"/>
    <w:rsid w:val="00CB7903"/>
    <w:rsid w:val="00D050A7"/>
    <w:rsid w:val="00E12CAA"/>
    <w:rsid w:val="00F46FA8"/>
    <w:rsid w:val="00F5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3B11D-6DE3-4385-AF4C-C7C2124B9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1135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2024-06-05T12:47:00Z</cp:lastPrinted>
  <dcterms:created xsi:type="dcterms:W3CDTF">2025-05-06T06:42:00Z</dcterms:created>
  <dcterms:modified xsi:type="dcterms:W3CDTF">2025-05-06T06:42:00Z</dcterms:modified>
</cp:coreProperties>
</file>