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0E" w:rsidRPr="00692393" w:rsidRDefault="0072610E" w:rsidP="0072610E">
      <w:pPr>
        <w:ind w:left="595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Додаток </w:t>
      </w:r>
      <w:r w:rsidRPr="00692393">
        <w:rPr>
          <w:color w:val="000000"/>
          <w:sz w:val="28"/>
          <w:szCs w:val="28"/>
          <w:shd w:val="clear" w:color="auto" w:fill="FFFFFF"/>
        </w:rPr>
        <w:t>1</w:t>
      </w:r>
    </w:p>
    <w:p w:rsidR="0072610E" w:rsidRDefault="0072610E" w:rsidP="0072610E">
      <w:pPr>
        <w:ind w:left="5954"/>
        <w:rPr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color w:val="000000"/>
          <w:sz w:val="28"/>
          <w:szCs w:val="28"/>
          <w:shd w:val="clear" w:color="auto" w:fill="FFFFFF"/>
          <w:lang w:val="uk-UA"/>
        </w:rPr>
        <w:t>до рішення обласної ради</w:t>
      </w:r>
    </w:p>
    <w:p w:rsidR="000B259D" w:rsidRPr="000B259D" w:rsidRDefault="000B259D" w:rsidP="000B259D">
      <w:pPr>
        <w:ind w:left="5954"/>
        <w:rPr>
          <w:color w:val="000000"/>
          <w:sz w:val="28"/>
          <w:szCs w:val="28"/>
          <w:shd w:val="clear" w:color="auto" w:fill="FFFFFF"/>
          <w:lang w:val="uk-UA"/>
        </w:rPr>
      </w:pPr>
      <w:r w:rsidRPr="000B259D">
        <w:rPr>
          <w:color w:val="000000"/>
          <w:sz w:val="28"/>
          <w:szCs w:val="28"/>
          <w:shd w:val="clear" w:color="auto" w:fill="FFFFFF"/>
          <w:lang w:val="uk-UA"/>
        </w:rPr>
        <w:t>від 07 травня 2025 року</w:t>
      </w:r>
    </w:p>
    <w:p w:rsidR="000B259D" w:rsidRPr="007A19B9" w:rsidRDefault="000B259D" w:rsidP="000B259D">
      <w:pPr>
        <w:ind w:left="5954"/>
        <w:rPr>
          <w:color w:val="000000"/>
          <w:sz w:val="28"/>
          <w:szCs w:val="28"/>
          <w:shd w:val="clear" w:color="auto" w:fill="FFFFFF"/>
          <w:lang w:val="uk-UA"/>
        </w:rPr>
      </w:pPr>
      <w:r w:rsidRPr="000B259D">
        <w:rPr>
          <w:color w:val="000000"/>
          <w:sz w:val="28"/>
          <w:szCs w:val="28"/>
          <w:shd w:val="clear" w:color="auto" w:fill="FFFFFF"/>
          <w:lang w:val="uk-UA"/>
        </w:rPr>
        <w:t>№ 48</w:t>
      </w:r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bookmarkStart w:id="0" w:name="_GoBack"/>
      <w:bookmarkEnd w:id="0"/>
      <w:r w:rsidRPr="000B259D">
        <w:rPr>
          <w:color w:val="000000"/>
          <w:sz w:val="28"/>
          <w:szCs w:val="28"/>
          <w:shd w:val="clear" w:color="auto" w:fill="FFFFFF"/>
          <w:lang w:val="uk-UA"/>
        </w:rPr>
        <w:t>-25/VIII</w:t>
      </w:r>
    </w:p>
    <w:p w:rsidR="0072610E" w:rsidRPr="007A2DD2" w:rsidRDefault="0072610E" w:rsidP="0072610E">
      <w:pPr>
        <w:spacing w:line="242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2610E" w:rsidRPr="00692393" w:rsidRDefault="0072610E" w:rsidP="0072610E">
      <w:pPr>
        <w:spacing w:line="24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2610E">
        <w:rPr>
          <w:rFonts w:eastAsia="Calibri"/>
          <w:b/>
          <w:sz w:val="28"/>
          <w:szCs w:val="28"/>
          <w:lang w:val="uk-UA" w:eastAsia="en-US"/>
        </w:rPr>
        <w:t xml:space="preserve">Розділ І </w:t>
      </w:r>
    </w:p>
    <w:p w:rsidR="0072610E" w:rsidRPr="00692393" w:rsidRDefault="0072610E" w:rsidP="0072610E">
      <w:pPr>
        <w:spacing w:line="242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610E" w:rsidRPr="0072610E" w:rsidRDefault="0072610E" w:rsidP="0072610E">
      <w:pPr>
        <w:spacing w:line="242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2610E">
        <w:rPr>
          <w:rFonts w:eastAsia="Calibri"/>
          <w:b/>
          <w:sz w:val="28"/>
          <w:szCs w:val="28"/>
          <w:lang w:val="uk-UA" w:eastAsia="en-US"/>
        </w:rPr>
        <w:t>ПАСПОРТ</w:t>
      </w:r>
    </w:p>
    <w:p w:rsidR="0072610E" w:rsidRPr="0072610E" w:rsidRDefault="0072610E" w:rsidP="0072610E">
      <w:pPr>
        <w:spacing w:line="242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2610E">
        <w:rPr>
          <w:rFonts w:eastAsia="Calibri"/>
          <w:b/>
          <w:sz w:val="28"/>
          <w:szCs w:val="28"/>
          <w:lang w:val="uk-UA" w:eastAsia="en-US"/>
        </w:rPr>
        <w:t>регіональної цільової Програми</w:t>
      </w:r>
    </w:p>
    <w:p w:rsidR="0072610E" w:rsidRPr="0075382D" w:rsidRDefault="0072610E" w:rsidP="0072610E">
      <w:pPr>
        <w:spacing w:line="242" w:lineRule="auto"/>
        <w:rPr>
          <w:rFonts w:eastAsia="Calibri"/>
          <w:b/>
          <w:sz w:val="16"/>
          <w:szCs w:val="16"/>
          <w:lang w:val="uk-UA" w:eastAsia="en-US"/>
        </w:rPr>
      </w:pPr>
    </w:p>
    <w:p w:rsidR="0072610E" w:rsidRPr="0072610E" w:rsidRDefault="0072610E" w:rsidP="0072610E">
      <w:pPr>
        <w:spacing w:line="235" w:lineRule="auto"/>
        <w:ind w:firstLine="567"/>
        <w:jc w:val="both"/>
        <w:rPr>
          <w:rFonts w:eastAsia="Calibri"/>
          <w:sz w:val="28"/>
          <w:szCs w:val="28"/>
          <w:u w:val="single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>1. Назва: Комплексна програма соціального захисту населення Дніпропетровської області на 2025 – 2029 роки (далі – Програма).</w:t>
      </w:r>
    </w:p>
    <w:p w:rsidR="0072610E" w:rsidRPr="0075382D" w:rsidRDefault="0072610E" w:rsidP="0072610E">
      <w:pPr>
        <w:spacing w:line="235" w:lineRule="auto"/>
        <w:ind w:firstLine="567"/>
        <w:jc w:val="both"/>
        <w:rPr>
          <w:sz w:val="16"/>
          <w:szCs w:val="16"/>
          <w:lang w:val="uk-UA"/>
        </w:rPr>
      </w:pPr>
    </w:p>
    <w:p w:rsidR="0072610E" w:rsidRPr="0072610E" w:rsidRDefault="0072610E" w:rsidP="0072610E">
      <w:pPr>
        <w:spacing w:line="235" w:lineRule="auto"/>
        <w:ind w:firstLine="567"/>
        <w:jc w:val="both"/>
        <w:rPr>
          <w:sz w:val="28"/>
          <w:szCs w:val="28"/>
          <w:lang w:val="uk-UA"/>
        </w:rPr>
      </w:pPr>
      <w:r w:rsidRPr="0072610E">
        <w:rPr>
          <w:sz w:val="28"/>
          <w:szCs w:val="28"/>
          <w:lang w:val="uk-UA"/>
        </w:rPr>
        <w:t>2. Підстав</w:t>
      </w:r>
      <w:r w:rsidR="00A0124F">
        <w:rPr>
          <w:sz w:val="28"/>
          <w:szCs w:val="28"/>
          <w:lang w:val="uk-UA"/>
        </w:rPr>
        <w:t>и</w:t>
      </w:r>
      <w:r w:rsidRPr="0072610E">
        <w:rPr>
          <w:sz w:val="28"/>
          <w:szCs w:val="28"/>
          <w:lang w:val="uk-UA"/>
        </w:rPr>
        <w:t xml:space="preserve"> для розроблення: закони України „Про місцеві державні адміністрації”, „Про статус і соціальний захист громадян, які постраждали внаслідок Чорнобильської катастрофи”, „Про основи соціальної захищеності осіб з інвалідністю в Україні”, „Про статус ветеранів війни, гарантії їх соціального захисту”, „Про соціальний і правовий захист військовослужбовців та членів їх сімей”, „Про соціальні послуги”, „Про державну соціальну допомогу особам, які не мають права на пенсію, та особам з інвалідністю”, „Про державну допомогу сім’ям з дітьми”, „Про державну соціальну допомогу особам з інвалідністю з дитинства та дітям з інвалідністю”, „Про державну соціальну допомогу малозабезпеченим сім’ям”, „Про реабілітацію осіб з інвалідністю в Україні”, „Про соціальний і правовий захист військовослужбовців та членів їх сімей”, „Про міліцію”, „Про реабілітацію жертв репресій комуністичного тоталітарного режиму 1917 – 1991 років”.</w:t>
      </w:r>
    </w:p>
    <w:p w:rsidR="0072610E" w:rsidRPr="0075382D" w:rsidRDefault="0072610E" w:rsidP="0072610E">
      <w:pPr>
        <w:spacing w:line="235" w:lineRule="auto"/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2610E" w:rsidRDefault="0072610E" w:rsidP="0072610E">
      <w:pPr>
        <w:spacing w:line="235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>3. Регіональний замовник Програми – головний розпорядник бюджетних коштів: департамент соціального захисту населення обл</w:t>
      </w:r>
      <w:r w:rsidR="0075382D">
        <w:rPr>
          <w:rFonts w:eastAsia="Calibri"/>
          <w:sz w:val="28"/>
          <w:szCs w:val="28"/>
          <w:lang w:val="uk-UA" w:eastAsia="en-US"/>
        </w:rPr>
        <w:t>асн</w:t>
      </w:r>
      <w:r w:rsidR="00A0124F">
        <w:rPr>
          <w:rFonts w:eastAsia="Calibri"/>
          <w:sz w:val="28"/>
          <w:szCs w:val="28"/>
          <w:lang w:val="uk-UA" w:eastAsia="en-US"/>
        </w:rPr>
        <w:t>ої</w:t>
      </w:r>
      <w:r w:rsidR="0075382D">
        <w:rPr>
          <w:rFonts w:eastAsia="Calibri"/>
          <w:sz w:val="28"/>
          <w:szCs w:val="28"/>
          <w:lang w:val="uk-UA" w:eastAsia="en-US"/>
        </w:rPr>
        <w:t xml:space="preserve"> </w:t>
      </w:r>
      <w:r w:rsidRPr="0072610E">
        <w:rPr>
          <w:rFonts w:eastAsia="Calibri"/>
          <w:sz w:val="28"/>
          <w:szCs w:val="28"/>
          <w:lang w:val="uk-UA" w:eastAsia="en-US"/>
        </w:rPr>
        <w:t>держ</w:t>
      </w:r>
      <w:r w:rsidR="0075382D">
        <w:rPr>
          <w:rFonts w:eastAsia="Calibri"/>
          <w:sz w:val="28"/>
          <w:szCs w:val="28"/>
          <w:lang w:val="uk-UA" w:eastAsia="en-US"/>
        </w:rPr>
        <w:t>авн</w:t>
      </w:r>
      <w:r w:rsidR="00A0124F">
        <w:rPr>
          <w:rFonts w:eastAsia="Calibri"/>
          <w:sz w:val="28"/>
          <w:szCs w:val="28"/>
          <w:lang w:val="uk-UA" w:eastAsia="en-US"/>
        </w:rPr>
        <w:t>ої</w:t>
      </w:r>
      <w:r w:rsidR="0075382D">
        <w:rPr>
          <w:rFonts w:eastAsia="Calibri"/>
          <w:sz w:val="28"/>
          <w:szCs w:val="28"/>
          <w:lang w:val="uk-UA" w:eastAsia="en-US"/>
        </w:rPr>
        <w:t xml:space="preserve"> </w:t>
      </w:r>
      <w:r w:rsidRPr="0072610E">
        <w:rPr>
          <w:rFonts w:eastAsia="Calibri"/>
          <w:sz w:val="28"/>
          <w:szCs w:val="28"/>
          <w:lang w:val="uk-UA" w:eastAsia="en-US"/>
        </w:rPr>
        <w:t>адміністрації.</w:t>
      </w:r>
    </w:p>
    <w:p w:rsidR="0072610E" w:rsidRPr="0075382D" w:rsidRDefault="0072610E" w:rsidP="0072610E">
      <w:pPr>
        <w:spacing w:line="235" w:lineRule="auto"/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2610E" w:rsidRDefault="0072610E" w:rsidP="0072610E">
      <w:pPr>
        <w:spacing w:line="235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 xml:space="preserve">4. </w:t>
      </w:r>
      <w:proofErr w:type="spellStart"/>
      <w:r w:rsidRPr="0072610E">
        <w:rPr>
          <w:rFonts w:eastAsia="Calibri"/>
          <w:sz w:val="28"/>
          <w:szCs w:val="28"/>
          <w:lang w:val="uk-UA" w:eastAsia="en-US"/>
        </w:rPr>
        <w:t>Співзамовники</w:t>
      </w:r>
      <w:proofErr w:type="spellEnd"/>
      <w:r w:rsidRPr="0072610E">
        <w:rPr>
          <w:rFonts w:eastAsia="Calibri"/>
          <w:sz w:val="28"/>
          <w:szCs w:val="28"/>
          <w:lang w:val="uk-UA" w:eastAsia="en-US"/>
        </w:rPr>
        <w:t xml:space="preserve"> Програми – головні розпорядники бюджетних коштів: відсутні. </w:t>
      </w:r>
    </w:p>
    <w:p w:rsidR="0072610E" w:rsidRPr="0075382D" w:rsidRDefault="0072610E" w:rsidP="0072610E">
      <w:pPr>
        <w:spacing w:line="235" w:lineRule="auto"/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2610E" w:rsidRDefault="0072610E" w:rsidP="0072610E">
      <w:pPr>
        <w:spacing w:line="235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>5. Відповідальні за виконання: департамент соціального захисту населення обласної державної адміністрації, департамент охорони здоров’я обласної державної адміністрації, управління з питань ветеранської політики обласної державної адміністрації, управління культури, туризму, національностей і релігій обласної державної адміністрації, комунальний заклад „Центр соціальної допомоги та підтримки” Дніпропетровської обласної ради” (за згодою), районні державні адміністрації, виконавчі органи сільських, селищних, міських рад (за згодою).</w:t>
      </w:r>
    </w:p>
    <w:p w:rsidR="0072610E" w:rsidRPr="0075382D" w:rsidRDefault="0072610E" w:rsidP="0072610E">
      <w:pPr>
        <w:spacing w:line="235" w:lineRule="auto"/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2610E" w:rsidRDefault="0072610E" w:rsidP="0072610E">
      <w:pPr>
        <w:spacing w:line="235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 xml:space="preserve">6. Мета: реалізація соціальної політики на території Дніпропетровської області через забезпечення додаткових соціальних </w:t>
      </w:r>
      <w:r w:rsidRPr="0072610E">
        <w:rPr>
          <w:rFonts w:eastAsia="Calibri"/>
          <w:sz w:val="28"/>
          <w:szCs w:val="28"/>
          <w:lang w:val="uk-UA" w:eastAsia="en-US"/>
        </w:rPr>
        <w:lastRenderedPageBreak/>
        <w:t>гарантій та підвищення рівня соціального захисту окремих категорій населення області.</w:t>
      </w:r>
    </w:p>
    <w:p w:rsidR="0072610E" w:rsidRPr="0072610E" w:rsidRDefault="0072610E" w:rsidP="0072610E">
      <w:pPr>
        <w:spacing w:line="242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>7. Початок: 2025 рік, закінчення: 2029 рік.</w:t>
      </w:r>
    </w:p>
    <w:p w:rsidR="0072610E" w:rsidRPr="0075382D" w:rsidRDefault="0072610E" w:rsidP="0072610E">
      <w:pPr>
        <w:spacing w:line="242" w:lineRule="auto"/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2610E" w:rsidRDefault="0072610E" w:rsidP="0072610E">
      <w:pPr>
        <w:spacing w:line="242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>8. Етапи виконання: Програма розрахована на п’ять років та передбачає виконання в один етап: 2025 – 2029 роки.</w:t>
      </w:r>
    </w:p>
    <w:p w:rsidR="0072610E" w:rsidRPr="0075382D" w:rsidRDefault="0072610E" w:rsidP="0072610E">
      <w:pPr>
        <w:tabs>
          <w:tab w:val="left" w:pos="4820"/>
        </w:tabs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2610E" w:rsidRDefault="0072610E" w:rsidP="0072610E">
      <w:pPr>
        <w:tabs>
          <w:tab w:val="left" w:pos="4820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 xml:space="preserve">9. Номер та назва завдань Стратегії розвитку Дніпропетровської області на відповідний період, яким відповідає Програма: Програма підпадає під стратегічну ціль (пріоритет) 3 </w:t>
      </w:r>
      <w:r>
        <w:rPr>
          <w:rFonts w:eastAsia="Calibri"/>
          <w:sz w:val="28"/>
          <w:szCs w:val="28"/>
          <w:lang w:val="uk-UA" w:eastAsia="en-US"/>
        </w:rPr>
        <w:t>„</w:t>
      </w:r>
      <w:r w:rsidRPr="0072610E">
        <w:rPr>
          <w:sz w:val="28"/>
          <w:szCs w:val="28"/>
          <w:lang w:val="uk-UA" w:eastAsia="uk-UA"/>
        </w:rPr>
        <w:t>Забезпечення якісних умов життя</w:t>
      </w:r>
      <w:r w:rsidRPr="0072610E">
        <w:rPr>
          <w:rFonts w:eastAsia="Calibri"/>
          <w:sz w:val="28"/>
          <w:szCs w:val="28"/>
          <w:lang w:val="uk-UA" w:eastAsia="en-US"/>
        </w:rPr>
        <w:t>” Стратегії регіонального розвитку Дніпропетровської області на період до 2027 року, затвердженої рішенням Дніпропетровської обласної ради від 07 серпня 2020 року № 624-24/</w:t>
      </w:r>
      <w:r w:rsidRPr="0072610E">
        <w:rPr>
          <w:rFonts w:eastAsia="Calibri"/>
          <w:sz w:val="28"/>
          <w:szCs w:val="28"/>
          <w:lang w:val="en-US" w:eastAsia="en-US"/>
        </w:rPr>
        <w:t>VII</w:t>
      </w:r>
      <w:r w:rsidRPr="0072610E">
        <w:rPr>
          <w:rFonts w:eastAsia="Calibri"/>
          <w:sz w:val="28"/>
          <w:szCs w:val="28"/>
          <w:lang w:val="uk-UA" w:eastAsia="en-US"/>
        </w:rPr>
        <w:t>.</w:t>
      </w:r>
    </w:p>
    <w:p w:rsidR="0072610E" w:rsidRPr="0075382D" w:rsidRDefault="0072610E" w:rsidP="0072610E">
      <w:pPr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:rsidR="0072610E" w:rsidRPr="007A2DD2" w:rsidRDefault="0072610E" w:rsidP="0072610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2610E">
        <w:rPr>
          <w:rFonts w:eastAsia="Calibri"/>
          <w:sz w:val="28"/>
          <w:szCs w:val="28"/>
          <w:lang w:val="uk-UA" w:eastAsia="en-US"/>
        </w:rPr>
        <w:t xml:space="preserve">10. Загальні обсяги фінансування: згідно із затвердженими </w:t>
      </w:r>
      <w:r w:rsidRPr="007A2DD2">
        <w:rPr>
          <w:rFonts w:eastAsia="Calibri"/>
          <w:sz w:val="28"/>
          <w:szCs w:val="28"/>
          <w:lang w:val="uk-UA" w:eastAsia="en-US"/>
        </w:rPr>
        <w:t>бюджетними призначеннями.</w:t>
      </w:r>
    </w:p>
    <w:p w:rsidR="0072610E" w:rsidRPr="007A2DD2" w:rsidRDefault="0072610E" w:rsidP="0072610E">
      <w:pPr>
        <w:jc w:val="both"/>
        <w:rPr>
          <w:rFonts w:eastAsia="Calibri"/>
          <w:b/>
          <w:sz w:val="18"/>
          <w:szCs w:val="20"/>
          <w:highlight w:val="yellow"/>
          <w:lang w:val="uk-UA"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7"/>
        <w:gridCol w:w="1417"/>
        <w:gridCol w:w="1417"/>
        <w:gridCol w:w="1276"/>
        <w:gridCol w:w="1276"/>
        <w:gridCol w:w="1275"/>
      </w:tblGrid>
      <w:tr w:rsidR="0072610E" w:rsidRPr="007A2DD2" w:rsidTr="00885A47">
        <w:trPr>
          <w:cantSplit/>
          <w:trHeight w:val="357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ind w:left="-108" w:right="-86"/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Джерела фінансування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 xml:space="preserve">Обсяги </w:t>
            </w:r>
            <w:r w:rsidRPr="007A2DD2">
              <w:rPr>
                <w:rFonts w:eastAsia="Calibri"/>
                <w:b/>
                <w:spacing w:val="-4"/>
                <w:sz w:val="19"/>
                <w:szCs w:val="19"/>
                <w:lang w:val="uk-UA" w:eastAsia="en-US"/>
              </w:rPr>
              <w:t>фінансування,</w:t>
            </w: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 xml:space="preserve"> усього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За роками виконання</w:t>
            </w:r>
          </w:p>
        </w:tc>
      </w:tr>
      <w:tr w:rsidR="0072610E" w:rsidRPr="007A2DD2" w:rsidTr="00885A47">
        <w:trPr>
          <w:cantSplit/>
          <w:trHeight w:val="120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A0124F" w:rsidP="00A0124F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>
              <w:rPr>
                <w:rFonts w:eastAsia="Calibri"/>
                <w:b/>
                <w:sz w:val="19"/>
                <w:szCs w:val="19"/>
                <w:lang w:val="uk-UA"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A0124F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A0124F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A0124F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A0124F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2029</w:t>
            </w:r>
          </w:p>
        </w:tc>
      </w:tr>
      <w:tr w:rsidR="0072610E" w:rsidRPr="007A2DD2" w:rsidTr="00885A47">
        <w:trPr>
          <w:cantSplit/>
          <w:trHeight w:val="43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Державний бюджет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</w:tr>
      <w:tr w:rsidR="0072610E" w:rsidRPr="007A2DD2" w:rsidTr="00885A47">
        <w:trPr>
          <w:cantSplit/>
          <w:trHeight w:val="43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Обласний бюджет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62 431,5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10 399,4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11 414,4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12 415,1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13 506,4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14 696,2</w:t>
            </w:r>
          </w:p>
        </w:tc>
      </w:tr>
      <w:tr w:rsidR="0072610E" w:rsidRPr="007A2DD2" w:rsidTr="00885A47">
        <w:trPr>
          <w:cantSplit/>
          <w:trHeight w:val="283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Місцевий бюджет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191 013,9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37 293,7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38 719,3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38 044,8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38 365,3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38 590,8</w:t>
            </w:r>
          </w:p>
        </w:tc>
      </w:tr>
      <w:tr w:rsidR="0072610E" w:rsidRPr="007A2DD2" w:rsidTr="00885A47">
        <w:trPr>
          <w:cantSplit/>
          <w:trHeight w:val="429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Інші джерела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2610E" w:rsidRPr="007A2DD2" w:rsidRDefault="00A0124F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–</w:t>
            </w:r>
          </w:p>
        </w:tc>
      </w:tr>
      <w:tr w:rsidR="0072610E" w:rsidRPr="007A2DD2" w:rsidTr="00885A47">
        <w:trPr>
          <w:cantSplit/>
          <w:trHeight w:val="46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sz w:val="19"/>
                <w:szCs w:val="19"/>
                <w:lang w:val="uk-UA" w:eastAsia="en-US"/>
              </w:rPr>
            </w:pPr>
            <w:r w:rsidRPr="007A2DD2">
              <w:rPr>
                <w:rFonts w:eastAsia="Calibri"/>
                <w:b/>
                <w:sz w:val="19"/>
                <w:szCs w:val="19"/>
                <w:lang w:val="uk-UA" w:eastAsia="en-US"/>
              </w:rPr>
              <w:t>Усього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253 445,4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47 693,1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50 133,7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50 459,9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51 871,7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2610E" w:rsidRPr="007A2DD2" w:rsidRDefault="0072610E" w:rsidP="00885A4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</w:pPr>
            <w:r w:rsidRPr="007A2DD2">
              <w:rPr>
                <w:rFonts w:eastAsia="Calibri"/>
                <w:b/>
                <w:bCs/>
                <w:sz w:val="18"/>
                <w:szCs w:val="18"/>
                <w:lang w:val="uk-UA" w:eastAsia="en-US"/>
              </w:rPr>
              <w:t>53 287,0</w:t>
            </w:r>
          </w:p>
        </w:tc>
      </w:tr>
    </w:tbl>
    <w:p w:rsidR="0072610E" w:rsidRPr="007A2DD2" w:rsidRDefault="0072610E" w:rsidP="0075382D">
      <w:pPr>
        <w:jc w:val="both"/>
        <w:rPr>
          <w:rFonts w:eastAsia="Calibri"/>
          <w:b/>
          <w:sz w:val="18"/>
          <w:szCs w:val="20"/>
          <w:highlight w:val="yellow"/>
          <w:lang w:val="uk-UA" w:eastAsia="en-US"/>
        </w:rPr>
      </w:pPr>
    </w:p>
    <w:p w:rsidR="0072610E" w:rsidRPr="007A2DD2" w:rsidRDefault="0072610E" w:rsidP="0075382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A2DD2">
        <w:rPr>
          <w:rFonts w:eastAsia="Calibri"/>
          <w:sz w:val="28"/>
          <w:szCs w:val="28"/>
          <w:lang w:val="uk-UA" w:eastAsia="en-US"/>
        </w:rPr>
        <w:t>11. Результативні показники виконання регіональної цільової програми:</w:t>
      </w:r>
    </w:p>
    <w:p w:rsidR="0072610E" w:rsidRPr="007A2DD2" w:rsidRDefault="0072610E" w:rsidP="0075382D">
      <w:pPr>
        <w:rPr>
          <w:rFonts w:eastAsia="Calibri"/>
          <w:b/>
          <w:sz w:val="18"/>
          <w:szCs w:val="20"/>
          <w:lang w:val="uk-UA" w:eastAsia="en-U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58"/>
        <w:gridCol w:w="1031"/>
        <w:gridCol w:w="733"/>
        <w:gridCol w:w="844"/>
        <w:gridCol w:w="706"/>
        <w:gridCol w:w="709"/>
        <w:gridCol w:w="708"/>
        <w:gridCol w:w="656"/>
      </w:tblGrid>
      <w:tr w:rsidR="0072610E" w:rsidRPr="00692393" w:rsidTr="00692393">
        <w:trPr>
          <w:trHeight w:val="143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Назва завдання програми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Результативні показники виконання Програми (кількісні та якісні)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103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Одиниця виміру</w:t>
            </w:r>
          </w:p>
        </w:tc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Значення показника</w:t>
            </w:r>
          </w:p>
        </w:tc>
      </w:tr>
      <w:tr w:rsidR="0072610E" w:rsidRPr="00692393" w:rsidTr="00692393">
        <w:trPr>
          <w:trHeight w:val="19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51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Усього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у тому числі за роками</w:t>
            </w:r>
          </w:p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</w:tr>
      <w:tr w:rsidR="0072610E" w:rsidRPr="00692393" w:rsidTr="00692393">
        <w:trPr>
          <w:trHeight w:val="222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0E" w:rsidRPr="00692393" w:rsidRDefault="0072610E" w:rsidP="00885A47">
            <w:pPr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51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2025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51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51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51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2028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10E" w:rsidRPr="00692393" w:rsidRDefault="0072610E" w:rsidP="00885A47">
            <w:pPr>
              <w:ind w:left="-51" w:right="-108"/>
              <w:jc w:val="center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b/>
                <w:sz w:val="18"/>
                <w:szCs w:val="18"/>
                <w:lang w:val="uk-UA" w:eastAsia="en-US"/>
              </w:rPr>
              <w:t>2029</w:t>
            </w:r>
          </w:p>
        </w:tc>
      </w:tr>
      <w:tr w:rsidR="00692393" w:rsidRPr="00692393" w:rsidTr="00692393">
        <w:trPr>
          <w:trHeight w:val="222"/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ind w:left="-51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ind w:left="-51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ind w:left="-51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ind w:left="-51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ind w:left="-51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</w:tr>
      <w:tr w:rsidR="0072610E" w:rsidRPr="00692393" w:rsidTr="00692393">
        <w:trPr>
          <w:trHeight w:val="7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1. Забезпечення своєчасності отримання громадянами державних соціальних гарантій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1.1. Кількість осіб, які отримали всі види державної допомоги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749,1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141,9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154,2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158,4</w:t>
            </w:r>
          </w:p>
        </w:tc>
      </w:tr>
      <w:tr w:rsidR="0072610E" w:rsidRPr="00692393" w:rsidTr="00692393">
        <w:trPr>
          <w:trHeight w:val="73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A0124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2. Підтримка жінок, яким присвоєно почесне звання України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„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Мати-героїня”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2.1. Кількість осіб, які отримали допомогу</w:t>
            </w:r>
            <w:r w:rsidRPr="00692393"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  <w:t xml:space="preserve">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</w:t>
            </w:r>
          </w:p>
        </w:tc>
      </w:tr>
      <w:tr w:rsidR="0072610E" w:rsidRPr="00692393" w:rsidTr="00692393">
        <w:trPr>
          <w:trHeight w:val="886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3. Підтримка осіб, яким виповнилося 90 і більше років, з наданням матеріальної (грошової) допомоги та привітання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3.1. Кількість осіб, яким виповнилося 90 і більше років, що отримали матеріальну (грошову) допомогу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1 815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365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365</w:t>
            </w:r>
          </w:p>
        </w:tc>
      </w:tr>
      <w:tr w:rsidR="0072610E" w:rsidRPr="00692393" w:rsidTr="00692393">
        <w:trPr>
          <w:trHeight w:val="97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Default="0072610E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4. Вшанування осіб, яким виповнилося 100 і більше років, надання мора</w:t>
            </w:r>
            <w:r w:rsidR="0075382D"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льної та </w:t>
            </w:r>
            <w:r w:rsidR="0075382D"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матеріальної підтримки</w:t>
            </w:r>
          </w:p>
          <w:p w:rsidR="00692393" w:rsidRDefault="00692393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</w:p>
          <w:p w:rsidR="00692393" w:rsidRPr="00692393" w:rsidRDefault="00692393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A0124F">
            <w:pPr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 xml:space="preserve">4.1. Кількість осіб, яким виповнилося 100 і більше років,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які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отримали стипендії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80</w:t>
            </w:r>
          </w:p>
        </w:tc>
      </w:tr>
      <w:tr w:rsidR="00692393" w:rsidRPr="00692393" w:rsidTr="00692393">
        <w:trPr>
          <w:trHeight w:val="131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9</w:t>
            </w:r>
          </w:p>
        </w:tc>
      </w:tr>
      <w:tr w:rsidR="0072610E" w:rsidRPr="00692393" w:rsidTr="00692393">
        <w:trPr>
          <w:trHeight w:val="1127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5. Забезпечення надання соціальних стипендій студентам (курсантам) вищих навчальних закладів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5.1. Кількість студентів (курсантів) вищих навчальних закладів, які отримали стипендію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5,5</w:t>
            </w:r>
          </w:p>
        </w:tc>
      </w:tr>
      <w:tr w:rsidR="0072610E" w:rsidRPr="00692393" w:rsidTr="00692393">
        <w:trPr>
          <w:trHeight w:val="1537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A0124F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6. Вшанування пам’яті померлих учасників бойових дій, постраждалих учасників Революції Гідності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та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осіб з інвалідністю внаслідок війни, забезпечення реалізації права на безоплатне поховання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6.1. Кількість </w:t>
            </w:r>
            <w:proofErr w:type="spellStart"/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відшкодувань</w:t>
            </w:r>
            <w:proofErr w:type="spellEnd"/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за поховання учасників бойових дій, постраждали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х учасників Революції Гідності та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</w:t>
            </w:r>
          </w:p>
          <w:p w:rsidR="0072610E" w:rsidRPr="00692393" w:rsidRDefault="0072610E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 з інвалідністю внаслідок війни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0E" w:rsidRPr="00692393" w:rsidRDefault="0072610E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220</w:t>
            </w:r>
          </w:p>
        </w:tc>
      </w:tr>
      <w:tr w:rsidR="00692393" w:rsidRPr="00692393" w:rsidTr="00692393">
        <w:trPr>
          <w:trHeight w:val="1024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7. Упровадження системи соціальної підтримки незахищених верств населення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7.1. Кількість осіб, які отримали матеріальну допомогу (показник розраховується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в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межах загального обсягу фінансування)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</w:tr>
      <w:tr w:rsidR="00692393" w:rsidRPr="00692393" w:rsidTr="00692393">
        <w:trPr>
          <w:trHeight w:val="1381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7.2. Кількість членів сімей загиблих (померлих) Захисників та Захисниць України (показник розраховується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в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межах загального обсягу фінансування)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</w:tr>
      <w:tr w:rsidR="00692393" w:rsidRPr="00692393" w:rsidTr="00692393">
        <w:trPr>
          <w:trHeight w:val="2907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7.3. Кількість членів сімей поліцейських, які загинули під час виконання службових обов’язків, та осіб, які виконували основні завдання та повноваження, які були визначені Законом України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„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Про міліцію”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,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та загинули під час виконання службових обов’язків з охорони громадського порядку і боротьби зі злочинністю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</w:t>
            </w:r>
          </w:p>
        </w:tc>
      </w:tr>
      <w:tr w:rsidR="00692393" w:rsidRPr="00692393" w:rsidTr="00692393">
        <w:trPr>
          <w:trHeight w:val="1617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7.4. Кількість реабілітованих осіб, визначених </w:t>
            </w:r>
          </w:p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у статті 1-2 Закону України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„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Про реабілітацію жертв репресій комуністичного тоталітарного режиму </w:t>
            </w:r>
          </w:p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1917 – 1991 років”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</w:tr>
      <w:tr w:rsidR="00692393" w:rsidRPr="00692393" w:rsidTr="00A0124F">
        <w:trPr>
          <w:trHeight w:val="2967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spacing w:line="230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30" w:lineRule="auto"/>
              <w:rPr>
                <w:rFonts w:eastAsia="Calibri"/>
                <w:spacing w:val="-6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 xml:space="preserve">7.5. Кількість членів сімей осіб, зниклих безвісти за особливих обставин, на яких поширюється чинність законів України </w:t>
            </w:r>
            <w:r w:rsidR="00A0124F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„</w:t>
            </w: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 xml:space="preserve">Про статус ветеранів війни, гарантії їх соціального захисту”, </w:t>
            </w:r>
            <w:r w:rsidR="00A0124F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„</w:t>
            </w: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Про соціальний і правовий захист військовослужбовців та членів їх с</w:t>
            </w:r>
            <w:r w:rsidR="00A0124F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імей” (показник розраховується в</w:t>
            </w: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 xml:space="preserve"> межах загального обсягу фінансування)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0B1570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–</w:t>
            </w:r>
          </w:p>
        </w:tc>
      </w:tr>
      <w:tr w:rsidR="00692393" w:rsidRPr="00692393" w:rsidTr="00692393">
        <w:trPr>
          <w:trHeight w:val="131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AA076D" w:rsidP="00AA076D">
            <w:pPr>
              <w:spacing w:line="230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spacing w:line="230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9</w:t>
            </w:r>
          </w:p>
        </w:tc>
      </w:tr>
      <w:tr w:rsidR="00692393" w:rsidRPr="00692393" w:rsidTr="00692393">
        <w:trPr>
          <w:trHeight w:val="429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7.6. Кількість членів сімей цивільних громадян, загиблих (померлих) внаслідок військової агресії російської федерації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100</w:t>
            </w:r>
          </w:p>
        </w:tc>
      </w:tr>
      <w:tr w:rsidR="00692393" w:rsidRPr="00692393" w:rsidTr="00692393">
        <w:trPr>
          <w:trHeight w:val="107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8. Забезпечення соціальної підтримки військовослужбовців, звільнених з військової строкової служби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8.1. Кількість військовослужбовців, звільнених з військової строкової служби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2,2</w:t>
            </w:r>
          </w:p>
        </w:tc>
      </w:tr>
      <w:tr w:rsidR="00692393" w:rsidRPr="00692393" w:rsidTr="00692393">
        <w:trPr>
          <w:trHeight w:val="83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9. Забезпечення здійснення заходів із реабілітації дітей та осіб з інвалідністю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9.1. Кількість дітей та осіб з інвалідністю, які пройшли заходи з реабілітації  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3 509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609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800</w:t>
            </w:r>
          </w:p>
        </w:tc>
      </w:tr>
      <w:tr w:rsidR="00692393" w:rsidRPr="00692393" w:rsidTr="00692393">
        <w:trPr>
          <w:trHeight w:val="1269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10. Забезпечення проведення урочистостей до пам’ятних дат та подій соціального спрямування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10.1. Кількість учасників заходів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1,5</w:t>
            </w:r>
          </w:p>
        </w:tc>
      </w:tr>
      <w:tr w:rsidR="00692393" w:rsidRPr="00692393" w:rsidTr="00692393">
        <w:trPr>
          <w:trHeight w:val="1274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11. Забезпечення державних гарантій осіб, постраждалих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у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наслідок ліквідації аварії на Чорнобильській АЕС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11.1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. Кількість осіб, постраждалих у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наслідок ліквідації аварії на Чорнобильській АЕС, які отримали державні компенсації та допомоги</w:t>
            </w:r>
            <w:r w:rsidRPr="00692393"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  <w:t xml:space="preserve">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тис. 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62,5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12,5</w:t>
            </w:r>
          </w:p>
        </w:tc>
      </w:tr>
      <w:tr w:rsidR="00692393" w:rsidRPr="00692393" w:rsidTr="00692393">
        <w:trPr>
          <w:trHeight w:val="1831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12. Реалізація права на пільгове медичне обслуговування осіб, постраждалих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у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наслідок Чорнобильської катастрофи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12.1. Кількість осіб, постраждалих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у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наслід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ок Чорнобильської катастрофи, які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забезпечені безоплатним придбанням ліків та безоплатним позачерговим зубопротезуванням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12 805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2 561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2 561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2 561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2 561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2 561</w:t>
            </w:r>
          </w:p>
        </w:tc>
      </w:tr>
      <w:tr w:rsidR="00692393" w:rsidRPr="00692393" w:rsidTr="00692393">
        <w:trPr>
          <w:trHeight w:val="708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13. Виконання завдань державної соціальної політики, спрямованих на поліпшення життя осіб з обмеженими фізичними можливостями, удосконалення та подальший розвиток 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системи надання реабілітаційних послуг громадянам з особливими потребами</w:t>
            </w:r>
          </w:p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13.1. Функціонування обласного комунального реабілітаційного закладу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</w:tr>
      <w:tr w:rsidR="00692393" w:rsidRPr="00692393" w:rsidTr="00692393">
        <w:trPr>
          <w:trHeight w:val="1117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13.2. Зміцнення матеріально-технічної бази обласного комунального реабілітаційного закладу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</w:tr>
      <w:tr w:rsidR="00692393" w:rsidRPr="00692393" w:rsidTr="00692393">
        <w:trPr>
          <w:trHeight w:val="1816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13.3. Кількість осіб з інвалідністю, які отримали грошові компенсації на бензин, ремонт і технічне обслуговування автомобілів та на транспортне обслуговування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7 000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1 400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1 400</w:t>
            </w:r>
          </w:p>
        </w:tc>
      </w:tr>
      <w:tr w:rsidR="00692393" w:rsidRPr="00692393" w:rsidTr="00692393">
        <w:trPr>
          <w:trHeight w:val="750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14. Поліпшення інформованості мешканців області щодо державних гарантій їх соціального захисту, охоплення заходами соціального захисту, забезпечення державних соціальних гарантій та додаткових регіональних форм адресної підтримки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14.1. Кількість публікацій соціального спрямування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750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2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150</w:t>
            </w:r>
          </w:p>
        </w:tc>
      </w:tr>
      <w:tr w:rsidR="00692393" w:rsidRPr="00692393" w:rsidTr="00692393">
        <w:trPr>
          <w:trHeight w:val="833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692393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14.2. Кількість осіб, яким здійснена передплата періодичних видань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22</w:t>
            </w:r>
          </w:p>
        </w:tc>
      </w:tr>
      <w:tr w:rsidR="00692393" w:rsidRPr="00692393" w:rsidTr="00692393">
        <w:trPr>
          <w:trHeight w:val="131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9</w:t>
            </w:r>
          </w:p>
        </w:tc>
      </w:tr>
      <w:tr w:rsidR="00692393" w:rsidRPr="00692393" w:rsidTr="00692393">
        <w:trPr>
          <w:trHeight w:val="1339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15. Створення додаткових умов для організації дозвілля та активного відпочинку осіб похилого віку, осіб з інвалідністю та дітей з інвалідністю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15.1. Кількість проведених заходів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1 000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200</w:t>
            </w:r>
          </w:p>
        </w:tc>
      </w:tr>
      <w:tr w:rsidR="00692393" w:rsidRPr="00692393" w:rsidTr="00692393">
        <w:trPr>
          <w:trHeight w:val="4478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52" w:lineRule="auto"/>
              <w:rPr>
                <w:rFonts w:eastAsia="Calibri"/>
                <w:spacing w:val="-6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 xml:space="preserve">16. Здійснення заходів із соціально-психологічної адаптації учасників антитерористичної операції, осіб, які здійснювали заходи із забезпечення національної безпеки </w:t>
            </w:r>
            <w:r w:rsidR="00A0124F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й</w:t>
            </w: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 xml:space="preserve"> оборони, відсічі і стримування збройної агресії російської федерації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</w:t>
            </w:r>
            <w:r w:rsidRPr="00692393">
              <w:rPr>
                <w:rFonts w:eastAsia="Calibri"/>
                <w:spacing w:val="-6"/>
                <w:sz w:val="18"/>
                <w:szCs w:val="18"/>
                <w:lang w:eastAsia="en-US"/>
              </w:rPr>
              <w:t>’</w:t>
            </w:r>
            <w:proofErr w:type="spellStart"/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язку</w:t>
            </w:r>
            <w:proofErr w:type="spellEnd"/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 xml:space="preserve"> з військовою агресією російської федерації проти України, та членів їх сімей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16.1. Кількість осіб, які забезпечені соціально-психологічною адаптацією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1 250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250</w:t>
            </w:r>
          </w:p>
        </w:tc>
      </w:tr>
      <w:tr w:rsidR="00692393" w:rsidRPr="00692393" w:rsidTr="00692393">
        <w:trPr>
          <w:trHeight w:val="38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pacing w:val="-6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pacing w:val="-6"/>
                <w:sz w:val="18"/>
                <w:szCs w:val="18"/>
                <w:lang w:val="uk-UA" w:eastAsia="en-US"/>
              </w:rPr>
              <w:t>17. Забезпечення утримання дітей з інвалідністю Дніпропетровської області в будинках-інтернатах за межами області на території України шляхом перерахування міжбюджетних трансфертів з обласного бюджету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17.1. Кількість дітей з інвалідністю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</w:tr>
      <w:tr w:rsidR="00692393" w:rsidRPr="00692393" w:rsidTr="00692393">
        <w:trPr>
          <w:trHeight w:val="38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18. Підтримка громадян похилого віку та осіб з інвалідністю, які переміщуються з 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території можливих та активних бойових дій Дніпропетровської області за межі області по території України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 xml:space="preserve">18.1. Кількість осіб, яким </w:t>
            </w:r>
            <w:proofErr w:type="spellStart"/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виплачено</w:t>
            </w:r>
            <w:proofErr w:type="spellEnd"/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компенсацію за проїзд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</w:tr>
      <w:tr w:rsidR="00692393" w:rsidRPr="00692393" w:rsidTr="00692393">
        <w:trPr>
          <w:trHeight w:val="38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A0124F" w:rsidP="00A0124F">
            <w:pPr>
              <w:spacing w:line="252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19. У</w:t>
            </w:r>
            <w:r w:rsidR="00692393"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провадження програми ментального </w:t>
            </w:r>
            <w:proofErr w:type="spellStart"/>
            <w:r w:rsidR="00692393" w:rsidRPr="00692393">
              <w:rPr>
                <w:rFonts w:eastAsia="Calibri"/>
                <w:sz w:val="18"/>
                <w:szCs w:val="18"/>
                <w:lang w:val="uk-UA" w:eastAsia="en-US"/>
              </w:rPr>
              <w:t>здоров</w:t>
            </w:r>
            <w:proofErr w:type="spellEnd"/>
            <w:r w:rsidR="00692393" w:rsidRPr="00692393">
              <w:rPr>
                <w:rFonts w:eastAsia="Calibri"/>
                <w:sz w:val="18"/>
                <w:szCs w:val="18"/>
                <w:lang w:eastAsia="en-US"/>
              </w:rPr>
              <w:t>’</w:t>
            </w:r>
            <w:r w:rsidR="00692393"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я </w:t>
            </w:r>
            <w:r>
              <w:rPr>
                <w:rFonts w:eastAsia="Calibri"/>
                <w:sz w:val="18"/>
                <w:szCs w:val="18"/>
                <w:lang w:eastAsia="en-US"/>
              </w:rPr>
              <w:t>„</w:t>
            </w:r>
            <w:r w:rsidR="00692393" w:rsidRPr="00692393">
              <w:rPr>
                <w:rFonts w:eastAsia="Calibri"/>
                <w:sz w:val="18"/>
                <w:szCs w:val="18"/>
                <w:lang w:val="uk-UA" w:eastAsia="en-US"/>
              </w:rPr>
              <w:t>Ти як?</w:t>
            </w:r>
            <w:r w:rsidR="00692393" w:rsidRPr="00692393">
              <w:rPr>
                <w:rFonts w:eastAsia="Calibri"/>
                <w:sz w:val="18"/>
                <w:szCs w:val="18"/>
                <w:lang w:eastAsia="en-US"/>
              </w:rPr>
              <w:t>”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52" w:lineRule="auto"/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19.1. Кількість заходів, проведених у рамках Всеукраїнської програми ментального здоров’я </w:t>
            </w:r>
            <w:r w:rsidR="00A0124F">
              <w:rPr>
                <w:rFonts w:eastAsia="Calibri"/>
                <w:sz w:val="18"/>
                <w:szCs w:val="18"/>
                <w:lang w:eastAsia="en-US"/>
              </w:rPr>
              <w:t>„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Ти як?</w:t>
            </w:r>
            <w:r w:rsidRPr="00692393">
              <w:rPr>
                <w:rFonts w:eastAsia="Calibri"/>
                <w:sz w:val="18"/>
                <w:szCs w:val="18"/>
                <w:lang w:eastAsia="en-US"/>
              </w:rPr>
              <w:t>”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,</w:t>
            </w:r>
            <w:r w:rsidRPr="0069239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ініційованої першою леді Оленою </w:t>
            </w:r>
            <w:proofErr w:type="spellStart"/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Зеленською</w:t>
            </w:r>
            <w:proofErr w:type="spellEnd"/>
            <w:r w:rsidRPr="00692393">
              <w:rPr>
                <w:rFonts w:eastAsia="Calibri"/>
                <w:sz w:val="18"/>
                <w:szCs w:val="18"/>
                <w:highlight w:val="yellow"/>
                <w:lang w:val="uk-UA" w:eastAsia="en-US"/>
              </w:rPr>
              <w:t xml:space="preserve">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52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</w:tr>
      <w:tr w:rsidR="00692393" w:rsidRPr="00692393" w:rsidTr="00692393">
        <w:trPr>
          <w:trHeight w:val="38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20. Додаткова підтримка родин,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в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яких народилася трійня (або більше дітей), для вирішення соціально-побутових проблем та придбання дітям товарів першої необхідності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A0124F">
            <w:pPr>
              <w:spacing w:line="21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20.1. Кількість родин, </w:t>
            </w:r>
            <w:r w:rsidR="00A0124F">
              <w:rPr>
                <w:rFonts w:eastAsia="Calibri"/>
                <w:sz w:val="18"/>
                <w:szCs w:val="18"/>
                <w:lang w:val="uk-UA" w:eastAsia="en-US"/>
              </w:rPr>
              <w:t>в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 xml:space="preserve"> яких народилася трійня (або більше дітей)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осіб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</w:tr>
      <w:tr w:rsidR="00AA076D" w:rsidRPr="00692393" w:rsidTr="00AA076D">
        <w:trPr>
          <w:trHeight w:val="131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spacing w:line="216" w:lineRule="auto"/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6D" w:rsidRPr="00692393" w:rsidRDefault="00AA076D" w:rsidP="00AA076D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9</w:t>
            </w:r>
          </w:p>
        </w:tc>
      </w:tr>
      <w:tr w:rsidR="00692393" w:rsidRPr="00692393" w:rsidTr="00692393">
        <w:trPr>
          <w:trHeight w:val="382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21. Залучення громадських організацій осіб з інвалідністю до виявлення проблемних питань у житті осіб з обмеженими фізичними можливостями та участі в їх вирішенні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spacing w:line="216" w:lineRule="auto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21.1. Кількість громадських організацій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од.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val="uk-UA" w:eastAsia="en-US"/>
              </w:rPr>
            </w:pPr>
            <w:r w:rsidRPr="00692393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692393">
              <w:rPr>
                <w:rFonts w:eastAsia="Calibri"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239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239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239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239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393" w:rsidRPr="00692393" w:rsidRDefault="00692393" w:rsidP="00885A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9239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</w:tbl>
    <w:p w:rsidR="0072610E" w:rsidRPr="007A2DD2" w:rsidRDefault="0072610E" w:rsidP="0072610E">
      <w:pPr>
        <w:spacing w:line="242" w:lineRule="auto"/>
        <w:ind w:firstLine="708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2610E" w:rsidRPr="007A2DD2" w:rsidRDefault="0072610E" w:rsidP="0072610E">
      <w:pPr>
        <w:spacing w:line="242" w:lineRule="auto"/>
        <w:ind w:firstLine="567"/>
        <w:jc w:val="both"/>
        <w:rPr>
          <w:sz w:val="28"/>
          <w:szCs w:val="28"/>
          <w:lang w:val="uk-UA"/>
        </w:rPr>
      </w:pPr>
      <w:r w:rsidRPr="007A2DD2">
        <w:rPr>
          <w:sz w:val="28"/>
          <w:szCs w:val="28"/>
          <w:lang w:val="uk-UA"/>
        </w:rPr>
        <w:t xml:space="preserve">12. Координація та контроль за виконанням. </w:t>
      </w:r>
    </w:p>
    <w:p w:rsidR="0072610E" w:rsidRPr="007A2DD2" w:rsidRDefault="0072610E" w:rsidP="0072610E">
      <w:pPr>
        <w:spacing w:line="242" w:lineRule="auto"/>
        <w:ind w:firstLine="567"/>
        <w:jc w:val="both"/>
        <w:rPr>
          <w:sz w:val="28"/>
          <w:szCs w:val="28"/>
          <w:lang w:val="uk-UA"/>
        </w:rPr>
      </w:pPr>
      <w:r w:rsidRPr="007A2DD2">
        <w:rPr>
          <w:sz w:val="28"/>
          <w:szCs w:val="28"/>
          <w:lang w:val="uk-UA"/>
        </w:rPr>
        <w:t>Координацію щодо реалізації Програми здійснює замовник – департамент соціального захисту населення обл</w:t>
      </w:r>
      <w:r w:rsidR="00AA076D">
        <w:rPr>
          <w:sz w:val="28"/>
          <w:szCs w:val="28"/>
          <w:lang w:val="uk-UA"/>
        </w:rPr>
        <w:t xml:space="preserve">асної </w:t>
      </w:r>
      <w:r w:rsidRPr="007A2DD2">
        <w:rPr>
          <w:sz w:val="28"/>
          <w:szCs w:val="28"/>
          <w:lang w:val="uk-UA"/>
        </w:rPr>
        <w:t>держ</w:t>
      </w:r>
      <w:r w:rsidR="00AA076D">
        <w:rPr>
          <w:sz w:val="28"/>
          <w:szCs w:val="28"/>
          <w:lang w:val="uk-UA"/>
        </w:rPr>
        <w:t xml:space="preserve">авної </w:t>
      </w:r>
      <w:r w:rsidRPr="007A2DD2">
        <w:rPr>
          <w:sz w:val="28"/>
          <w:szCs w:val="28"/>
          <w:lang w:val="uk-UA"/>
        </w:rPr>
        <w:t>адміністрації, контроль – постійна комісія</w:t>
      </w:r>
      <w:r w:rsidR="00AA076D">
        <w:rPr>
          <w:sz w:val="28"/>
          <w:szCs w:val="28"/>
          <w:lang w:val="uk-UA"/>
        </w:rPr>
        <w:t xml:space="preserve"> обласної ради</w:t>
      </w:r>
      <w:r w:rsidRPr="007A2DD2">
        <w:rPr>
          <w:sz w:val="28"/>
          <w:szCs w:val="28"/>
          <w:lang w:val="uk-UA"/>
        </w:rPr>
        <w:t xml:space="preserve"> з питань науки, освіти, соціальної політики та праці. </w:t>
      </w:r>
    </w:p>
    <w:p w:rsidR="0072610E" w:rsidRPr="007A2DD2" w:rsidRDefault="0072610E" w:rsidP="0072610E">
      <w:pPr>
        <w:spacing w:line="242" w:lineRule="auto"/>
        <w:ind w:firstLine="567"/>
        <w:jc w:val="both"/>
        <w:rPr>
          <w:sz w:val="28"/>
          <w:szCs w:val="28"/>
          <w:lang w:val="uk-UA"/>
        </w:rPr>
      </w:pPr>
      <w:r w:rsidRPr="007A2DD2">
        <w:rPr>
          <w:sz w:val="28"/>
          <w:szCs w:val="28"/>
          <w:lang w:val="uk-UA"/>
        </w:rPr>
        <w:t>Департамент соціального захисту населення обл</w:t>
      </w:r>
      <w:r w:rsidR="00AA076D">
        <w:rPr>
          <w:sz w:val="28"/>
          <w:szCs w:val="28"/>
          <w:lang w:val="uk-UA"/>
        </w:rPr>
        <w:t xml:space="preserve">асної </w:t>
      </w:r>
      <w:r w:rsidRPr="007A2DD2">
        <w:rPr>
          <w:sz w:val="28"/>
          <w:szCs w:val="28"/>
          <w:lang w:val="uk-UA"/>
        </w:rPr>
        <w:t>держ</w:t>
      </w:r>
      <w:r w:rsidR="00AA076D">
        <w:rPr>
          <w:sz w:val="28"/>
          <w:szCs w:val="28"/>
          <w:lang w:val="uk-UA"/>
        </w:rPr>
        <w:t xml:space="preserve">авної </w:t>
      </w:r>
      <w:r w:rsidRPr="007A2DD2">
        <w:rPr>
          <w:sz w:val="28"/>
          <w:szCs w:val="28"/>
          <w:lang w:val="uk-UA"/>
        </w:rPr>
        <w:t>адміністрації щокварт</w:t>
      </w:r>
      <w:r w:rsidR="00A0124F">
        <w:rPr>
          <w:sz w:val="28"/>
          <w:szCs w:val="28"/>
          <w:lang w:val="uk-UA"/>
        </w:rPr>
        <w:t>ально</w:t>
      </w:r>
      <w:r w:rsidRPr="007A2DD2">
        <w:rPr>
          <w:sz w:val="28"/>
          <w:szCs w:val="28"/>
          <w:lang w:val="uk-UA"/>
        </w:rPr>
        <w:t xml:space="preserve"> до 15 числа місяця, на</w:t>
      </w:r>
      <w:r w:rsidR="00AA076D">
        <w:rPr>
          <w:sz w:val="28"/>
          <w:szCs w:val="28"/>
          <w:lang w:val="uk-UA"/>
        </w:rPr>
        <w:t xml:space="preserve">ступного за звітним періодом, </w:t>
      </w:r>
      <w:r w:rsidRPr="007A2DD2">
        <w:rPr>
          <w:sz w:val="28"/>
          <w:szCs w:val="28"/>
          <w:lang w:val="uk-UA"/>
        </w:rPr>
        <w:t>надає інформацію про хід виконання Програми до обласної ради та обл</w:t>
      </w:r>
      <w:r w:rsidR="00AA076D">
        <w:rPr>
          <w:sz w:val="28"/>
          <w:szCs w:val="28"/>
          <w:lang w:val="uk-UA"/>
        </w:rPr>
        <w:t xml:space="preserve">асної </w:t>
      </w:r>
      <w:r w:rsidRPr="007A2DD2">
        <w:rPr>
          <w:sz w:val="28"/>
          <w:szCs w:val="28"/>
          <w:lang w:val="uk-UA"/>
        </w:rPr>
        <w:t>держ</w:t>
      </w:r>
      <w:r w:rsidR="00AA076D">
        <w:rPr>
          <w:sz w:val="28"/>
          <w:szCs w:val="28"/>
          <w:lang w:val="uk-UA"/>
        </w:rPr>
        <w:t xml:space="preserve">авної </w:t>
      </w:r>
      <w:r w:rsidRPr="007A2DD2">
        <w:rPr>
          <w:sz w:val="28"/>
          <w:szCs w:val="28"/>
          <w:lang w:val="uk-UA"/>
        </w:rPr>
        <w:t>адміністрації.</w:t>
      </w:r>
    </w:p>
    <w:p w:rsidR="00AA076D" w:rsidRDefault="00AA076D" w:rsidP="00AA076D">
      <w:pPr>
        <w:rPr>
          <w:rFonts w:eastAsia="Calibri"/>
          <w:b/>
          <w:sz w:val="28"/>
          <w:szCs w:val="28"/>
          <w:lang w:val="uk-UA" w:eastAsia="en-US"/>
        </w:rPr>
      </w:pPr>
    </w:p>
    <w:p w:rsidR="00AA076D" w:rsidRDefault="00AA076D" w:rsidP="00AA076D">
      <w:pPr>
        <w:rPr>
          <w:rFonts w:eastAsia="Calibri"/>
          <w:b/>
          <w:sz w:val="28"/>
          <w:szCs w:val="28"/>
          <w:lang w:val="uk-UA" w:eastAsia="en-US"/>
        </w:rPr>
      </w:pPr>
    </w:p>
    <w:p w:rsidR="00AA076D" w:rsidRDefault="00AA076D" w:rsidP="00AA076D">
      <w:pPr>
        <w:rPr>
          <w:rFonts w:eastAsia="Calibri"/>
          <w:b/>
          <w:sz w:val="28"/>
          <w:szCs w:val="28"/>
          <w:lang w:val="uk-UA" w:eastAsia="en-US"/>
        </w:rPr>
      </w:pPr>
    </w:p>
    <w:p w:rsidR="0096696C" w:rsidRPr="00AA076D" w:rsidRDefault="00AA076D" w:rsidP="00AA076D">
      <w:pPr>
        <w:rPr>
          <w:sz w:val="28"/>
          <w:szCs w:val="28"/>
          <w:lang w:val="uk-UA"/>
        </w:rPr>
      </w:pPr>
      <w:r w:rsidRPr="00AA076D">
        <w:rPr>
          <w:rFonts w:eastAsia="Calibri"/>
          <w:b/>
          <w:sz w:val="28"/>
          <w:szCs w:val="28"/>
          <w:lang w:val="uk-UA" w:eastAsia="en-US"/>
        </w:rPr>
        <w:t>Заступник голови обласної ради                                             І. КАШИРІН</w:t>
      </w:r>
    </w:p>
    <w:sectPr w:rsidR="0096696C" w:rsidRPr="00AA076D" w:rsidSect="0072610E">
      <w:headerReference w:type="default" r:id="rId7"/>
      <w:pgSz w:w="11906" w:h="16838" w:code="9"/>
      <w:pgMar w:top="1134" w:right="1133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CD" w:rsidRDefault="00D132CD" w:rsidP="0072610E">
      <w:r>
        <w:separator/>
      </w:r>
    </w:p>
  </w:endnote>
  <w:endnote w:type="continuationSeparator" w:id="0">
    <w:p w:rsidR="00D132CD" w:rsidRDefault="00D132CD" w:rsidP="0072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CD" w:rsidRDefault="00D132CD" w:rsidP="0072610E">
      <w:r>
        <w:separator/>
      </w:r>
    </w:p>
  </w:footnote>
  <w:footnote w:type="continuationSeparator" w:id="0">
    <w:p w:rsidR="00D132CD" w:rsidRDefault="00D132CD" w:rsidP="0072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0379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2610E" w:rsidRPr="0072610E" w:rsidRDefault="0072610E" w:rsidP="0072610E">
        <w:pPr>
          <w:pStyle w:val="a3"/>
          <w:jc w:val="center"/>
          <w:rPr>
            <w:sz w:val="28"/>
            <w:szCs w:val="28"/>
          </w:rPr>
        </w:pPr>
        <w:r w:rsidRPr="0072610E">
          <w:rPr>
            <w:sz w:val="28"/>
            <w:szCs w:val="28"/>
          </w:rPr>
          <w:fldChar w:fldCharType="begin"/>
        </w:r>
        <w:r w:rsidRPr="0072610E">
          <w:rPr>
            <w:sz w:val="28"/>
            <w:szCs w:val="28"/>
          </w:rPr>
          <w:instrText>PAGE   \* MERGEFORMAT</w:instrText>
        </w:r>
        <w:r w:rsidRPr="0072610E">
          <w:rPr>
            <w:sz w:val="28"/>
            <w:szCs w:val="28"/>
          </w:rPr>
          <w:fldChar w:fldCharType="separate"/>
        </w:r>
        <w:r w:rsidR="000B259D">
          <w:rPr>
            <w:noProof/>
            <w:sz w:val="28"/>
            <w:szCs w:val="28"/>
          </w:rPr>
          <w:t>6</w:t>
        </w:r>
        <w:r w:rsidRPr="0072610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0E"/>
    <w:rsid w:val="000B259D"/>
    <w:rsid w:val="00254473"/>
    <w:rsid w:val="00442849"/>
    <w:rsid w:val="004D6860"/>
    <w:rsid w:val="005D6A32"/>
    <w:rsid w:val="00692393"/>
    <w:rsid w:val="0072610E"/>
    <w:rsid w:val="0075382D"/>
    <w:rsid w:val="0096696C"/>
    <w:rsid w:val="00A0124F"/>
    <w:rsid w:val="00AA076D"/>
    <w:rsid w:val="00B33A0E"/>
    <w:rsid w:val="00B66336"/>
    <w:rsid w:val="00D132CD"/>
    <w:rsid w:val="00D20A9D"/>
    <w:rsid w:val="00D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1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261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10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1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261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10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7069</Words>
  <Characters>4030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2025-03-26T14:03:00Z</dcterms:created>
  <dcterms:modified xsi:type="dcterms:W3CDTF">2025-05-08T10:02:00Z</dcterms:modified>
</cp:coreProperties>
</file>