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26659C" w:rsidRPr="00684E99" w:rsidRDefault="0026659C" w:rsidP="00350794">
      <w:pPr>
        <w:pStyle w:val="ac"/>
      </w:pPr>
    </w:p>
    <w:p w:rsidR="004B4EC9" w:rsidRPr="00B9568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9B2C4B">
        <w:t>ТА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645499">
        <w:rPr>
          <w:lang w:val="ru-RU"/>
        </w:rPr>
        <w:t>1</w:t>
      </w:r>
      <w:r w:rsidRPr="00C26F57">
        <w:rPr>
          <w:lang w:val="ru-RU"/>
        </w:rPr>
        <w:t>/</w:t>
      </w:r>
      <w:r w:rsidR="00D67327">
        <w:t>4</w:t>
      </w:r>
      <w:r w:rsidR="00645499">
        <w:t>5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645499" w:rsidRPr="003526EB" w:rsidRDefault="00645499" w:rsidP="00645499">
      <w:r w:rsidRPr="003526EB">
        <w:t>26 серпня 2025 року</w:t>
      </w:r>
      <w:r w:rsidRPr="003526EB">
        <w:tab/>
      </w:r>
      <w:r w:rsidRPr="003526EB">
        <w:tab/>
      </w:r>
      <w:r w:rsidRPr="003526EB">
        <w:tab/>
      </w:r>
      <w:r w:rsidRPr="003526EB">
        <w:tab/>
      </w:r>
      <w:r w:rsidRPr="003526EB">
        <w:tab/>
      </w:r>
      <w:r w:rsidRPr="003526EB">
        <w:tab/>
      </w:r>
      <w:r w:rsidRPr="003526EB">
        <w:tab/>
      </w:r>
      <w:r w:rsidRPr="003526EB">
        <w:tab/>
        <w:t>м. Дніпро</w:t>
      </w:r>
    </w:p>
    <w:p w:rsidR="00645499" w:rsidRPr="003526EB" w:rsidRDefault="00645499" w:rsidP="00645499">
      <w:r w:rsidRPr="003526EB">
        <w:t>12:00 годин</w:t>
      </w:r>
    </w:p>
    <w:p w:rsidR="008D7154" w:rsidRPr="00684E99" w:rsidRDefault="008D7154">
      <w:pPr>
        <w:jc w:val="right"/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645499" w:rsidRPr="00645499">
        <w:rPr>
          <w:lang w:val="uk-UA"/>
        </w:rPr>
        <w:t>директор</w:t>
      </w:r>
      <w:r w:rsidR="00645499">
        <w:rPr>
          <w:lang w:val="uk-UA"/>
        </w:rPr>
        <w:t>а</w:t>
      </w:r>
      <w:r w:rsidR="00645499" w:rsidRPr="00645499">
        <w:rPr>
          <w:lang w:val="uk-UA"/>
        </w:rPr>
        <w:t xml:space="preserve"> департаменту фінансів Дніпропетровської обласної державної адміністрації – обласної військової адміністрації</w:t>
      </w:r>
      <w:r w:rsidR="00645499" w:rsidRPr="00306BCC">
        <w:rPr>
          <w:spacing w:val="-2"/>
          <w:lang w:val="uk-UA"/>
        </w:rPr>
        <w:t xml:space="preserve"> </w:t>
      </w:r>
      <w:proofErr w:type="spellStart"/>
      <w:r w:rsidR="00645499" w:rsidRPr="00645499">
        <w:rPr>
          <w:lang w:val="uk-UA"/>
        </w:rPr>
        <w:t>Шебеко</w:t>
      </w:r>
      <w:proofErr w:type="spellEnd"/>
      <w:r w:rsidR="00645499" w:rsidRPr="00645499">
        <w:rPr>
          <w:lang w:val="uk-UA"/>
        </w:rPr>
        <w:t xml:space="preserve"> Т.І.</w:t>
      </w:r>
      <w:r w:rsidR="00645499">
        <w:rPr>
          <w:lang w:val="uk-UA"/>
        </w:rPr>
        <w:t xml:space="preserve"> </w:t>
      </w:r>
      <w:r>
        <w:rPr>
          <w:lang w:val="uk-UA"/>
        </w:rPr>
        <w:t xml:space="preserve">стосовно </w:t>
      </w:r>
      <w:r w:rsidR="00306BCC" w:rsidRPr="00306BCC">
        <w:rPr>
          <w:lang w:val="uk-UA"/>
        </w:rPr>
        <w:t xml:space="preserve">проєкту рішення </w:t>
      </w:r>
      <w:r w:rsidR="00306BCC" w:rsidRPr="00645499">
        <w:rPr>
          <w:lang w:val="uk-UA"/>
        </w:rPr>
        <w:t>„</w:t>
      </w:r>
      <w:r w:rsidR="00645499" w:rsidRPr="00645499">
        <w:rPr>
          <w:lang w:val="uk-UA"/>
        </w:rPr>
        <w:t xml:space="preserve">Про внесення змін до рішення обласної ради від 13 </w:t>
      </w:r>
      <w:r w:rsidR="00645499">
        <w:rPr>
          <w:lang w:val="uk-UA"/>
        </w:rPr>
        <w:t xml:space="preserve">грудня 2024 року </w:t>
      </w:r>
      <w:r w:rsidR="00645499" w:rsidRPr="00645499">
        <w:rPr>
          <w:lang w:val="uk-UA"/>
        </w:rPr>
        <w:t>№ 471-23/</w:t>
      </w:r>
      <w:r w:rsidR="00645499" w:rsidRPr="00645499">
        <w:t>V</w:t>
      </w:r>
      <w:r w:rsidR="00645499" w:rsidRPr="00645499">
        <w:rPr>
          <w:lang w:val="uk-UA"/>
        </w:rPr>
        <w:t>ІІІ „Про обласний бюджет на 2025 рік”</w:t>
      </w:r>
      <w:r w:rsidRPr="00690550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8B4182" w:rsidRDefault="004B4EC9" w:rsidP="006F7864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645499" w:rsidRPr="003526EB" w:rsidRDefault="00645499" w:rsidP="00645499">
      <w:pPr>
        <w:ind w:firstLine="708"/>
        <w:jc w:val="both"/>
      </w:pPr>
      <w:r w:rsidRPr="003526EB">
        <w:t xml:space="preserve">1. Інформацію директора департаменту фінансів Дніпропетровської обласної державної адміністрації – обласної військової адміністрації              </w:t>
      </w:r>
      <w:proofErr w:type="spellStart"/>
      <w:r w:rsidRPr="003526EB">
        <w:t>Шебеко</w:t>
      </w:r>
      <w:proofErr w:type="spellEnd"/>
      <w:r w:rsidRPr="003526EB">
        <w:t xml:space="preserve"> Т.І. взяти до відома.</w:t>
      </w:r>
    </w:p>
    <w:p w:rsidR="00645499" w:rsidRPr="003526EB" w:rsidRDefault="00645499" w:rsidP="00645499">
      <w:pPr>
        <w:pStyle w:val="af8"/>
        <w:ind w:left="0" w:firstLine="709"/>
        <w:jc w:val="both"/>
        <w:rPr>
          <w:lang w:val="uk-UA"/>
        </w:rPr>
      </w:pPr>
      <w:r w:rsidRPr="003526EB">
        <w:rPr>
          <w:lang w:val="uk-UA"/>
        </w:rPr>
        <w:t xml:space="preserve">2. Погодити </w:t>
      </w:r>
      <w:proofErr w:type="spellStart"/>
      <w:r w:rsidRPr="003526EB">
        <w:rPr>
          <w:lang w:val="uk-UA"/>
        </w:rPr>
        <w:t>проєкт</w:t>
      </w:r>
      <w:proofErr w:type="spellEnd"/>
      <w:r w:rsidRPr="003526EB">
        <w:rPr>
          <w:lang w:val="uk-UA"/>
        </w:rPr>
        <w:t xml:space="preserve"> рішення обласної ради „Про внесення змін до рішення обласної ради від 13 грудня 2024 року № 471-23/VІІІ „Про обласний бюджет на 2025 рік” із наступними змінами, внесеними на засіданні постійної комісії обласної ради з питань соціально-економічного розвитку області, бюджету і фінансів 26 серпня 2025 року, а саме:  </w:t>
      </w:r>
    </w:p>
    <w:p w:rsidR="00645499" w:rsidRPr="003526EB" w:rsidRDefault="00645499" w:rsidP="00645499">
      <w:pPr>
        <w:pStyle w:val="af8"/>
        <w:ind w:left="0" w:firstLine="709"/>
        <w:jc w:val="both"/>
        <w:rPr>
          <w:lang w:val="uk-UA"/>
        </w:rPr>
      </w:pPr>
      <w:r w:rsidRPr="003526EB">
        <w:rPr>
          <w:lang w:val="uk-UA"/>
        </w:rPr>
        <w:t>за пропозицією головного розпорядника бюджетних коштів – обласної ради перерозподілити кошти обласного бюджету на виконання доручень виборців депутатами Дніпропетровської обласної ради у 2025 році (додається);</w:t>
      </w:r>
    </w:p>
    <w:p w:rsidR="00645499" w:rsidRPr="003526EB" w:rsidRDefault="00645499" w:rsidP="00645499">
      <w:pPr>
        <w:pStyle w:val="af8"/>
        <w:ind w:left="0" w:firstLine="709"/>
        <w:jc w:val="both"/>
        <w:rPr>
          <w:lang w:val="uk-UA"/>
        </w:rPr>
      </w:pPr>
      <w:r w:rsidRPr="003526EB">
        <w:rPr>
          <w:lang w:val="uk-UA"/>
        </w:rPr>
        <w:t>за пропозицією головного розпорядника бюджетних коштів – департаменту фінансів обласної державної адміністрації – обласної військової адміністрації збільшити дохідну і видаткову частини обласного бюджету на 2025 рік за рахунок:</w:t>
      </w:r>
    </w:p>
    <w:p w:rsidR="00645499" w:rsidRPr="003526EB" w:rsidRDefault="00645499" w:rsidP="00645499">
      <w:pPr>
        <w:pStyle w:val="af8"/>
        <w:ind w:left="0" w:firstLine="709"/>
        <w:jc w:val="both"/>
        <w:rPr>
          <w:lang w:val="uk-UA"/>
        </w:rPr>
      </w:pPr>
      <w:r w:rsidRPr="003526EB">
        <w:rPr>
          <w:lang w:val="uk-UA"/>
        </w:rPr>
        <w:t xml:space="preserve">субвенції з державного бюджету на підтримку окремих закладів і заходів у системі охорони здоров’я в сумі 12 697,7 тис грн для “КП Дніпропетровська обласна станція переливання крові” з метою забезпечення безоплатного задоволення прогнозованих потреб у донорській крові та її компонентах; </w:t>
      </w:r>
    </w:p>
    <w:p w:rsidR="00645499" w:rsidRPr="003526EB" w:rsidRDefault="00645499" w:rsidP="00645499">
      <w:pPr>
        <w:ind w:firstLine="567"/>
        <w:jc w:val="both"/>
      </w:pPr>
      <w:r w:rsidRPr="003526EB">
        <w:lastRenderedPageBreak/>
        <w:t xml:space="preserve">субвенції з бюджету </w:t>
      </w:r>
      <w:proofErr w:type="spellStart"/>
      <w:r w:rsidRPr="003526EB">
        <w:t>Межиріцької</w:t>
      </w:r>
      <w:proofErr w:type="spellEnd"/>
      <w:r w:rsidRPr="003526EB">
        <w:t xml:space="preserve"> сільської ТГ в сумі  203,3</w:t>
      </w:r>
      <w:r>
        <w:t xml:space="preserve"> тис</w:t>
      </w:r>
      <w:bookmarkStart w:id="0" w:name="_GoBack"/>
      <w:bookmarkEnd w:id="0"/>
      <w:r w:rsidRPr="003526EB">
        <w:t> грн на виконання заходів Програми забезпечення громадського порядку та громадської безпеки.</w:t>
      </w:r>
    </w:p>
    <w:p w:rsidR="00645499" w:rsidRPr="003526EB" w:rsidRDefault="00645499" w:rsidP="00645499">
      <w:pPr>
        <w:pStyle w:val="af8"/>
        <w:ind w:left="0" w:firstLine="709"/>
        <w:jc w:val="both"/>
        <w:rPr>
          <w:lang w:val="uk-UA"/>
        </w:rPr>
      </w:pPr>
      <w:r w:rsidRPr="003526EB">
        <w:rPr>
          <w:lang w:val="uk-UA"/>
        </w:rPr>
        <w:t>3. Департаменту фінансів Дніпропетровської обласної державної адміністрації – обласної військової адміністрації (</w:t>
      </w:r>
      <w:proofErr w:type="spellStart"/>
      <w:r w:rsidRPr="003526EB">
        <w:rPr>
          <w:lang w:val="uk-UA"/>
        </w:rPr>
        <w:t>Шебеко</w:t>
      </w:r>
      <w:proofErr w:type="spellEnd"/>
      <w:r w:rsidRPr="003526EB">
        <w:rPr>
          <w:lang w:val="uk-UA"/>
        </w:rPr>
        <w:t xml:space="preserve"> Т.І.) надати </w:t>
      </w:r>
      <w:proofErr w:type="spellStart"/>
      <w:r w:rsidRPr="003526EB">
        <w:rPr>
          <w:lang w:val="uk-UA"/>
        </w:rPr>
        <w:t>проєкт</w:t>
      </w:r>
      <w:proofErr w:type="spellEnd"/>
      <w:r w:rsidRPr="003526EB">
        <w:rPr>
          <w:lang w:val="uk-UA"/>
        </w:rPr>
        <w:t xml:space="preserve"> рішення обласної ради „Про внесення змін до рішення обласної ради </w:t>
      </w:r>
      <w:r w:rsidRPr="003526EB">
        <w:rPr>
          <w:lang w:val="uk-UA"/>
        </w:rPr>
        <w:br/>
        <w:t>від 13 грудня 2024 року № 471-23/VІІІ „Про обласний бюджет на 2025 рік” з урахуванням змін на розгляд двадцять шостої сесії Дніпропетровської обласної ради VIIІ скликання та рекомендувати обласній раді затвердити його.</w:t>
      </w:r>
    </w:p>
    <w:p w:rsidR="00645499" w:rsidRPr="00346777" w:rsidRDefault="00645499" w:rsidP="00645499">
      <w:pPr>
        <w:pStyle w:val="af8"/>
        <w:ind w:left="0" w:firstLine="709"/>
        <w:jc w:val="both"/>
        <w:rPr>
          <w:lang w:val="uk-UA"/>
        </w:rPr>
      </w:pPr>
      <w:r w:rsidRPr="003526EB">
        <w:rPr>
          <w:lang w:val="uk-UA"/>
        </w:rPr>
        <w:t xml:space="preserve">4. </w:t>
      </w:r>
      <w:r w:rsidRPr="00346777">
        <w:rPr>
          <w:color w:val="000000"/>
          <w:lang w:val="uk-UA" w:eastAsia="uk-UA"/>
        </w:rPr>
        <w:t>Департаменту охорони здоров’я Дніпропетровської обласної державної адміністрації – обласної військової адміністрації розподіл (перерозподіл) видатків обласного бюджету на 2025 рік в межах головного розпорядника бюджетних коштів між розпорядниками бюджетних коштів нижчого рівня (одержувачами бюджетних коштів) здійснювати за погодженням з постійною комісією обласної ради з питань соціально-економічного розвитку області, бюджету і фінансів.</w:t>
      </w:r>
    </w:p>
    <w:p w:rsidR="00645499" w:rsidRPr="003526EB" w:rsidRDefault="00645499" w:rsidP="00645499">
      <w:pPr>
        <w:pStyle w:val="af8"/>
        <w:ind w:left="0" w:firstLine="709"/>
        <w:jc w:val="both"/>
        <w:rPr>
          <w:lang w:val="uk-UA"/>
        </w:rPr>
      </w:pPr>
    </w:p>
    <w:p w:rsidR="00645499" w:rsidRPr="00ED3BFF" w:rsidRDefault="00645499" w:rsidP="00645499">
      <w:pPr>
        <w:pStyle w:val="a9"/>
        <w:jc w:val="center"/>
        <w:rPr>
          <w:b/>
        </w:rPr>
      </w:pPr>
      <w:r w:rsidRPr="00ED3BFF">
        <w:rPr>
          <w:b/>
        </w:rPr>
        <w:t>Результати голосування:</w:t>
      </w:r>
    </w:p>
    <w:p w:rsidR="00645499" w:rsidRPr="003526EB" w:rsidRDefault="00645499" w:rsidP="00645499">
      <w:pPr>
        <w:pStyle w:val="a9"/>
        <w:jc w:val="center"/>
      </w:pPr>
    </w:p>
    <w:p w:rsidR="00645499" w:rsidRPr="003526EB" w:rsidRDefault="00645499" w:rsidP="00645499">
      <w:pPr>
        <w:pStyle w:val="a9"/>
        <w:ind w:left="2832" w:firstLine="708"/>
      </w:pPr>
      <w:r w:rsidRPr="003526EB">
        <w:t>Кеда Н.В. – за</w:t>
      </w:r>
    </w:p>
    <w:p w:rsidR="00645499" w:rsidRPr="003526EB" w:rsidRDefault="00645499" w:rsidP="00645499">
      <w:pPr>
        <w:ind w:left="3540"/>
      </w:pPr>
      <w:r w:rsidRPr="003526EB">
        <w:t>Чабанова Т.С. – за</w:t>
      </w:r>
    </w:p>
    <w:p w:rsidR="00645499" w:rsidRPr="003526EB" w:rsidRDefault="00645499" w:rsidP="00645499">
      <w:pPr>
        <w:ind w:left="3540"/>
      </w:pPr>
      <w:r w:rsidRPr="003526EB">
        <w:t>Бондаренко О.В. – за</w:t>
      </w:r>
    </w:p>
    <w:p w:rsidR="00645499" w:rsidRPr="003526EB" w:rsidRDefault="00645499" w:rsidP="00645499">
      <w:pPr>
        <w:ind w:left="3540"/>
      </w:pPr>
      <w:r w:rsidRPr="003526EB">
        <w:t>Борисенко О.В. – за</w:t>
      </w:r>
    </w:p>
    <w:p w:rsidR="00645499" w:rsidRPr="003526EB" w:rsidRDefault="00645499" w:rsidP="00645499">
      <w:pPr>
        <w:ind w:left="3540"/>
      </w:pPr>
      <w:r w:rsidRPr="003526EB">
        <w:t>Буряк О.М. – за</w:t>
      </w:r>
    </w:p>
    <w:p w:rsidR="00645499" w:rsidRPr="003526EB" w:rsidRDefault="00645499" w:rsidP="00645499">
      <w:pPr>
        <w:ind w:left="3540"/>
      </w:pPr>
      <w:proofErr w:type="spellStart"/>
      <w:r w:rsidRPr="003526EB">
        <w:t>Геккієв</w:t>
      </w:r>
      <w:proofErr w:type="spellEnd"/>
      <w:r w:rsidRPr="003526EB">
        <w:t xml:space="preserve"> А.Д. – за</w:t>
      </w:r>
    </w:p>
    <w:p w:rsidR="00645499" w:rsidRPr="003526EB" w:rsidRDefault="00645499" w:rsidP="00645499">
      <w:pPr>
        <w:ind w:left="3540"/>
      </w:pPr>
      <w:proofErr w:type="spellStart"/>
      <w:r w:rsidRPr="003526EB">
        <w:t>Жадан</w:t>
      </w:r>
      <w:proofErr w:type="spellEnd"/>
      <w:r w:rsidRPr="003526EB">
        <w:t xml:space="preserve"> Є.В. – за</w:t>
      </w:r>
    </w:p>
    <w:p w:rsidR="00645499" w:rsidRPr="003526EB" w:rsidRDefault="00645499" w:rsidP="00645499">
      <w:pPr>
        <w:ind w:left="3540"/>
      </w:pPr>
      <w:proofErr w:type="spellStart"/>
      <w:r w:rsidRPr="003526EB">
        <w:t>Молоков</w:t>
      </w:r>
      <w:proofErr w:type="spellEnd"/>
      <w:r w:rsidRPr="003526EB">
        <w:t xml:space="preserve"> С.В. – за</w:t>
      </w:r>
    </w:p>
    <w:p w:rsidR="00645499" w:rsidRPr="003526EB" w:rsidRDefault="00645499" w:rsidP="00645499">
      <w:pPr>
        <w:ind w:left="3540"/>
      </w:pPr>
      <w:proofErr w:type="spellStart"/>
      <w:r w:rsidRPr="003526EB">
        <w:t>Мухтаров</w:t>
      </w:r>
      <w:proofErr w:type="spellEnd"/>
      <w:r w:rsidRPr="003526EB">
        <w:t xml:space="preserve"> Г.А. – за</w:t>
      </w:r>
    </w:p>
    <w:p w:rsidR="00645499" w:rsidRPr="003526EB" w:rsidRDefault="00645499" w:rsidP="00645499">
      <w:pPr>
        <w:ind w:left="3540"/>
      </w:pPr>
      <w:proofErr w:type="spellStart"/>
      <w:r w:rsidRPr="003526EB">
        <w:t>Плахотнік</w:t>
      </w:r>
      <w:proofErr w:type="spellEnd"/>
      <w:r w:rsidRPr="003526EB">
        <w:t xml:space="preserve"> О.О. – за</w:t>
      </w:r>
    </w:p>
    <w:p w:rsidR="00645499" w:rsidRPr="003526EB" w:rsidRDefault="00645499" w:rsidP="00645499">
      <w:pPr>
        <w:ind w:left="3540"/>
      </w:pPr>
      <w:r w:rsidRPr="003526EB">
        <w:t>Савченко О.М. – за</w:t>
      </w:r>
    </w:p>
    <w:p w:rsidR="00645499" w:rsidRPr="003526EB" w:rsidRDefault="00645499" w:rsidP="00645499">
      <w:pPr>
        <w:ind w:left="3540"/>
      </w:pPr>
      <w:r w:rsidRPr="003526EB">
        <w:t>Чиркова О.В. – за</w:t>
      </w:r>
    </w:p>
    <w:p w:rsidR="00645499" w:rsidRPr="003526EB" w:rsidRDefault="00645499" w:rsidP="00645499">
      <w:pPr>
        <w:pStyle w:val="a9"/>
        <w:jc w:val="center"/>
      </w:pPr>
    </w:p>
    <w:p w:rsidR="00645499" w:rsidRPr="003526EB" w:rsidRDefault="00645499" w:rsidP="00645499">
      <w:pPr>
        <w:pStyle w:val="a9"/>
        <w:ind w:left="2832" w:firstLine="708"/>
      </w:pPr>
      <w:r w:rsidRPr="003526EB">
        <w:t xml:space="preserve">за </w:t>
      </w:r>
      <w:r w:rsidRPr="003526EB">
        <w:tab/>
      </w:r>
      <w:r w:rsidRPr="003526EB">
        <w:tab/>
        <w:t xml:space="preserve"> 12</w:t>
      </w:r>
    </w:p>
    <w:p w:rsidR="00645499" w:rsidRPr="003526EB" w:rsidRDefault="00645499" w:rsidP="00645499">
      <w:pPr>
        <w:ind w:left="2832" w:firstLine="720"/>
        <w:jc w:val="both"/>
      </w:pPr>
      <w:r w:rsidRPr="003526EB">
        <w:t>проти</w:t>
      </w:r>
      <w:r w:rsidRPr="003526EB">
        <w:tab/>
        <w:t xml:space="preserve">  –</w:t>
      </w:r>
      <w:r w:rsidRPr="003526EB">
        <w:tab/>
        <w:t xml:space="preserve">  </w:t>
      </w:r>
    </w:p>
    <w:p w:rsidR="00645499" w:rsidRPr="003526EB" w:rsidRDefault="00645499" w:rsidP="00645499">
      <w:pPr>
        <w:ind w:left="2832" w:firstLine="720"/>
        <w:jc w:val="both"/>
      </w:pPr>
      <w:r w:rsidRPr="003526EB">
        <w:t>утримались  –</w:t>
      </w:r>
      <w:r w:rsidRPr="003526EB">
        <w:tab/>
        <w:t xml:space="preserve">  </w:t>
      </w:r>
    </w:p>
    <w:p w:rsidR="00645499" w:rsidRPr="003526EB" w:rsidRDefault="00645499" w:rsidP="00645499">
      <w:pPr>
        <w:ind w:left="2832" w:firstLine="708"/>
        <w:jc w:val="both"/>
      </w:pPr>
      <w:r w:rsidRPr="003526EB">
        <w:t xml:space="preserve">усього </w:t>
      </w:r>
      <w:r w:rsidRPr="003526EB">
        <w:tab/>
        <w:t xml:space="preserve"> 12</w:t>
      </w:r>
    </w:p>
    <w:p w:rsidR="00690550" w:rsidRPr="007D1622" w:rsidRDefault="00690550" w:rsidP="00690550">
      <w:pPr>
        <w:ind w:left="2832" w:firstLine="708"/>
        <w:jc w:val="both"/>
      </w:pPr>
    </w:p>
    <w:p w:rsidR="00BB20C2" w:rsidRDefault="00BB20C2" w:rsidP="00BB20C2">
      <w:pPr>
        <w:jc w:val="both"/>
        <w:rPr>
          <w:b/>
          <w:u w:val="single"/>
          <w:shd w:val="clear" w:color="auto" w:fill="FFFFFF"/>
        </w:rPr>
      </w:pPr>
    </w:p>
    <w:p w:rsidR="00C06AC6" w:rsidRPr="00684E99" w:rsidRDefault="00C06AC6" w:rsidP="00D35938">
      <w:pPr>
        <w:jc w:val="both"/>
        <w:rPr>
          <w:b/>
          <w:bCs/>
          <w:sz w:val="24"/>
          <w:szCs w:val="24"/>
        </w:rPr>
      </w:pPr>
    </w:p>
    <w:p w:rsidR="00645499" w:rsidRPr="003526EB" w:rsidRDefault="00645499" w:rsidP="00645499">
      <w:pPr>
        <w:jc w:val="both"/>
        <w:rPr>
          <w:b/>
          <w:bCs/>
        </w:rPr>
      </w:pPr>
      <w:r w:rsidRPr="003526EB">
        <w:rPr>
          <w:b/>
          <w:bCs/>
        </w:rPr>
        <w:t>Головуюча на засіданні,</w:t>
      </w:r>
    </w:p>
    <w:p w:rsidR="00645499" w:rsidRPr="003526EB" w:rsidRDefault="00645499" w:rsidP="00645499">
      <w:pPr>
        <w:jc w:val="both"/>
      </w:pPr>
      <w:r w:rsidRPr="003526EB">
        <w:rPr>
          <w:b/>
          <w:bCs/>
        </w:rPr>
        <w:t>заступник голови комісії</w:t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 w:rsidRPr="003526E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526EB">
        <w:rPr>
          <w:b/>
        </w:rPr>
        <w:t>Н.В. КЕДА</w:t>
      </w:r>
    </w:p>
    <w:p w:rsidR="0069414F" w:rsidRPr="00067175" w:rsidRDefault="0069414F" w:rsidP="00645499">
      <w:pPr>
        <w:jc w:val="both"/>
        <w:rPr>
          <w:b/>
          <w:bCs/>
        </w:rPr>
      </w:pPr>
    </w:p>
    <w:sectPr w:rsidR="0069414F" w:rsidRPr="00067175" w:rsidSect="00DB6FFD">
      <w:headerReference w:type="even" r:id="rId10"/>
      <w:headerReference w:type="default" r:id="rId11"/>
      <w:pgSz w:w="11906" w:h="16838" w:code="9"/>
      <w:pgMar w:top="851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66C" w:rsidRDefault="0067266C">
      <w:r>
        <w:separator/>
      </w:r>
    </w:p>
  </w:endnote>
  <w:endnote w:type="continuationSeparator" w:id="0">
    <w:p w:rsidR="0067266C" w:rsidRDefault="0067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66C" w:rsidRDefault="0067266C">
      <w:r>
        <w:separator/>
      </w:r>
    </w:p>
  </w:footnote>
  <w:footnote w:type="continuationSeparator" w:id="0">
    <w:p w:rsidR="0067266C" w:rsidRDefault="00672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645499" w:rsidRPr="00645499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2E23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058D0"/>
    <w:rsid w:val="00306BCC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2D7F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A7B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499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66C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550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103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B75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2C4B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5026"/>
    <w:rsid w:val="00BA7E0E"/>
    <w:rsid w:val="00BB0D69"/>
    <w:rsid w:val="00BB1F9D"/>
    <w:rsid w:val="00BB20C2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7327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4AB5E-8284-4AE5-9C56-95C7676A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13</cp:revision>
  <cp:lastPrinted>2024-01-16T12:06:00Z</cp:lastPrinted>
  <dcterms:created xsi:type="dcterms:W3CDTF">2024-08-14T13:32:00Z</dcterms:created>
  <dcterms:modified xsi:type="dcterms:W3CDTF">2025-08-27T09:01:00Z</dcterms:modified>
</cp:coreProperties>
</file>