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5531AF">
        <w:rPr>
          <w:b/>
        </w:rPr>
        <w:t>3/</w:t>
      </w:r>
      <w:r w:rsidR="007979AD">
        <w:rPr>
          <w:b/>
        </w:rPr>
        <w:t>2</w:t>
      </w:r>
      <w:r w:rsidR="000731B1">
        <w:rPr>
          <w:b/>
        </w:rPr>
        <w:t>/</w:t>
      </w:r>
      <w:r w:rsidR="00591EFE">
        <w:rPr>
          <w:b/>
          <w:lang w:val="ru-RU"/>
        </w:rPr>
        <w:t>22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 w:rsidR="00591EFE">
        <w:rPr>
          <w:lang w:val="ru-RU"/>
        </w:rPr>
        <w:t>19</w:t>
      </w:r>
      <w:r w:rsidRPr="00236BAD">
        <w:t xml:space="preserve">” </w:t>
      </w:r>
      <w:proofErr w:type="spellStart"/>
      <w:r w:rsidR="00591EFE">
        <w:rPr>
          <w:lang w:val="ru-RU"/>
        </w:rPr>
        <w:t>серпня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Default="00591EFE" w:rsidP="00311B4E">
      <w:pPr>
        <w:spacing w:line="223" w:lineRule="auto"/>
        <w:jc w:val="right"/>
      </w:pPr>
      <w:r>
        <w:t>14</w:t>
      </w:r>
      <w:r w:rsidR="00311B4E" w:rsidRPr="00A05D7D">
        <w:t>.00</w:t>
      </w:r>
    </w:p>
    <w:p w:rsidR="0068604A" w:rsidRPr="005C69B5" w:rsidRDefault="0068604A" w:rsidP="00311B4E">
      <w:pPr>
        <w:spacing w:line="223" w:lineRule="auto"/>
        <w:jc w:val="right"/>
      </w:pPr>
    </w:p>
    <w:p w:rsidR="0068604A" w:rsidRDefault="005950BC" w:rsidP="0068604A">
      <w:pPr>
        <w:ind w:firstLine="708"/>
        <w:contextualSpacing/>
        <w:jc w:val="both"/>
        <w:rPr>
          <w:szCs w:val="28"/>
        </w:rPr>
      </w:pPr>
      <w:r w:rsidRPr="005531AF">
        <w:rPr>
          <w:szCs w:val="28"/>
        </w:rPr>
        <w:t xml:space="preserve">Заслухали та обговорили інформацію </w:t>
      </w:r>
      <w:proofErr w:type="spellStart"/>
      <w:r w:rsidR="005531AF" w:rsidRPr="005531AF">
        <w:rPr>
          <w:szCs w:val="28"/>
        </w:rPr>
        <w:t>Пустової</w:t>
      </w:r>
      <w:proofErr w:type="spellEnd"/>
      <w:r w:rsidR="005531AF" w:rsidRPr="005531AF">
        <w:rPr>
          <w:szCs w:val="28"/>
        </w:rPr>
        <w:t xml:space="preserve"> А.О. </w:t>
      </w:r>
      <w:r w:rsidR="0068604A">
        <w:rPr>
          <w:szCs w:val="28"/>
        </w:rPr>
        <w:t xml:space="preserve">щодо закінчення терміну дії контракту Шевченко </w:t>
      </w:r>
      <w:proofErr w:type="spellStart"/>
      <w:r w:rsidR="0068604A">
        <w:rPr>
          <w:szCs w:val="28"/>
        </w:rPr>
        <w:t>Радія</w:t>
      </w:r>
      <w:proofErr w:type="spellEnd"/>
      <w:r w:rsidR="0068604A">
        <w:rPr>
          <w:szCs w:val="28"/>
        </w:rPr>
        <w:t xml:space="preserve"> Анатолійовича та звернень щодо продовження трудових відносин.</w:t>
      </w:r>
    </w:p>
    <w:p w:rsidR="005950BC" w:rsidRDefault="00916379" w:rsidP="007979AD">
      <w:pPr>
        <w:pStyle w:val="a8"/>
        <w:ind w:firstLine="708"/>
        <w:jc w:val="both"/>
        <w:rPr>
          <w:lang w:val="uk-UA"/>
        </w:rPr>
      </w:pPr>
      <w:r w:rsidRPr="007979AD">
        <w:rPr>
          <w:sz w:val="28"/>
          <w:szCs w:val="28"/>
          <w:lang w:val="uk-UA"/>
        </w:rPr>
        <w:t>З</w:t>
      </w:r>
      <w:r w:rsidR="005950BC" w:rsidRPr="007979AD">
        <w:rPr>
          <w:sz w:val="28"/>
          <w:szCs w:val="28"/>
          <w:lang w:val="uk-UA"/>
        </w:rPr>
        <w:t xml:space="preserve">а результатами розгляду питання постійна комісія </w:t>
      </w:r>
      <w:r w:rsidR="005950BC" w:rsidRPr="007979AD">
        <w:rPr>
          <w:b/>
          <w:sz w:val="28"/>
          <w:szCs w:val="28"/>
          <w:lang w:val="uk-UA"/>
        </w:rPr>
        <w:t>вирішила</w:t>
      </w:r>
      <w:r w:rsidR="005950BC" w:rsidRPr="007979AD">
        <w:rPr>
          <w:sz w:val="28"/>
          <w:szCs w:val="28"/>
          <w:lang w:val="uk-UA"/>
        </w:rPr>
        <w:t>:</w:t>
      </w:r>
      <w:r w:rsidR="005950BC" w:rsidRPr="005950BC">
        <w:rPr>
          <w:lang w:val="uk-UA"/>
        </w:rPr>
        <w:t xml:space="preserve"> </w:t>
      </w:r>
    </w:p>
    <w:p w:rsidR="00E80AEB" w:rsidRDefault="00E80AEB" w:rsidP="00E80AEB">
      <w:pPr>
        <w:numPr>
          <w:ilvl w:val="0"/>
          <w:numId w:val="5"/>
        </w:numPr>
        <w:ind w:left="0" w:firstLine="709"/>
        <w:jc w:val="both"/>
      </w:pPr>
      <w:r>
        <w:t>Інформацію голови постійної комісії Пу</w:t>
      </w:r>
      <w:r w:rsidR="00E736F3">
        <w:t>с</w:t>
      </w:r>
      <w:bookmarkStart w:id="0" w:name="_GoBack"/>
      <w:bookmarkEnd w:id="0"/>
      <w:r>
        <w:t xml:space="preserve">тової А.О. взяти до відома. </w:t>
      </w:r>
    </w:p>
    <w:p w:rsidR="00E80AEB" w:rsidRDefault="00E80AEB" w:rsidP="00E80AEB">
      <w:pPr>
        <w:ind w:left="709"/>
        <w:jc w:val="both"/>
      </w:pPr>
    </w:p>
    <w:p w:rsidR="00E80AEB" w:rsidRDefault="00E80AEB" w:rsidP="00E80AEB">
      <w:pPr>
        <w:numPr>
          <w:ilvl w:val="0"/>
          <w:numId w:val="5"/>
        </w:numPr>
        <w:ind w:left="0" w:firstLine="709"/>
        <w:jc w:val="both"/>
      </w:pPr>
      <w:r>
        <w:t xml:space="preserve">Підтримати пропозицію </w:t>
      </w:r>
      <w:r w:rsidRPr="007E0F0E">
        <w:t xml:space="preserve">голови Дніпропетровської обласної організації профспілок працівників охорони здоров’я </w:t>
      </w:r>
      <w:proofErr w:type="spellStart"/>
      <w:r w:rsidRPr="007E0F0E">
        <w:t>Валевської</w:t>
      </w:r>
      <w:proofErr w:type="spellEnd"/>
      <w:r w:rsidRPr="007E0F0E">
        <w:t xml:space="preserve"> О.С. від 15.08.2025 № 01-04/158,  голови правління ВГО </w:t>
      </w:r>
      <w:proofErr w:type="spellStart"/>
      <w:r w:rsidRPr="007E0F0E">
        <w:t>„Всеукраїнська</w:t>
      </w:r>
      <w:proofErr w:type="spellEnd"/>
      <w:r w:rsidRPr="007E0F0E">
        <w:t xml:space="preserve"> рада реанімації та екстреної медичної </w:t>
      </w:r>
      <w:proofErr w:type="spellStart"/>
      <w:r w:rsidRPr="007E0F0E">
        <w:t>допомогиˮ</w:t>
      </w:r>
      <w:proofErr w:type="spellEnd"/>
      <w:r w:rsidRPr="007E0F0E">
        <w:t xml:space="preserve"> </w:t>
      </w:r>
      <w:proofErr w:type="spellStart"/>
      <w:r w:rsidRPr="007E0F0E">
        <w:t>Збишко</w:t>
      </w:r>
      <w:proofErr w:type="spellEnd"/>
      <w:r w:rsidRPr="007E0F0E">
        <w:t xml:space="preserve"> І. Я. від 15.08.2025 </w:t>
      </w:r>
      <w:r>
        <w:t xml:space="preserve">          </w:t>
      </w:r>
      <w:r w:rsidRPr="007E0F0E">
        <w:t xml:space="preserve">№ 177/1, </w:t>
      </w:r>
      <w:r w:rsidRPr="005803FD">
        <w:t xml:space="preserve">щодо продовження трудових відносин з керівником </w:t>
      </w:r>
      <w:r w:rsidRPr="00F672BE">
        <w:t xml:space="preserve">комунального підприємства </w:t>
      </w:r>
      <w:proofErr w:type="spellStart"/>
      <w:r w:rsidRPr="00F672BE">
        <w:t>„Обласний</w:t>
      </w:r>
      <w:proofErr w:type="spellEnd"/>
      <w:r w:rsidRPr="00F672BE">
        <w:t xml:space="preserve"> центр екстреної медичної допомоги та медицини </w:t>
      </w:r>
      <w:proofErr w:type="spellStart"/>
      <w:r w:rsidRPr="00F672BE">
        <w:t>катастрофˮ</w:t>
      </w:r>
      <w:proofErr w:type="spellEnd"/>
      <w:r w:rsidRPr="00F672BE">
        <w:t xml:space="preserve"> ДОРˮ Шевченко Радієм Анатолійовичем</w:t>
      </w:r>
      <w:r>
        <w:t xml:space="preserve">. </w:t>
      </w:r>
    </w:p>
    <w:p w:rsidR="00E80AEB" w:rsidRDefault="00E80AEB" w:rsidP="00E80AEB">
      <w:pPr>
        <w:ind w:left="709"/>
        <w:jc w:val="both"/>
      </w:pPr>
    </w:p>
    <w:p w:rsidR="00E80AEB" w:rsidRDefault="00E80AEB" w:rsidP="00E80AEB">
      <w:pPr>
        <w:numPr>
          <w:ilvl w:val="0"/>
          <w:numId w:val="5"/>
        </w:numPr>
        <w:ind w:left="0" w:firstLine="709"/>
        <w:jc w:val="both"/>
      </w:pPr>
      <w:r w:rsidRPr="005803FD"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</w:t>
      </w:r>
      <w:r>
        <w:t xml:space="preserve">у генерального директора </w:t>
      </w:r>
      <w:r w:rsidRPr="005803FD">
        <w:t xml:space="preserve"> </w:t>
      </w:r>
      <w:r w:rsidRPr="00F672BE">
        <w:t xml:space="preserve">комунального підприємства </w:t>
      </w:r>
      <w:proofErr w:type="spellStart"/>
      <w:r w:rsidRPr="00F672BE">
        <w:t>„Обласнеий</w:t>
      </w:r>
      <w:proofErr w:type="spellEnd"/>
      <w:r w:rsidRPr="00F672BE">
        <w:t xml:space="preserve"> центр екстреної медичної допомоги та медицини </w:t>
      </w:r>
      <w:proofErr w:type="spellStart"/>
      <w:r w:rsidRPr="00F672BE">
        <w:t>катастрофˮ</w:t>
      </w:r>
      <w:proofErr w:type="spellEnd"/>
      <w:r w:rsidRPr="00F672BE">
        <w:t xml:space="preserve"> ДОРˮ Шевченк</w:t>
      </w:r>
      <w:r>
        <w:t>а</w:t>
      </w:r>
      <w:r w:rsidRPr="00F672BE">
        <w:t xml:space="preserve"> </w:t>
      </w:r>
      <w:proofErr w:type="spellStart"/>
      <w:r w:rsidRPr="00F672BE">
        <w:t>Раді</w:t>
      </w:r>
      <w:r>
        <w:t>я</w:t>
      </w:r>
      <w:proofErr w:type="spellEnd"/>
      <w:r w:rsidRPr="00F672BE">
        <w:t xml:space="preserve"> Анатолійович</w:t>
      </w:r>
      <w:r>
        <w:t>а</w:t>
      </w:r>
      <w:r w:rsidRPr="005803FD">
        <w:t xml:space="preserve"> з укладенням </w:t>
      </w:r>
      <w:r>
        <w:t>контракту</w:t>
      </w:r>
      <w:r w:rsidRPr="005803FD">
        <w:t xml:space="preserve"> </w:t>
      </w:r>
      <w:r>
        <w:t xml:space="preserve"> на термін – </w:t>
      </w:r>
      <w:r w:rsidRPr="005803FD">
        <w:t>до припинення чи скасування воєнного стану</w:t>
      </w:r>
      <w:r>
        <w:t xml:space="preserve"> в Україні</w:t>
      </w:r>
      <w:r w:rsidRPr="005803FD">
        <w:t>.</w:t>
      </w:r>
    </w:p>
    <w:p w:rsidR="005531AF" w:rsidRPr="00B954B2" w:rsidRDefault="005531AF" w:rsidP="005531AF">
      <w:pPr>
        <w:jc w:val="both"/>
        <w:rPr>
          <w:rFonts w:eastAsia="Batang"/>
          <w:szCs w:val="28"/>
          <w:lang w:eastAsia="zh-CN"/>
        </w:rPr>
      </w:pPr>
    </w:p>
    <w:p w:rsidR="005531AF" w:rsidRDefault="005531AF" w:rsidP="005531AF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5531AF" w:rsidRDefault="005531AF" w:rsidP="005531AF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8604A" w:rsidTr="00FC3C80">
        <w:trPr>
          <w:trHeight w:val="144"/>
        </w:trPr>
        <w:tc>
          <w:tcPr>
            <w:tcW w:w="4503" w:type="dxa"/>
            <w:shd w:val="clear" w:color="auto" w:fill="auto"/>
          </w:tcPr>
          <w:p w:rsidR="0068604A" w:rsidRDefault="0068604A" w:rsidP="00FC3C80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68604A" w:rsidRDefault="0068604A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8604A" w:rsidTr="00FC3C80">
        <w:tc>
          <w:tcPr>
            <w:tcW w:w="4503" w:type="dxa"/>
            <w:shd w:val="clear" w:color="auto" w:fill="auto"/>
          </w:tcPr>
          <w:p w:rsidR="0068604A" w:rsidRPr="00C1212F" w:rsidRDefault="0068604A" w:rsidP="00FC3C80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68604A" w:rsidRDefault="0068604A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8604A" w:rsidTr="00FC3C80">
        <w:tc>
          <w:tcPr>
            <w:tcW w:w="4503" w:type="dxa"/>
            <w:shd w:val="clear" w:color="auto" w:fill="auto"/>
          </w:tcPr>
          <w:p w:rsidR="0068604A" w:rsidRDefault="0068604A" w:rsidP="00FC3C80">
            <w:pPr>
              <w:spacing w:line="209" w:lineRule="auto"/>
            </w:pPr>
            <w:proofErr w:type="spellStart"/>
            <w:r w:rsidRPr="00A914F9">
              <w:lastRenderedPageBreak/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68604A" w:rsidRDefault="0068604A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8604A" w:rsidTr="00FC3C80">
        <w:tc>
          <w:tcPr>
            <w:tcW w:w="4503" w:type="dxa"/>
            <w:shd w:val="clear" w:color="auto" w:fill="auto"/>
          </w:tcPr>
          <w:p w:rsidR="0068604A" w:rsidRDefault="0068604A" w:rsidP="00FC3C80">
            <w:pPr>
              <w:spacing w:line="209" w:lineRule="auto"/>
            </w:pPr>
            <w:proofErr w:type="spellStart"/>
            <w:r>
              <w:t>Шипко</w:t>
            </w:r>
            <w:proofErr w:type="spellEnd"/>
            <w:r>
              <w:t xml:space="preserve"> А.Ф.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>
              <w:t xml:space="preserve"> </w:t>
            </w:r>
            <w:r w:rsidRPr="0035410B">
              <w:t xml:space="preserve">  </w:t>
            </w:r>
          </w:p>
        </w:tc>
        <w:tc>
          <w:tcPr>
            <w:tcW w:w="1670" w:type="dxa"/>
            <w:shd w:val="clear" w:color="auto" w:fill="auto"/>
          </w:tcPr>
          <w:p w:rsidR="0068604A" w:rsidRDefault="0068604A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8604A" w:rsidTr="00FC3C80">
        <w:tc>
          <w:tcPr>
            <w:tcW w:w="4503" w:type="dxa"/>
            <w:shd w:val="clear" w:color="auto" w:fill="auto"/>
          </w:tcPr>
          <w:p w:rsidR="0068604A" w:rsidRDefault="0068604A" w:rsidP="00FC3C80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68604A" w:rsidRDefault="0068604A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8604A" w:rsidTr="00FC3C80">
        <w:trPr>
          <w:trHeight w:val="607"/>
        </w:trPr>
        <w:tc>
          <w:tcPr>
            <w:tcW w:w="4503" w:type="dxa"/>
            <w:shd w:val="clear" w:color="auto" w:fill="auto"/>
          </w:tcPr>
          <w:p w:rsidR="0068604A" w:rsidRPr="00CE597B" w:rsidRDefault="0068604A" w:rsidP="00FC3C80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68604A" w:rsidRDefault="0068604A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8604A" w:rsidTr="00FC3C80">
        <w:tc>
          <w:tcPr>
            <w:tcW w:w="4503" w:type="dxa"/>
            <w:shd w:val="clear" w:color="auto" w:fill="auto"/>
          </w:tcPr>
          <w:p w:rsidR="0068604A" w:rsidRPr="00C1212F" w:rsidRDefault="0068604A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8604A" w:rsidRPr="00C1212F" w:rsidRDefault="0068604A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8604A" w:rsidTr="00FC3C80">
        <w:tc>
          <w:tcPr>
            <w:tcW w:w="4503" w:type="dxa"/>
            <w:shd w:val="clear" w:color="auto" w:fill="auto"/>
          </w:tcPr>
          <w:p w:rsidR="0068604A" w:rsidRPr="00C1212F" w:rsidRDefault="0068604A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8604A" w:rsidRPr="00C1212F" w:rsidRDefault="0068604A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8604A" w:rsidTr="00FC3C80">
        <w:tc>
          <w:tcPr>
            <w:tcW w:w="4503" w:type="dxa"/>
            <w:shd w:val="clear" w:color="auto" w:fill="auto"/>
          </w:tcPr>
          <w:p w:rsidR="0068604A" w:rsidRPr="00C1212F" w:rsidRDefault="0068604A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8604A" w:rsidRPr="00C1212F" w:rsidRDefault="0068604A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68604A" w:rsidTr="00FC3C80">
        <w:tc>
          <w:tcPr>
            <w:tcW w:w="4503" w:type="dxa"/>
            <w:shd w:val="clear" w:color="auto" w:fill="auto"/>
          </w:tcPr>
          <w:p w:rsidR="0068604A" w:rsidRPr="00C1212F" w:rsidRDefault="0068604A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8604A" w:rsidRPr="00C1212F" w:rsidRDefault="0068604A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596D21" w:rsidRDefault="00596D21" w:rsidP="00596D21">
      <w:pPr>
        <w:ind w:left="2977" w:firstLine="575"/>
        <w:jc w:val="both"/>
      </w:pPr>
    </w:p>
    <w:p w:rsidR="0068604A" w:rsidRDefault="0068604A" w:rsidP="00596D21">
      <w:pPr>
        <w:ind w:left="2977" w:firstLine="575"/>
        <w:jc w:val="both"/>
      </w:pPr>
    </w:p>
    <w:p w:rsidR="0068604A" w:rsidRDefault="0068604A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47932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143C28"/>
    <w:rsid w:val="002C1BDB"/>
    <w:rsid w:val="002F0121"/>
    <w:rsid w:val="003035AC"/>
    <w:rsid w:val="00311B4E"/>
    <w:rsid w:val="00337D8D"/>
    <w:rsid w:val="003B2E33"/>
    <w:rsid w:val="003B6147"/>
    <w:rsid w:val="00462FF9"/>
    <w:rsid w:val="00471F3D"/>
    <w:rsid w:val="004C1989"/>
    <w:rsid w:val="004D711C"/>
    <w:rsid w:val="005531AF"/>
    <w:rsid w:val="00591EFE"/>
    <w:rsid w:val="005950BC"/>
    <w:rsid w:val="00596D21"/>
    <w:rsid w:val="00611192"/>
    <w:rsid w:val="0068604A"/>
    <w:rsid w:val="006905CB"/>
    <w:rsid w:val="007979AD"/>
    <w:rsid w:val="007B24E9"/>
    <w:rsid w:val="007E417E"/>
    <w:rsid w:val="0086559A"/>
    <w:rsid w:val="00916379"/>
    <w:rsid w:val="00924DF8"/>
    <w:rsid w:val="0097578C"/>
    <w:rsid w:val="00A26FDC"/>
    <w:rsid w:val="00AD46E1"/>
    <w:rsid w:val="00B46403"/>
    <w:rsid w:val="00B64AEC"/>
    <w:rsid w:val="00B864DA"/>
    <w:rsid w:val="00BE4070"/>
    <w:rsid w:val="00C97350"/>
    <w:rsid w:val="00CB018F"/>
    <w:rsid w:val="00CB7903"/>
    <w:rsid w:val="00D050A7"/>
    <w:rsid w:val="00E736F3"/>
    <w:rsid w:val="00E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6E84-7DDD-4FCF-8542-04AE8BA6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2024-06-05T12:47:00Z</cp:lastPrinted>
  <dcterms:created xsi:type="dcterms:W3CDTF">2025-08-18T10:40:00Z</dcterms:created>
  <dcterms:modified xsi:type="dcterms:W3CDTF">2025-08-20T07:48:00Z</dcterms:modified>
</cp:coreProperties>
</file>