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99" w:rsidRPr="00B53B91" w:rsidRDefault="00CF7899" w:rsidP="008748FD">
      <w:pPr>
        <w:pStyle w:val="a4"/>
        <w:tabs>
          <w:tab w:val="left" w:pos="6096"/>
          <w:tab w:val="left" w:pos="6379"/>
        </w:tabs>
        <w:ind w:left="5387"/>
        <w:rPr>
          <w:rFonts w:ascii="Times New Roman" w:hAnsi="Times New Roman" w:cs="Times New Roman"/>
          <w:sz w:val="28"/>
          <w:szCs w:val="28"/>
          <w:lang w:val="en-US"/>
        </w:rPr>
      </w:pPr>
      <w:r w:rsidRPr="00BE2C94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CF7899" w:rsidRDefault="00CF7899" w:rsidP="008748FD">
      <w:pPr>
        <w:pStyle w:val="a4"/>
        <w:tabs>
          <w:tab w:val="left" w:pos="6096"/>
          <w:tab w:val="left" w:pos="6379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обласної ради</w:t>
      </w:r>
    </w:p>
    <w:p w:rsidR="005B4996" w:rsidRPr="005B4996" w:rsidRDefault="005B4996" w:rsidP="008748FD">
      <w:pPr>
        <w:pStyle w:val="a4"/>
        <w:tabs>
          <w:tab w:val="left" w:pos="6096"/>
          <w:tab w:val="left" w:pos="6379"/>
        </w:tabs>
        <w:ind w:left="538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від 28.08.2025 № 520-26/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Start w:id="0" w:name="_GoBack"/>
      <w:bookmarkEnd w:id="0"/>
    </w:p>
    <w:p w:rsidR="00CF7899" w:rsidRPr="00726956" w:rsidRDefault="00CF7899" w:rsidP="00726956">
      <w:pPr>
        <w:pStyle w:val="a4"/>
        <w:tabs>
          <w:tab w:val="left" w:pos="6096"/>
          <w:tab w:val="left" w:pos="6379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72695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26956">
        <w:rPr>
          <w:rFonts w:ascii="Times New Roman" w:hAnsi="Times New Roman" w:cs="Times New Roman"/>
          <w:sz w:val="28"/>
          <w:szCs w:val="28"/>
        </w:rPr>
        <w:t>Додаток до рішення обласної ради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від 13 грудня 2024 року № 460-23/VIII</w:t>
      </w:r>
      <w:r w:rsidRPr="00726956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CF7899" w:rsidRPr="00726956" w:rsidRDefault="00CF7899" w:rsidP="00726956">
      <w:pPr>
        <w:pStyle w:val="a4"/>
        <w:tabs>
          <w:tab w:val="left" w:pos="6096"/>
          <w:tab w:val="left" w:pos="6379"/>
        </w:tabs>
        <w:ind w:left="5387"/>
        <w:rPr>
          <w:rFonts w:ascii="Times New Roman" w:hAnsi="Times New Roman" w:cs="Times New Roman"/>
          <w:sz w:val="28"/>
          <w:szCs w:val="28"/>
          <w:lang w:val="en-US"/>
        </w:rPr>
      </w:pPr>
    </w:p>
    <w:p w:rsidR="00CF7899" w:rsidRPr="00FF5E01" w:rsidRDefault="00CF7899" w:rsidP="00BE2C9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F7899" w:rsidRDefault="00CF7899" w:rsidP="004B4563">
      <w:pPr>
        <w:spacing w:line="22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C94">
        <w:rPr>
          <w:rFonts w:ascii="Times New Roman" w:hAnsi="Times New Roman" w:cs="Times New Roman"/>
          <w:b/>
          <w:bCs/>
          <w:sz w:val="28"/>
          <w:szCs w:val="28"/>
        </w:rPr>
        <w:t>Розділ І</w:t>
      </w:r>
    </w:p>
    <w:p w:rsidR="00CF7899" w:rsidRPr="00BE2C94" w:rsidRDefault="00CF7899" w:rsidP="004B4563">
      <w:pPr>
        <w:spacing w:line="22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899" w:rsidRPr="00BE2C94" w:rsidRDefault="00CF7899" w:rsidP="004B4563">
      <w:pPr>
        <w:spacing w:line="22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C94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CF7899" w:rsidRPr="00BE2C94" w:rsidRDefault="00CF7899" w:rsidP="004B4563">
      <w:pPr>
        <w:spacing w:line="22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C94">
        <w:rPr>
          <w:rFonts w:ascii="Times New Roman" w:hAnsi="Times New Roman" w:cs="Times New Roman"/>
          <w:b/>
          <w:bCs/>
          <w:sz w:val="28"/>
          <w:szCs w:val="28"/>
        </w:rPr>
        <w:t>Комплексної програми підтримки агропромислового комплексу Дніпропетровської області у 2025 – 2029 роках</w:t>
      </w:r>
    </w:p>
    <w:p w:rsidR="00CF7899" w:rsidRPr="00BE2C94" w:rsidRDefault="00CF7899" w:rsidP="004B4563">
      <w:pPr>
        <w:spacing w:line="226" w:lineRule="auto"/>
        <w:ind w:left="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C94">
        <w:rPr>
          <w:rFonts w:ascii="Times New Roman" w:hAnsi="Times New Roman" w:cs="Times New Roman"/>
          <w:sz w:val="28"/>
          <w:szCs w:val="28"/>
        </w:rPr>
        <w:t>1. Назва: Комплексна програма підтримки агропромислового комплексу Дніпропетровської області у 2025 – 2029 роках (далі – Програма).</w:t>
      </w:r>
    </w:p>
    <w:p w:rsidR="00CF7899" w:rsidRPr="00BE2C94" w:rsidRDefault="00CF7899" w:rsidP="004B4563">
      <w:pPr>
        <w:spacing w:line="22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Pr="00726956" w:rsidRDefault="00CF7899" w:rsidP="00726956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C94">
        <w:rPr>
          <w:rFonts w:ascii="Times New Roman" w:hAnsi="Times New Roman" w:cs="Times New Roman"/>
          <w:sz w:val="28"/>
          <w:szCs w:val="28"/>
        </w:rPr>
        <w:t xml:space="preserve">2. Підстава для розроблення: закони України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E2C94">
        <w:rPr>
          <w:rFonts w:ascii="Times New Roman" w:hAnsi="Times New Roman" w:cs="Times New Roman"/>
          <w:sz w:val="28"/>
          <w:szCs w:val="28"/>
        </w:rPr>
        <w:t xml:space="preserve">Про місцеві державні адміністрації”,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E2C94">
        <w:rPr>
          <w:rFonts w:ascii="Times New Roman" w:hAnsi="Times New Roman" w:cs="Times New Roman"/>
          <w:sz w:val="28"/>
          <w:szCs w:val="28"/>
        </w:rPr>
        <w:t xml:space="preserve">Про меліорацію земельˮ,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E2C94">
        <w:rPr>
          <w:rFonts w:ascii="Times New Roman" w:hAnsi="Times New Roman" w:cs="Times New Roman"/>
          <w:sz w:val="28"/>
          <w:szCs w:val="28"/>
        </w:rPr>
        <w:t>Про тваринний світˮ</w:t>
      </w:r>
      <w:r>
        <w:rPr>
          <w:rFonts w:ascii="Times New Roman" w:hAnsi="Times New Roman" w:cs="Times New Roman"/>
          <w:sz w:val="28"/>
          <w:szCs w:val="28"/>
        </w:rPr>
        <w:t>, „</w:t>
      </w:r>
      <w:r w:rsidRPr="00BE2C94">
        <w:rPr>
          <w:rFonts w:ascii="Times New Roman" w:hAnsi="Times New Roman" w:cs="Times New Roman"/>
          <w:sz w:val="28"/>
          <w:szCs w:val="28"/>
        </w:rPr>
        <w:t xml:space="preserve">Про основні принципи та вимоги до органічного виробництва, обігу та маркування органічної продукціїˮ та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E2C94">
        <w:rPr>
          <w:rFonts w:ascii="Times New Roman" w:hAnsi="Times New Roman" w:cs="Times New Roman"/>
          <w:sz w:val="28"/>
          <w:szCs w:val="28"/>
        </w:rPr>
        <w:t xml:space="preserve">Про державну підтримку сільського господарства України”, Указ Президента України від 09 жовтня 2023 року № 681/2023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E2C94">
        <w:rPr>
          <w:rFonts w:ascii="Times New Roman" w:hAnsi="Times New Roman" w:cs="Times New Roman"/>
          <w:sz w:val="28"/>
          <w:szCs w:val="28"/>
        </w:rPr>
        <w:t xml:space="preserve">Про рішення Ради національної безпеки і оборони України від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E2C94">
        <w:rPr>
          <w:rFonts w:ascii="Times New Roman" w:hAnsi="Times New Roman" w:cs="Times New Roman"/>
          <w:sz w:val="28"/>
          <w:szCs w:val="28"/>
        </w:rPr>
        <w:t xml:space="preserve">9 жовтня 2023 року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E2C94">
        <w:rPr>
          <w:rFonts w:ascii="Times New Roman" w:hAnsi="Times New Roman" w:cs="Times New Roman"/>
          <w:sz w:val="28"/>
          <w:szCs w:val="28"/>
        </w:rPr>
        <w:t xml:space="preserve">Про стан забезпечення продовольчої безпекиˮ, постанови Кабінету Міністрів України </w:t>
      </w:r>
      <w:r>
        <w:rPr>
          <w:rFonts w:ascii="Times New Roman" w:hAnsi="Times New Roman" w:cs="Times New Roman"/>
          <w:sz w:val="28"/>
          <w:szCs w:val="28"/>
        </w:rPr>
        <w:t>від 22 серпня 2007 року № 1065 „</w:t>
      </w:r>
      <w:r w:rsidRPr="00BE2C94">
        <w:rPr>
          <w:rFonts w:ascii="Times New Roman" w:hAnsi="Times New Roman" w:cs="Times New Roman"/>
          <w:sz w:val="28"/>
          <w:szCs w:val="28"/>
        </w:rPr>
        <w:t xml:space="preserve">Про вдосконалення виставково-ярмаркової діяльності в Україніˮ (із змінами) та від 05 серпня 2020 року № 695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E2C94">
        <w:rPr>
          <w:rFonts w:ascii="Times New Roman" w:hAnsi="Times New Roman" w:cs="Times New Roman"/>
          <w:sz w:val="28"/>
          <w:szCs w:val="28"/>
        </w:rPr>
        <w:t>Про з</w:t>
      </w:r>
      <w:r>
        <w:rPr>
          <w:rFonts w:ascii="Times New Roman" w:hAnsi="Times New Roman" w:cs="Times New Roman"/>
          <w:sz w:val="28"/>
          <w:szCs w:val="28"/>
        </w:rPr>
        <w:t xml:space="preserve">атвердження Державної стратегії регіонального розвитку на </w:t>
      </w:r>
      <w:r w:rsidRPr="00BE2C9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t xml:space="preserve">2027 рокиˮ (із змінами),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>рішення обласної ради від 07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серпня 2020 року № 624-24/VII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>Про Стратегію регіонального розвитку Дніпропетровської області на період до 2027 року” (із змінами).</w:t>
      </w:r>
    </w:p>
    <w:p w:rsidR="00CF7899" w:rsidRPr="00726956" w:rsidRDefault="00CF7899" w:rsidP="00726956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C94">
        <w:rPr>
          <w:rFonts w:ascii="Times New Roman" w:hAnsi="Times New Roman" w:cs="Times New Roman"/>
          <w:sz w:val="28"/>
          <w:szCs w:val="28"/>
        </w:rPr>
        <w:t>3. Регіональний замовник Програми – головний розпорядник бюджетних коштів: департамент економічного розвитку обласної державної адміністрації.</w:t>
      </w:r>
    </w:p>
    <w:p w:rsidR="00CF7899" w:rsidRPr="00726956" w:rsidRDefault="00CF7899" w:rsidP="00726956">
      <w:pPr>
        <w:tabs>
          <w:tab w:val="left" w:pos="720"/>
        </w:tabs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6956">
        <w:rPr>
          <w:rFonts w:ascii="Times New Roman" w:hAnsi="Times New Roman" w:cs="Times New Roman"/>
          <w:sz w:val="28"/>
          <w:szCs w:val="28"/>
        </w:rPr>
        <w:t>4. Співзамовники Програми – головні розпорядники бюджетних коштів: відсутні.</w:t>
      </w:r>
    </w:p>
    <w:p w:rsidR="00CF7899" w:rsidRPr="00726956" w:rsidRDefault="00CF7899" w:rsidP="00726956">
      <w:pPr>
        <w:pStyle w:val="af0"/>
        <w:spacing w:after="0" w:line="235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6956">
        <w:rPr>
          <w:rFonts w:ascii="Times New Roman" w:hAnsi="Times New Roman" w:cs="Times New Roman"/>
          <w:sz w:val="28"/>
          <w:szCs w:val="28"/>
        </w:rPr>
        <w:t>5. Відповідальні за виконання: структурні підрозділи обласної державної адміністрації; райдержадміністрації; сільські, селищні, міські ради (за згодою), управління Державного агентства з розвитку меліорації, рибного господарства та продовольчих програм у Дніпропетровській області (за згодою), банківські установи (за згодою).</w:t>
      </w: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C94">
        <w:rPr>
          <w:rFonts w:ascii="Times New Roman" w:hAnsi="Times New Roman" w:cs="Times New Roman"/>
          <w:sz w:val="28"/>
          <w:szCs w:val="28"/>
        </w:rPr>
        <w:t>6. Мета: стимулювання розвитку агропромислового комплексу, його конкурентоспроможності на внутрішньому і зовнішньому ринках та гарантування продовольчої безпеки населення.</w:t>
      </w:r>
    </w:p>
    <w:p w:rsidR="00CF7899" w:rsidRDefault="00CF7899" w:rsidP="00BE2C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C94">
        <w:rPr>
          <w:rFonts w:ascii="Times New Roman" w:hAnsi="Times New Roman" w:cs="Times New Roman"/>
          <w:sz w:val="28"/>
          <w:szCs w:val="28"/>
        </w:rPr>
        <w:t>7. Початок: 2025 рік, закінчення: 2029 рік.</w:t>
      </w:r>
    </w:p>
    <w:p w:rsidR="00CF7899" w:rsidRPr="00BE2C94" w:rsidRDefault="00CF7899" w:rsidP="00BE2C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C94">
        <w:rPr>
          <w:rFonts w:ascii="Times New Roman" w:hAnsi="Times New Roman" w:cs="Times New Roman"/>
          <w:sz w:val="28"/>
          <w:szCs w:val="28"/>
        </w:rPr>
        <w:t>8. Етапи виконання: Програма розрахована на п’ять років, виконується в один етап.</w:t>
      </w: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C94">
        <w:rPr>
          <w:rFonts w:ascii="Times New Roman" w:hAnsi="Times New Roman" w:cs="Times New Roman"/>
          <w:sz w:val="28"/>
          <w:szCs w:val="28"/>
        </w:rPr>
        <w:t>9. Програма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 спрямована на досягнення Стратегічної цілі 1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Підвищення рівня конкурентоспроможності Дніпропетровської області” та </w:t>
      </w:r>
      <w:r w:rsidRPr="00BE2C94">
        <w:rPr>
          <w:rFonts w:ascii="Times New Roman" w:hAnsi="Times New Roman" w:cs="Times New Roman"/>
          <w:sz w:val="28"/>
          <w:szCs w:val="28"/>
        </w:rPr>
        <w:t xml:space="preserve">Оперативної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t xml:space="preserve">цілі 1.4.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E2C94">
        <w:rPr>
          <w:rFonts w:ascii="Times New Roman" w:hAnsi="Times New Roman" w:cs="Times New Roman"/>
          <w:sz w:val="28"/>
          <w:szCs w:val="28"/>
        </w:rPr>
        <w:t xml:space="preserve">Розвиток агропромислового комплексу” Стратегії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>регіонального розвитку Дніпропетровської області на період до 2027 року</w:t>
      </w:r>
      <w:r w:rsidRPr="00BE2C94">
        <w:rPr>
          <w:rFonts w:ascii="Times New Roman" w:hAnsi="Times New Roman" w:cs="Times New Roman"/>
          <w:sz w:val="28"/>
          <w:szCs w:val="28"/>
        </w:rPr>
        <w:t>.</w:t>
      </w:r>
    </w:p>
    <w:p w:rsidR="00CF7899" w:rsidRPr="00BE2C94" w:rsidRDefault="00CF7899" w:rsidP="00BE2C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Pr="00BE2C94" w:rsidRDefault="00CF7899" w:rsidP="00BE2C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C94">
        <w:rPr>
          <w:rFonts w:ascii="Times New Roman" w:hAnsi="Times New Roman" w:cs="Times New Roman"/>
          <w:sz w:val="28"/>
          <w:szCs w:val="28"/>
        </w:rPr>
        <w:t>10. Загальні обсяги фінансування:</w:t>
      </w:r>
    </w:p>
    <w:p w:rsidR="00CF7899" w:rsidRPr="00D2032A" w:rsidRDefault="00CF7899" w:rsidP="00BE2C94">
      <w:pPr>
        <w:ind w:right="73"/>
        <w:jc w:val="right"/>
        <w:rPr>
          <w:rFonts w:ascii="Times New Roman" w:hAnsi="Times New Roman" w:cs="Times New Roman"/>
          <w:sz w:val="24"/>
          <w:szCs w:val="24"/>
        </w:rPr>
      </w:pPr>
      <w:r w:rsidRPr="00D2032A">
        <w:rPr>
          <w:rFonts w:ascii="Times New Roman" w:hAnsi="Times New Roman" w:cs="Times New Roman"/>
          <w:sz w:val="24"/>
          <w:szCs w:val="24"/>
        </w:rPr>
        <w:t>тис. грн</w:t>
      </w:r>
    </w:p>
    <w:tbl>
      <w:tblPr>
        <w:tblW w:w="98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814"/>
        <w:gridCol w:w="1134"/>
        <w:gridCol w:w="1022"/>
        <w:gridCol w:w="1192"/>
        <w:gridCol w:w="1191"/>
        <w:gridCol w:w="1272"/>
      </w:tblGrid>
      <w:tr w:rsidR="00CF7899" w:rsidRPr="00D2032A">
        <w:tc>
          <w:tcPr>
            <w:tcW w:w="2240" w:type="dxa"/>
            <w:vMerge w:val="restart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Джерела фінансування</w:t>
            </w:r>
          </w:p>
        </w:tc>
        <w:tc>
          <w:tcPr>
            <w:tcW w:w="1814" w:type="dxa"/>
            <w:vMerge w:val="restart"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Обсяг</w:t>
            </w:r>
          </w:p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фінансування, усього</w:t>
            </w:r>
          </w:p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роками виконання</w:t>
            </w:r>
          </w:p>
        </w:tc>
      </w:tr>
      <w:tr w:rsidR="00CF7899" w:rsidRPr="00D2032A">
        <w:tc>
          <w:tcPr>
            <w:tcW w:w="2240" w:type="dxa"/>
            <w:vMerge/>
          </w:tcPr>
          <w:p w:rsidR="00CF7899" w:rsidRPr="00D2032A" w:rsidRDefault="00CF7899" w:rsidP="00BE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 </w:t>
            </w:r>
          </w:p>
        </w:tc>
        <w:tc>
          <w:tcPr>
            <w:tcW w:w="1022" w:type="dxa"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2026 </w:t>
            </w:r>
          </w:p>
        </w:tc>
        <w:tc>
          <w:tcPr>
            <w:tcW w:w="1192" w:type="dxa"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2027 </w:t>
            </w:r>
          </w:p>
        </w:tc>
        <w:tc>
          <w:tcPr>
            <w:tcW w:w="1191" w:type="dxa"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2028 </w:t>
            </w:r>
          </w:p>
        </w:tc>
        <w:tc>
          <w:tcPr>
            <w:tcW w:w="1272" w:type="dxa"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2029 </w:t>
            </w:r>
          </w:p>
        </w:tc>
      </w:tr>
      <w:tr w:rsidR="00CF7899" w:rsidRPr="00D2032A">
        <w:tc>
          <w:tcPr>
            <w:tcW w:w="2240" w:type="dxa"/>
            <w:vAlign w:val="center"/>
          </w:tcPr>
          <w:p w:rsidR="00CF7899" w:rsidRDefault="00CF7899" w:rsidP="00BE2C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Державний бюджет</w:t>
            </w:r>
          </w:p>
          <w:p w:rsidR="00CF7899" w:rsidRPr="00D2032A" w:rsidRDefault="00CF7899" w:rsidP="00BE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113 650,0</w:t>
            </w:r>
          </w:p>
        </w:tc>
        <w:tc>
          <w:tcPr>
            <w:tcW w:w="1134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20 000,0</w:t>
            </w:r>
          </w:p>
        </w:tc>
        <w:tc>
          <w:tcPr>
            <w:tcW w:w="1022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21 500,0</w:t>
            </w:r>
          </w:p>
        </w:tc>
        <w:tc>
          <w:tcPr>
            <w:tcW w:w="1192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22 900,0</w:t>
            </w:r>
          </w:p>
        </w:tc>
        <w:tc>
          <w:tcPr>
            <w:tcW w:w="1191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24 000,0</w:t>
            </w:r>
          </w:p>
        </w:tc>
        <w:tc>
          <w:tcPr>
            <w:tcW w:w="1272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25 250,0</w:t>
            </w:r>
          </w:p>
        </w:tc>
      </w:tr>
      <w:tr w:rsidR="00CF7899" w:rsidRPr="00D2032A">
        <w:tc>
          <w:tcPr>
            <w:tcW w:w="2240" w:type="dxa"/>
            <w:vAlign w:val="center"/>
          </w:tcPr>
          <w:p w:rsidR="00CF7899" w:rsidRDefault="00CF7899" w:rsidP="00BE2C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Обласний бюджет</w:t>
            </w:r>
          </w:p>
          <w:p w:rsidR="00CF7899" w:rsidRPr="00D2032A" w:rsidRDefault="00CF7899" w:rsidP="00BE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365 200,0</w:t>
            </w:r>
          </w:p>
        </w:tc>
        <w:tc>
          <w:tcPr>
            <w:tcW w:w="1134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63 800,0</w:t>
            </w:r>
          </w:p>
        </w:tc>
        <w:tc>
          <w:tcPr>
            <w:tcW w:w="1022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68 900,0</w:t>
            </w:r>
          </w:p>
        </w:tc>
        <w:tc>
          <w:tcPr>
            <w:tcW w:w="1192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73 750,0</w:t>
            </w:r>
          </w:p>
        </w:tc>
        <w:tc>
          <w:tcPr>
            <w:tcW w:w="1191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77 450,0</w:t>
            </w:r>
          </w:p>
        </w:tc>
        <w:tc>
          <w:tcPr>
            <w:tcW w:w="1272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81 300,0</w:t>
            </w:r>
          </w:p>
        </w:tc>
      </w:tr>
      <w:tr w:rsidR="00CF7899" w:rsidRPr="00D2032A">
        <w:tc>
          <w:tcPr>
            <w:tcW w:w="2240" w:type="dxa"/>
            <w:vAlign w:val="center"/>
          </w:tcPr>
          <w:p w:rsidR="00CF7899" w:rsidRDefault="00CF7899" w:rsidP="00BE2C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Місцеві бюджети</w:t>
            </w:r>
          </w:p>
          <w:p w:rsidR="00CF7899" w:rsidRPr="00D2032A" w:rsidRDefault="00CF7899" w:rsidP="00BE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5" w:type="dxa"/>
            <w:gridSpan w:val="6"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У межах бюджетних призначень на відповідний рік</w:t>
            </w:r>
          </w:p>
        </w:tc>
      </w:tr>
      <w:tr w:rsidR="00CF7899" w:rsidRPr="00D2032A">
        <w:tc>
          <w:tcPr>
            <w:tcW w:w="2240" w:type="dxa"/>
            <w:vAlign w:val="center"/>
          </w:tcPr>
          <w:p w:rsidR="00CF7899" w:rsidRDefault="00CF7899" w:rsidP="00BE2C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Інші джерела</w:t>
            </w:r>
          </w:p>
          <w:p w:rsidR="00CF7899" w:rsidRPr="00D2032A" w:rsidRDefault="00CF7899" w:rsidP="00BE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403 570,0</w:t>
            </w:r>
          </w:p>
        </w:tc>
        <w:tc>
          <w:tcPr>
            <w:tcW w:w="1134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71 000,0</w:t>
            </w:r>
          </w:p>
        </w:tc>
        <w:tc>
          <w:tcPr>
            <w:tcW w:w="1022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76 350,0</w:t>
            </w:r>
          </w:p>
        </w:tc>
        <w:tc>
          <w:tcPr>
            <w:tcW w:w="1192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81 320,0</w:t>
            </w:r>
          </w:p>
        </w:tc>
        <w:tc>
          <w:tcPr>
            <w:tcW w:w="1191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85 250,0</w:t>
            </w:r>
          </w:p>
        </w:tc>
        <w:tc>
          <w:tcPr>
            <w:tcW w:w="1272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89 650,0</w:t>
            </w:r>
          </w:p>
        </w:tc>
      </w:tr>
      <w:tr w:rsidR="00CF7899" w:rsidRPr="00D2032A">
        <w:tc>
          <w:tcPr>
            <w:tcW w:w="2240" w:type="dxa"/>
            <w:vAlign w:val="center"/>
          </w:tcPr>
          <w:p w:rsidR="00CF7899" w:rsidRDefault="00CF7899" w:rsidP="00BE2C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Усього</w:t>
            </w:r>
          </w:p>
          <w:p w:rsidR="00CF7899" w:rsidRPr="00D2032A" w:rsidRDefault="00CF7899" w:rsidP="00BE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882 420,0</w:t>
            </w:r>
          </w:p>
        </w:tc>
        <w:tc>
          <w:tcPr>
            <w:tcW w:w="1134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154 800,0</w:t>
            </w:r>
          </w:p>
        </w:tc>
        <w:tc>
          <w:tcPr>
            <w:tcW w:w="1022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166 750,0</w:t>
            </w:r>
          </w:p>
        </w:tc>
        <w:tc>
          <w:tcPr>
            <w:tcW w:w="1192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177 970,0</w:t>
            </w:r>
          </w:p>
        </w:tc>
        <w:tc>
          <w:tcPr>
            <w:tcW w:w="1191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186 700,0</w:t>
            </w:r>
          </w:p>
        </w:tc>
        <w:tc>
          <w:tcPr>
            <w:tcW w:w="1272" w:type="dxa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196 200,0</w:t>
            </w:r>
          </w:p>
        </w:tc>
      </w:tr>
    </w:tbl>
    <w:p w:rsidR="00CF7899" w:rsidRPr="00BE2C94" w:rsidRDefault="00CF7899" w:rsidP="00BE2C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7899" w:rsidRPr="00BE2C94" w:rsidRDefault="00CF7899" w:rsidP="00BE2C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C94">
        <w:rPr>
          <w:rFonts w:ascii="Times New Roman" w:hAnsi="Times New Roman" w:cs="Times New Roman"/>
          <w:sz w:val="28"/>
          <w:szCs w:val="28"/>
        </w:rPr>
        <w:t>11. Результативні показники виконання Програми:</w:t>
      </w:r>
    </w:p>
    <w:p w:rsidR="00CF7899" w:rsidRPr="00BE2C94" w:rsidRDefault="00CF7899" w:rsidP="00BE2C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406"/>
        <w:gridCol w:w="1064"/>
        <w:gridCol w:w="849"/>
        <w:gridCol w:w="739"/>
        <w:gridCol w:w="610"/>
        <w:gridCol w:w="610"/>
        <w:gridCol w:w="610"/>
        <w:gridCol w:w="610"/>
      </w:tblGrid>
      <w:tr w:rsidR="00CF7899" w:rsidRPr="00D2032A">
        <w:trPr>
          <w:trHeight w:val="557"/>
        </w:trPr>
        <w:tc>
          <w:tcPr>
            <w:tcW w:w="2385" w:type="dxa"/>
            <w:vMerge w:val="restart"/>
            <w:vAlign w:val="center"/>
          </w:tcPr>
          <w:p w:rsidR="00CF7899" w:rsidRPr="00D2032A" w:rsidRDefault="00CF7899" w:rsidP="00BE2C94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 завдання Програми</w:t>
            </w:r>
          </w:p>
        </w:tc>
        <w:tc>
          <w:tcPr>
            <w:tcW w:w="2406" w:type="dxa"/>
            <w:vMerge w:val="restart"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Результативні показники виконання Програми</w:t>
            </w:r>
          </w:p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(кількісні та якісні)</w:t>
            </w:r>
          </w:p>
        </w:tc>
        <w:tc>
          <w:tcPr>
            <w:tcW w:w="1064" w:type="dxa"/>
            <w:vMerge w:val="restart"/>
            <w:vAlign w:val="center"/>
          </w:tcPr>
          <w:p w:rsidR="00CF7899" w:rsidRPr="00D2032A" w:rsidRDefault="00CF7899" w:rsidP="00BE2C94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4028" w:type="dxa"/>
            <w:gridSpan w:val="6"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Значення показників</w:t>
            </w:r>
          </w:p>
        </w:tc>
      </w:tr>
      <w:tr w:rsidR="00CF7899" w:rsidRPr="00D2032A">
        <w:trPr>
          <w:trHeight w:val="551"/>
        </w:trPr>
        <w:tc>
          <w:tcPr>
            <w:tcW w:w="2385" w:type="dxa"/>
            <w:vMerge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vMerge/>
            <w:textDirection w:val="btLr"/>
            <w:vAlign w:val="center"/>
          </w:tcPr>
          <w:p w:rsidR="00CF7899" w:rsidRPr="00D2032A" w:rsidRDefault="00CF7899" w:rsidP="00BE2C9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3179" w:type="dxa"/>
            <w:gridSpan w:val="5"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 тому числі за роками</w:t>
            </w:r>
          </w:p>
        </w:tc>
      </w:tr>
      <w:tr w:rsidR="00CF7899" w:rsidRPr="00D2032A">
        <w:trPr>
          <w:trHeight w:val="573"/>
        </w:trPr>
        <w:tc>
          <w:tcPr>
            <w:tcW w:w="2385" w:type="dxa"/>
            <w:vMerge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CF7899" w:rsidRPr="00D2032A" w:rsidRDefault="00CF7899" w:rsidP="00BE2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CF7899" w:rsidRPr="00D2032A" w:rsidRDefault="00CF7899" w:rsidP="00BE2C9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610" w:type="dxa"/>
            <w:vAlign w:val="center"/>
          </w:tcPr>
          <w:p w:rsidR="00CF7899" w:rsidRPr="00D2032A" w:rsidRDefault="00CF7899" w:rsidP="00BE2C9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10" w:type="dxa"/>
            <w:vAlign w:val="center"/>
          </w:tcPr>
          <w:p w:rsidR="00CF7899" w:rsidRPr="00D2032A" w:rsidRDefault="00CF7899" w:rsidP="00BE2C9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10" w:type="dxa"/>
            <w:vAlign w:val="center"/>
          </w:tcPr>
          <w:p w:rsidR="00CF7899" w:rsidRPr="00D2032A" w:rsidRDefault="00CF7899" w:rsidP="00BE2C9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610" w:type="dxa"/>
            <w:vAlign w:val="center"/>
          </w:tcPr>
          <w:p w:rsidR="00CF7899" w:rsidRPr="00D2032A" w:rsidRDefault="00CF7899" w:rsidP="00BE2C9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2029</w:t>
            </w:r>
          </w:p>
        </w:tc>
      </w:tr>
      <w:tr w:rsidR="00CF7899" w:rsidRPr="00D2032A">
        <w:trPr>
          <w:cantSplit/>
          <w:trHeight w:val="365"/>
        </w:trPr>
        <w:tc>
          <w:tcPr>
            <w:tcW w:w="2385" w:type="dxa"/>
            <w:vMerge w:val="restart"/>
          </w:tcPr>
          <w:p w:rsidR="00CF7899" w:rsidRPr="00D2032A" w:rsidRDefault="00CF7899" w:rsidP="00BE2C94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1. Підтримка розвитку галузі тваринництва</w:t>
            </w:r>
          </w:p>
        </w:tc>
        <w:tc>
          <w:tcPr>
            <w:tcW w:w="2406" w:type="dxa"/>
          </w:tcPr>
          <w:p w:rsidR="00CF7899" w:rsidRDefault="00CF7899" w:rsidP="002865CC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1.1. Кількість племінного поголів’я великої рогатої худоби (корів, нетелей, телиць), вартість якого відшкодовано</w:t>
            </w:r>
          </w:p>
          <w:p w:rsidR="00CF7899" w:rsidRPr="00D2032A" w:rsidRDefault="00CF7899" w:rsidP="002865CC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D203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олів</w:t>
            </w:r>
          </w:p>
        </w:tc>
        <w:tc>
          <w:tcPr>
            <w:tcW w:w="849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</w:tc>
        <w:tc>
          <w:tcPr>
            <w:tcW w:w="739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10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10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10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10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CF7899" w:rsidRPr="00D2032A">
        <w:trPr>
          <w:cantSplit/>
          <w:trHeight w:val="365"/>
        </w:trPr>
        <w:tc>
          <w:tcPr>
            <w:tcW w:w="2385" w:type="dxa"/>
            <w:vMerge/>
          </w:tcPr>
          <w:p w:rsidR="00CF7899" w:rsidRPr="00D2032A" w:rsidRDefault="00CF7899" w:rsidP="00BE2C94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CF7899" w:rsidRDefault="00CF7899" w:rsidP="002865CC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1.2. Кількість ідентифікованої сперми бугаїв, вартість якої відшкодовано</w:t>
            </w:r>
          </w:p>
          <w:p w:rsidR="00CF7899" w:rsidRPr="00D2032A" w:rsidRDefault="00CF7899" w:rsidP="002865CC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203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</w:t>
            </w:r>
          </w:p>
        </w:tc>
        <w:tc>
          <w:tcPr>
            <w:tcW w:w="849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50 000</w:t>
            </w:r>
          </w:p>
        </w:tc>
        <w:tc>
          <w:tcPr>
            <w:tcW w:w="739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0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  <w:tc>
          <w:tcPr>
            <w:tcW w:w="610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  <w:tc>
          <w:tcPr>
            <w:tcW w:w="610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  <w:tc>
          <w:tcPr>
            <w:tcW w:w="610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  <w:tc>
          <w:tcPr>
            <w:tcW w:w="610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CF7899" w:rsidRPr="00D2032A">
        <w:trPr>
          <w:cantSplit/>
          <w:trHeight w:val="365"/>
        </w:trPr>
        <w:tc>
          <w:tcPr>
            <w:tcW w:w="2385" w:type="dxa"/>
          </w:tcPr>
          <w:p w:rsidR="00CF7899" w:rsidRDefault="00CF7899" w:rsidP="002865CC">
            <w:pPr>
              <w:ind w:left="29"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bookmarkStart w:id="1" w:name="_Hlk182394131"/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Підтримка розвитку сільськогосподарських товаровиробників у сфері органічного виробництва</w:t>
            </w:r>
            <w:bookmarkEnd w:id="1"/>
          </w:p>
          <w:p w:rsidR="00CF7899" w:rsidRPr="00D2032A" w:rsidRDefault="00CF7899" w:rsidP="002865CC">
            <w:pPr>
              <w:ind w:left="29" w:righ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2.1. Кількість сертифікації органічного виробництва, вартість якої відшкодовано</w:t>
            </w:r>
          </w:p>
          <w:p w:rsidR="00CF7899" w:rsidRPr="00D2032A" w:rsidRDefault="00CF7899" w:rsidP="00BE2C94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203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диниць</w:t>
            </w:r>
          </w:p>
        </w:tc>
        <w:tc>
          <w:tcPr>
            <w:tcW w:w="849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9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0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0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0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0" w:type="dxa"/>
          </w:tcPr>
          <w:p w:rsidR="00CF7899" w:rsidRPr="00D2032A" w:rsidRDefault="00CF7899" w:rsidP="00BE2C94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F7899" w:rsidRPr="00D2032A">
        <w:trPr>
          <w:cantSplit/>
          <w:trHeight w:val="365"/>
        </w:trPr>
        <w:tc>
          <w:tcPr>
            <w:tcW w:w="2385" w:type="dxa"/>
            <w:vMerge w:val="restart"/>
          </w:tcPr>
          <w:p w:rsidR="00CF7899" w:rsidRPr="00D2032A" w:rsidRDefault="00CF7899" w:rsidP="00DA7997">
            <w:pPr>
              <w:spacing w:line="235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 xml:space="preserve">3. Сприяння збільшенню обсягів експорту та підвищенню конкурентоспроможності харчових продуктів, удосконаленню технологій виробництва, залученню інвестицій, забезпеченню науково-технічного і технологічного </w:t>
            </w:r>
          </w:p>
          <w:p w:rsidR="00CF7899" w:rsidRPr="00D2032A" w:rsidRDefault="00CF7899" w:rsidP="00DA7997">
            <w:pPr>
              <w:spacing w:line="235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 xml:space="preserve">оновлення вітчизняного виробництва та </w:t>
            </w:r>
          </w:p>
          <w:p w:rsidR="00CF7899" w:rsidRPr="00D2032A" w:rsidRDefault="00CF7899" w:rsidP="00DA7997">
            <w:pPr>
              <w:spacing w:line="235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 xml:space="preserve">зміцненню </w:t>
            </w:r>
          </w:p>
          <w:p w:rsidR="00CF7899" w:rsidRDefault="00CF7899" w:rsidP="00DA7997">
            <w:pPr>
              <w:spacing w:line="235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міжнародних зв’язків</w:t>
            </w:r>
          </w:p>
          <w:p w:rsidR="00CF7899" w:rsidRPr="00D2032A" w:rsidRDefault="00CF7899" w:rsidP="00DA7997">
            <w:pPr>
              <w:spacing w:line="235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3.1. Кількість заходів, спрямованих на забезпечення розвитку агропромислового комплексу</w:t>
            </w:r>
          </w:p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203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диниць</w:t>
            </w:r>
          </w:p>
        </w:tc>
        <w:tc>
          <w:tcPr>
            <w:tcW w:w="849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7899" w:rsidRPr="00D2032A">
        <w:trPr>
          <w:cantSplit/>
          <w:trHeight w:val="365"/>
        </w:trPr>
        <w:tc>
          <w:tcPr>
            <w:tcW w:w="2385" w:type="dxa"/>
            <w:vMerge/>
          </w:tcPr>
          <w:p w:rsidR="00CF7899" w:rsidRPr="00D2032A" w:rsidRDefault="00CF7899" w:rsidP="00DA7997">
            <w:pPr>
              <w:spacing w:line="235" w:lineRule="auto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CF7899" w:rsidRPr="00D2032A" w:rsidRDefault="00CF7899" w:rsidP="00DA7997">
            <w:pPr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3.2. Щорічне представлення експозиції виробників агропромислового комплексу області на Міжнар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одній агропромисловій виставці </w:t>
            </w:r>
            <w:r w:rsidRPr="00867A62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Агроˮ</w:t>
            </w:r>
          </w:p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203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диниць</w:t>
            </w:r>
          </w:p>
        </w:tc>
        <w:tc>
          <w:tcPr>
            <w:tcW w:w="849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7899" w:rsidRPr="00D2032A">
        <w:trPr>
          <w:cantSplit/>
          <w:trHeight w:val="365"/>
        </w:trPr>
        <w:tc>
          <w:tcPr>
            <w:tcW w:w="2385" w:type="dxa"/>
          </w:tcPr>
          <w:p w:rsidR="00CF7899" w:rsidRPr="00D2032A" w:rsidRDefault="00CF7899" w:rsidP="00DA7997">
            <w:pPr>
              <w:spacing w:line="235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 xml:space="preserve">4. Забезпечення сільськогосподарських товаровиробників вітчизняною технікою та обладнанням для </w:t>
            </w:r>
          </w:p>
          <w:p w:rsidR="00CF7899" w:rsidRPr="00D2032A" w:rsidRDefault="00CF7899" w:rsidP="00DA7997">
            <w:pPr>
              <w:spacing w:line="235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розвитку агропромислового комплексу</w:t>
            </w:r>
          </w:p>
          <w:p w:rsidR="00CF7899" w:rsidRPr="00D2032A" w:rsidRDefault="00CF7899" w:rsidP="00DA7997">
            <w:pPr>
              <w:spacing w:line="235" w:lineRule="auto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CF7899" w:rsidRPr="00D2032A" w:rsidRDefault="00CF7899" w:rsidP="00DA7997">
            <w:pPr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4.1. Рівень надання часткової компенсації вартості сільськогосподарської техніки та обладнання вітчизняного виробництва</w:t>
            </w:r>
          </w:p>
          <w:p w:rsidR="00CF7899" w:rsidRPr="00D2032A" w:rsidRDefault="00CF7899" w:rsidP="00DA7997">
            <w:pPr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відсот</w:t>
            </w: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</w:p>
        </w:tc>
        <w:tc>
          <w:tcPr>
            <w:tcW w:w="849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9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F7899" w:rsidRPr="00D2032A">
        <w:trPr>
          <w:cantSplit/>
          <w:trHeight w:val="365"/>
        </w:trPr>
        <w:tc>
          <w:tcPr>
            <w:tcW w:w="2385" w:type="dxa"/>
          </w:tcPr>
          <w:p w:rsidR="00CF7899" w:rsidRPr="00D2032A" w:rsidRDefault="00CF7899" w:rsidP="00DA7997">
            <w:pPr>
              <w:spacing w:line="235" w:lineRule="auto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 xml:space="preserve">5. Модернізація та будівництво нових внутрішньогосподарських меліоративних мереж, </w:t>
            </w:r>
          </w:p>
          <w:p w:rsidR="00CF7899" w:rsidRPr="00D2032A" w:rsidRDefault="00CF7899" w:rsidP="00DA7997">
            <w:pPr>
              <w:spacing w:line="235" w:lineRule="auto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які перебувають у власності організацій водокористувачів</w:t>
            </w:r>
          </w:p>
        </w:tc>
        <w:tc>
          <w:tcPr>
            <w:tcW w:w="2406" w:type="dxa"/>
          </w:tcPr>
          <w:p w:rsidR="00CF7899" w:rsidRPr="00D2032A" w:rsidRDefault="00CF7899" w:rsidP="00DA7997">
            <w:pPr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5.1. Рівень надання часткової компенсації вартості обладнання, матеріалів і засобів, придбаних для відновлення та будівництва меліоративних мереж</w:t>
            </w:r>
          </w:p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відсот</w:t>
            </w: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</w:p>
        </w:tc>
        <w:tc>
          <w:tcPr>
            <w:tcW w:w="849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9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F7899" w:rsidRPr="00D2032A">
        <w:trPr>
          <w:trHeight w:val="365"/>
        </w:trPr>
        <w:tc>
          <w:tcPr>
            <w:tcW w:w="2385" w:type="dxa"/>
          </w:tcPr>
          <w:p w:rsidR="00CF7899" w:rsidRPr="00D2032A" w:rsidRDefault="00CF7899" w:rsidP="00DA7997">
            <w:pPr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6. Фінансова підтримка сільськогосподарських товаровиробників</w:t>
            </w:r>
          </w:p>
          <w:p w:rsidR="00CF7899" w:rsidRPr="00D2032A" w:rsidRDefault="00CF7899" w:rsidP="00DA7997">
            <w:pPr>
              <w:spacing w:line="235" w:lineRule="auto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6.1. Рівень надання фінансової підтримки сільськогосподарським товаровиробникам</w:t>
            </w:r>
          </w:p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відсот</w:t>
            </w: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</w:p>
        </w:tc>
        <w:tc>
          <w:tcPr>
            <w:tcW w:w="849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9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F7899" w:rsidRPr="00D2032A">
        <w:trPr>
          <w:trHeight w:val="365"/>
        </w:trPr>
        <w:tc>
          <w:tcPr>
            <w:tcW w:w="2385" w:type="dxa"/>
          </w:tcPr>
          <w:p w:rsidR="00CF7899" w:rsidRPr="00D2032A" w:rsidRDefault="00CF7899" w:rsidP="00DA7997">
            <w:pPr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7. Підтримка для сільськогосподарських товаровиробників, які використовують меліоровані землі</w:t>
            </w:r>
          </w:p>
        </w:tc>
        <w:tc>
          <w:tcPr>
            <w:tcW w:w="2406" w:type="dxa"/>
          </w:tcPr>
          <w:p w:rsidR="00CF7899" w:rsidRPr="00D2032A" w:rsidRDefault="00CF7899" w:rsidP="00DA7997">
            <w:pPr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7.1. Рівень надання часткової компенсації вартості води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 xml:space="preserve"> спожитої сільськогосподарськими товаровиробниками </w:t>
            </w:r>
          </w:p>
          <w:p w:rsidR="00CF7899" w:rsidRPr="00D2032A" w:rsidRDefault="00CF7899" w:rsidP="00DA7997">
            <w:pPr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для поливу сільсько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господарських культур на зрошуваних землях сільськогосподарського призначення</w:t>
            </w:r>
          </w:p>
          <w:p w:rsidR="00CF7899" w:rsidRPr="00D2032A" w:rsidRDefault="00CF7899" w:rsidP="00DA7997">
            <w:pPr>
              <w:pStyle w:val="af0"/>
              <w:spacing w:after="0" w:line="235" w:lineRule="auto"/>
              <w:ind w:left="0"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відсот</w:t>
            </w: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</w:p>
        </w:tc>
        <w:tc>
          <w:tcPr>
            <w:tcW w:w="849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9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0" w:type="dxa"/>
          </w:tcPr>
          <w:p w:rsidR="00CF7899" w:rsidRPr="00D2032A" w:rsidRDefault="00CF7899" w:rsidP="00DA7997">
            <w:pPr>
              <w:pStyle w:val="af0"/>
              <w:spacing w:after="0" w:line="235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3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CF7899" w:rsidRPr="00BE2C94" w:rsidRDefault="00CF7899" w:rsidP="00DA7997">
      <w:pPr>
        <w:tabs>
          <w:tab w:val="left" w:pos="9360"/>
        </w:tabs>
        <w:spacing w:line="235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Pr="00BE2C94" w:rsidRDefault="00CF7899" w:rsidP="00DA7997">
      <w:pPr>
        <w:tabs>
          <w:tab w:val="left" w:pos="9360"/>
        </w:tabs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C94">
        <w:rPr>
          <w:rFonts w:ascii="Times New Roman" w:hAnsi="Times New Roman" w:cs="Times New Roman"/>
          <w:sz w:val="28"/>
          <w:szCs w:val="28"/>
        </w:rPr>
        <w:t xml:space="preserve">12. Координація та контроль за виконанням: </w:t>
      </w:r>
    </w:p>
    <w:p w:rsidR="00CF7899" w:rsidRPr="00BE2C94" w:rsidRDefault="00CF7899" w:rsidP="00DA7997">
      <w:pPr>
        <w:tabs>
          <w:tab w:val="left" w:pos="9360"/>
        </w:tabs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C94">
        <w:rPr>
          <w:rFonts w:ascii="Times New Roman" w:hAnsi="Times New Roman" w:cs="Times New Roman"/>
          <w:sz w:val="28"/>
          <w:szCs w:val="28"/>
        </w:rPr>
        <w:t>Координацію здійснює замовник Програми – департамент економічного розвитку обласної державної</w:t>
      </w:r>
      <w:r>
        <w:rPr>
          <w:rFonts w:ascii="Times New Roman" w:hAnsi="Times New Roman" w:cs="Times New Roman"/>
          <w:sz w:val="28"/>
          <w:szCs w:val="28"/>
        </w:rPr>
        <w:t xml:space="preserve"> адміністрації, який щокварталу</w:t>
      </w:r>
      <w:r w:rsidRPr="00BE2C94">
        <w:rPr>
          <w:rFonts w:ascii="Times New Roman" w:hAnsi="Times New Roman" w:cs="Times New Roman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lastRenderedPageBreak/>
        <w:t>до 15 числа місяця, що настає за звітним періодом, готує та подає звіт про виконання Програми до обласної ради та обласної державної адміністрації.</w:t>
      </w:r>
    </w:p>
    <w:p w:rsidR="00CF7899" w:rsidRDefault="00CF7899" w:rsidP="00DA7997">
      <w:pPr>
        <w:tabs>
          <w:tab w:val="left" w:pos="9360"/>
        </w:tabs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C94">
        <w:rPr>
          <w:rFonts w:ascii="Times New Roman" w:hAnsi="Times New Roman" w:cs="Times New Roman"/>
          <w:sz w:val="28"/>
          <w:szCs w:val="28"/>
        </w:rPr>
        <w:t>Контроль за виконанням здійснює постійна комісія з питань агропромислового комплексу та соціального розвитку села Дніпропетровської обласної ради.</w:t>
      </w:r>
    </w:p>
    <w:p w:rsidR="00CF7899" w:rsidRPr="00BE2C94" w:rsidRDefault="00CF7899" w:rsidP="00CE7DE6">
      <w:pPr>
        <w:tabs>
          <w:tab w:val="left" w:pos="9360"/>
        </w:tabs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Default="00CF7899" w:rsidP="006C00F3">
      <w:pPr>
        <w:spacing w:line="235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C94">
        <w:rPr>
          <w:rFonts w:ascii="Times New Roman" w:hAnsi="Times New Roman" w:cs="Times New Roman"/>
          <w:b/>
          <w:bCs/>
          <w:sz w:val="28"/>
          <w:szCs w:val="28"/>
        </w:rPr>
        <w:t xml:space="preserve">Розділ ІІ. Зазначення стратегічних, оперативних цілей та завдань </w:t>
      </w:r>
    </w:p>
    <w:p w:rsidR="00CF7899" w:rsidRPr="00BE2C94" w:rsidRDefault="00CF7899" w:rsidP="006C00F3">
      <w:pPr>
        <w:spacing w:line="235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C94">
        <w:rPr>
          <w:rFonts w:ascii="Times New Roman" w:hAnsi="Times New Roman" w:cs="Times New Roman"/>
          <w:b/>
          <w:bCs/>
          <w:sz w:val="28"/>
          <w:szCs w:val="28"/>
        </w:rPr>
        <w:t xml:space="preserve">Стратегії регіонального розвитку Дніпропетровської області </w:t>
      </w:r>
      <w:r w:rsidRPr="00BE2C94">
        <w:rPr>
          <w:rFonts w:ascii="Times New Roman" w:hAnsi="Times New Roman" w:cs="Times New Roman"/>
          <w:b/>
          <w:bCs/>
          <w:sz w:val="28"/>
          <w:szCs w:val="28"/>
        </w:rPr>
        <w:br/>
        <w:t>на період до 2027 року, на реалізацію яких спрямована Програма</w:t>
      </w:r>
    </w:p>
    <w:p w:rsidR="00CF7899" w:rsidRPr="00BE2C94" w:rsidRDefault="00CF7899" w:rsidP="007D1A0C">
      <w:pPr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Програма спрямована на виконання Державної стратегії регіонального розвитку на 2021 – 2027 роки, затвердженої постановою Кабінету Міністрів України від 05 серпня 2020 року № 695, та Стратегії регіонального розвитку Дніпропетровської області на період до 2027 року, затвердженої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рішенням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обласної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ради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07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серпня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2020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>року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 № 624-24/VII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t xml:space="preserve">(із змінами),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 (далі – Стратегія).</w:t>
      </w: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Програма скерована на досягнення Стратегічної цілі 1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Підвищення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рівня конкурентоспроможності Дніпропетровської області” та Оперативної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 xml:space="preserve">цілі 1.4.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E2C94">
        <w:rPr>
          <w:rFonts w:ascii="Times New Roman" w:hAnsi="Times New Roman" w:cs="Times New Roman"/>
          <w:sz w:val="28"/>
          <w:szCs w:val="28"/>
          <w:lang w:eastAsia="uk-UA"/>
        </w:rPr>
        <w:t>Розвиток агропромислового комплексу” Стратегії</w:t>
      </w:r>
      <w:r w:rsidRPr="00BE2C94">
        <w:rPr>
          <w:rFonts w:ascii="Times New Roman" w:hAnsi="Times New Roman" w:cs="Times New Roman"/>
          <w:sz w:val="28"/>
          <w:szCs w:val="28"/>
        </w:rPr>
        <w:t>.</w:t>
      </w: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t>Заходи Програми спрямован</w:t>
      </w:r>
      <w:r>
        <w:rPr>
          <w:rFonts w:ascii="Times New Roman" w:hAnsi="Times New Roman" w:cs="Times New Roman"/>
          <w:sz w:val="28"/>
          <w:szCs w:val="28"/>
        </w:rPr>
        <w:t>і на забезпечення стабільного й</w:t>
      </w:r>
      <w:r w:rsidRPr="00BE2C94">
        <w:rPr>
          <w:rFonts w:ascii="Times New Roman" w:hAnsi="Times New Roman" w:cs="Times New Roman"/>
          <w:sz w:val="28"/>
          <w:szCs w:val="28"/>
        </w:rPr>
        <w:t xml:space="preserve"> ефективного функціонування агропромислового компл</w:t>
      </w:r>
      <w:r>
        <w:rPr>
          <w:rFonts w:ascii="Times New Roman" w:hAnsi="Times New Roman" w:cs="Times New Roman"/>
          <w:sz w:val="28"/>
          <w:szCs w:val="28"/>
        </w:rPr>
        <w:t xml:space="preserve">ексу Дніпропетровської області, </w:t>
      </w:r>
      <w:r w:rsidRPr="00BE2C94">
        <w:rPr>
          <w:rFonts w:ascii="Times New Roman" w:hAnsi="Times New Roman" w:cs="Times New Roman"/>
          <w:sz w:val="28"/>
          <w:szCs w:val="28"/>
        </w:rPr>
        <w:t xml:space="preserve">на задоволення потреб області у продукції рослинництва і продуктах її переробки, впровадження досягнень науково-технічного прогресу, оновлення виробничого потенціалу сільського господарства та переробної галузі, ефективної підприємницької діяльності. </w:t>
      </w:r>
    </w:p>
    <w:p w:rsidR="00CF7899" w:rsidRPr="00BE2C94" w:rsidRDefault="00CF7899" w:rsidP="00FF5E01">
      <w:pPr>
        <w:tabs>
          <w:tab w:val="left" w:pos="5140"/>
        </w:tabs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t xml:space="preserve">Стратегічна ціль Програми – </w:t>
      </w:r>
      <w:bookmarkStart w:id="2" w:name="_Hlk151981527"/>
      <w:r w:rsidRPr="00BE2C94">
        <w:rPr>
          <w:rFonts w:ascii="Times New Roman" w:hAnsi="Times New Roman" w:cs="Times New Roman"/>
          <w:sz w:val="28"/>
          <w:szCs w:val="28"/>
        </w:rPr>
        <w:t>збільшення обсягів виробництва сільськогосподарської продукції, підвищення продуктивності в сільському господарстві, сприяння розвитку аграрного ринку та забезпечення продовольчої безпеки</w:t>
      </w:r>
      <w:bookmarkEnd w:id="2"/>
      <w:r w:rsidRPr="00BE2C94">
        <w:rPr>
          <w:rFonts w:ascii="Times New Roman" w:hAnsi="Times New Roman" w:cs="Times New Roman"/>
          <w:sz w:val="28"/>
          <w:szCs w:val="28"/>
        </w:rPr>
        <w:t>.</w:t>
      </w: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t xml:space="preserve">Аграрний сектор є одним із пріоритетних та стратегічних напрямів економіки. Навіть незважаючи на воєнний стан в Україні, агробізнес продовжує працювати в надскладних </w:t>
      </w:r>
      <w:r>
        <w:rPr>
          <w:rFonts w:ascii="Times New Roman" w:hAnsi="Times New Roman" w:cs="Times New Roman"/>
          <w:sz w:val="28"/>
          <w:szCs w:val="28"/>
        </w:rPr>
        <w:t>умовах і демонструє гнучкість і</w:t>
      </w:r>
      <w:r w:rsidRPr="00BE2C94">
        <w:rPr>
          <w:rFonts w:ascii="Times New Roman" w:hAnsi="Times New Roman" w:cs="Times New Roman"/>
          <w:sz w:val="28"/>
          <w:szCs w:val="28"/>
        </w:rPr>
        <w:t xml:space="preserve"> витримку. </w:t>
      </w: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t>Важливим напрямом розвитку агропромислового комплексу є розбудова переробних потужностей та збільшення доданої вартості. Збільшення частки готової продукції в аграрній галузі сприятиме створенню нових робочих місць, зростанню економіки та наповненню бюджетів усіх рівнів.</w:t>
      </w: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t xml:space="preserve">Територія області займає 3192,3 тис. га. Найбільшу питому вагу становлять сільськогосподарські угіддя – 78,7 %. Основний фонд ґрунтового покриття Дніпропетровської області складають чорноземи звичайні різної глибини, які придатні для вирощування багатьох видів сільськогосподарських культур. </w:t>
      </w: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t>Дніпропетровська область належить до регіонів, у яких виробляється значна частина сільськогосподарської продукції України. Площа сільсько-</w:t>
      </w:r>
      <w:r w:rsidRPr="00BE2C94">
        <w:rPr>
          <w:rFonts w:ascii="Times New Roman" w:hAnsi="Times New Roman" w:cs="Times New Roman"/>
          <w:sz w:val="28"/>
          <w:szCs w:val="28"/>
        </w:rPr>
        <w:lastRenderedPageBreak/>
        <w:t>господарських угідь становить 2,5 млн га (майже 7 % сільгос</w:t>
      </w:r>
      <w:r>
        <w:rPr>
          <w:rFonts w:ascii="Times New Roman" w:hAnsi="Times New Roman" w:cs="Times New Roman"/>
          <w:sz w:val="28"/>
          <w:szCs w:val="28"/>
        </w:rPr>
        <w:t xml:space="preserve">пугідь України), </w:t>
      </w:r>
      <w:r w:rsidRPr="00BE2C94">
        <w:rPr>
          <w:rFonts w:ascii="Times New Roman" w:hAnsi="Times New Roman" w:cs="Times New Roman"/>
          <w:sz w:val="28"/>
          <w:szCs w:val="28"/>
        </w:rPr>
        <w:t>із них площа ріллі – 2,1 млн га. Основні напрями виробничої діяльності сільгосппідприємств області – вирощування зернових, технічних і овочевих культур, виробництво м’ясо-молочної продукції.</w:t>
      </w:r>
    </w:p>
    <w:p w:rsidR="00CF7899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Default="00CF7899" w:rsidP="009D30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Default="00CF7899" w:rsidP="009D30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Default="0022665C" w:rsidP="009D30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85.9pt;margin-top:-10.05pt;width:309.75pt;height:164.15pt;z-index:1;visibility:visible">
            <v:imagedata r:id="rId8" o:title=""/>
          </v:shape>
        </w:pict>
      </w:r>
    </w:p>
    <w:p w:rsidR="00CF7899" w:rsidRPr="00BE2C94" w:rsidRDefault="00CF7899" w:rsidP="009D30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Pr="00BE2C94" w:rsidRDefault="00CF7899" w:rsidP="00BE2C94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CF7899" w:rsidRDefault="00CF7899" w:rsidP="00BE2C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Default="00CF7899" w:rsidP="00CE7DE6">
      <w:pPr>
        <w:spacing w:line="2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Default="00CF7899" w:rsidP="009B1630">
      <w:pPr>
        <w:spacing w:line="22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Default="00CF7899" w:rsidP="009B1630">
      <w:pPr>
        <w:spacing w:line="22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Default="00CF7899" w:rsidP="009B1630">
      <w:pPr>
        <w:spacing w:line="22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Default="00CF7899" w:rsidP="009B1630">
      <w:pPr>
        <w:spacing w:line="22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Default="00CF7899" w:rsidP="009B1630">
      <w:pPr>
        <w:spacing w:line="22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99" w:rsidRDefault="00CF7899" w:rsidP="009B1630">
      <w:pPr>
        <w:spacing w:line="22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t>Основою агропромислового комплексу області є майже тисяча сільськогосподарських підприємств з різними формами власності та  підпорядкування, понад 3 тисячі селянських фермерських господарств, підприємств харчової та переробної промисловості, 4 науково-дослідні станції, Інститут зернових культур Національної академії аграрних наук України, Дніпровський державний аграрно-економічний університет, 6 коледжів.</w:t>
      </w: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t>Понад 10 років поспіль (починаючи з 2013 року) аграрії Дніпропетровської області стабільно отримували понад 3 млн тонн зернових культур та близько 700 тис. тонн овочів, а 8 років поспіль – більше одного мільйона тонн соняшнику.</w:t>
      </w:r>
    </w:p>
    <w:p w:rsidR="00CF7899" w:rsidRPr="00BE2C94" w:rsidRDefault="00CF7899" w:rsidP="00FF5E01">
      <w:pPr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sz w:val="28"/>
          <w:szCs w:val="28"/>
        </w:rPr>
        <w:t>За останні роки на урожайність сільськогосподарських культур чималий вплив мали погодні умови, зокрема весняні заморозки на поверхні ґрунту та аномальна суха, спекотна, з суховійними явищами погода влітку.</w:t>
      </w:r>
    </w:p>
    <w:p w:rsidR="00CF7899" w:rsidRPr="00BE2C94" w:rsidRDefault="00CF7899" w:rsidP="00FF5E01">
      <w:pPr>
        <w:pStyle w:val="Default"/>
        <w:spacing w:line="235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color w:val="auto"/>
          <w:sz w:val="28"/>
          <w:szCs w:val="28"/>
        </w:rPr>
        <w:t>Подальший розвиток галузі рослинництва вимагає ґрунтовної економічної оцінки, перегляду цілої низки позицій щодо технічно-технологічних, організаційно-економічних та урахування ринкових умов функціонування всього комплексу. Рослинництво забезпечує населення продуктами харчування, тваринництво – кормами, харчову, переробну і легку промисловість 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color w:val="auto"/>
          <w:sz w:val="28"/>
          <w:szCs w:val="28"/>
        </w:rPr>
        <w:t xml:space="preserve">сировиною, зовнішню торгівлю – експортними товарами. </w:t>
      </w:r>
    </w:p>
    <w:p w:rsidR="00CF7899" w:rsidRPr="00BE2C94" w:rsidRDefault="00CF7899" w:rsidP="00715E3F">
      <w:pPr>
        <w:pStyle w:val="Default"/>
        <w:spacing w:line="235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2C94">
        <w:rPr>
          <w:rFonts w:ascii="Times New Roman" w:hAnsi="Times New Roman" w:cs="Times New Roman"/>
          <w:color w:val="auto"/>
          <w:sz w:val="28"/>
          <w:szCs w:val="28"/>
        </w:rPr>
        <w:t xml:space="preserve">Молочне скотарство – провідна галузь тваринництва. Особливі властивості молока і продуктів його переробки зумовлюють необхідність стабільного забезпечення населення цими продуктами, гарантованого надходження молочної сировини до переробних підприємств. Щоденне споживання декількох порцій молочних або кисломолочних продуктів </w:t>
      </w:r>
      <w:r w:rsidRPr="00BE2C9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більше ніж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D5CB7">
        <w:rPr>
          <w:rFonts w:ascii="Times New Roman" w:hAnsi="Times New Roman" w:cs="Times New Roman"/>
          <w:color w:val="auto"/>
          <w:spacing w:val="-4"/>
          <w:sz w:val="28"/>
          <w:szCs w:val="28"/>
        </w:rPr>
        <w:t>на 50 % задовольняє потребу у кальції і є джерелом вітаміну А, вітамінів  групи В,</w:t>
      </w:r>
      <w:r w:rsidRPr="00BE2C94">
        <w:rPr>
          <w:rFonts w:ascii="Times New Roman" w:hAnsi="Times New Roman" w:cs="Times New Roman"/>
          <w:color w:val="auto"/>
          <w:sz w:val="28"/>
          <w:szCs w:val="28"/>
        </w:rPr>
        <w:t xml:space="preserve"> цинку і селену. Кальцій, який міститься у молочних продуктах, засвоюється найбільш повноцінно. Належне споживання кальцію забезпечує здоров’я кісток та зубів, функціонування нервової системи та згортання крові. Особливо велике значення молоко й молочні продукти мають для харчування дітей та молоді.</w:t>
      </w:r>
    </w:p>
    <w:p w:rsidR="00CF7899" w:rsidRPr="00BE2C94" w:rsidRDefault="00CF7899" w:rsidP="00715E3F">
      <w:pPr>
        <w:pStyle w:val="Default"/>
        <w:spacing w:line="235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2C94">
        <w:rPr>
          <w:rFonts w:ascii="Times New Roman" w:hAnsi="Times New Roman" w:cs="Times New Roman"/>
          <w:color w:val="auto"/>
          <w:sz w:val="28"/>
          <w:szCs w:val="28"/>
        </w:rPr>
        <w:t>Виробництвом продуктів харчування і переробкою сільськогосподарських продуктів зайнято більше 130 основних підприємств.</w:t>
      </w:r>
    </w:p>
    <w:p w:rsidR="00CF7899" w:rsidRPr="00BE2C94" w:rsidRDefault="00CF7899" w:rsidP="00715E3F">
      <w:pPr>
        <w:pStyle w:val="Default"/>
        <w:spacing w:line="235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2C94">
        <w:rPr>
          <w:rFonts w:ascii="Times New Roman" w:hAnsi="Times New Roman" w:cs="Times New Roman"/>
          <w:color w:val="auto"/>
          <w:sz w:val="28"/>
          <w:szCs w:val="28"/>
        </w:rPr>
        <w:t>В області створено достатньо потужностей, щоб забезпечити потреби населення продуктами харчування в повному обсязі за рахунок власного виробництва. Галузі харчової промисловості області: олійно-жирова, борошномельно-круп’яна, комбікормова, хлібопекарська, кондитерська, м’ясопереробна, молокопереробна, рибопереробна, крохмале-патокова, виробництво харчових концентратів, виробництво безалкогольних напоїв і мінеральної води, лікеро-горілчана, виноробна, плодоовочева, дріжджова.</w:t>
      </w:r>
    </w:p>
    <w:p w:rsidR="00CF7899" w:rsidRDefault="00CF7899" w:rsidP="00715E3F">
      <w:pPr>
        <w:pStyle w:val="Default"/>
        <w:spacing w:line="235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2C94">
        <w:rPr>
          <w:rFonts w:ascii="Times New Roman" w:hAnsi="Times New Roman" w:cs="Times New Roman"/>
          <w:color w:val="auto"/>
          <w:sz w:val="28"/>
          <w:szCs w:val="28"/>
        </w:rPr>
        <w:t>Одним із перспективних напрямів для підтримки економічного зростання та забезпечення населення високоякісними та корисними продуктами є органічне виробництво. Попит на органічну продукцію зростає в усьому світі, тому виробники агропромислового 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плексу області мають можливість </w:t>
      </w:r>
      <w:r w:rsidRPr="00BE2C94">
        <w:rPr>
          <w:rFonts w:ascii="Times New Roman" w:hAnsi="Times New Roman" w:cs="Times New Roman"/>
          <w:color w:val="auto"/>
          <w:sz w:val="28"/>
          <w:szCs w:val="28"/>
        </w:rPr>
        <w:t xml:space="preserve">для розширення своєї діяльності на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закордонних ринках у цій сфері. </w:t>
      </w:r>
      <w:r w:rsidRPr="00BE2C94">
        <w:rPr>
          <w:rFonts w:ascii="Times New Roman" w:hAnsi="Times New Roman" w:cs="Times New Roman"/>
          <w:color w:val="auto"/>
          <w:sz w:val="28"/>
          <w:szCs w:val="28"/>
        </w:rPr>
        <w:t>Водночас впровадження новітніх технологій сприятиме збереженню та покращенню природного середовища.</w:t>
      </w:r>
    </w:p>
    <w:p w:rsidR="00CF7899" w:rsidRDefault="00CF7899" w:rsidP="009B1630">
      <w:pPr>
        <w:pStyle w:val="Default"/>
        <w:spacing w:line="221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F7899" w:rsidRDefault="00CF7899" w:rsidP="009B1630">
      <w:pPr>
        <w:pStyle w:val="Default"/>
        <w:spacing w:line="221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F7899" w:rsidRDefault="00CF7899" w:rsidP="009B1630">
      <w:pPr>
        <w:pStyle w:val="Default"/>
        <w:spacing w:line="221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F7899" w:rsidRDefault="00CF7899" w:rsidP="009B1630">
      <w:pPr>
        <w:pStyle w:val="Default"/>
        <w:spacing w:line="221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F7899" w:rsidRDefault="00CF7899" w:rsidP="00715E3F">
      <w:pPr>
        <w:pStyle w:val="Default"/>
        <w:spacing w:line="221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Заступник </w:t>
      </w:r>
      <w:r w:rsidRPr="008748FD">
        <w:rPr>
          <w:rFonts w:ascii="Times New Roman" w:hAnsi="Times New Roman" w:cs="Times New Roman"/>
          <w:b/>
          <w:bCs/>
          <w:color w:val="auto"/>
          <w:sz w:val="28"/>
          <w:szCs w:val="28"/>
        </w:rPr>
        <w:t>голови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обласної </w:t>
      </w:r>
      <w:r w:rsidRPr="008748F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ради                            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</w:t>
      </w:r>
      <w:r w:rsidRPr="008748FD">
        <w:rPr>
          <w:rFonts w:ascii="Times New Roman" w:hAnsi="Times New Roman" w:cs="Times New Roman"/>
          <w:b/>
          <w:bCs/>
          <w:color w:val="auto"/>
          <w:sz w:val="28"/>
          <w:szCs w:val="28"/>
        </w:rPr>
        <w:t>І.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8748F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КАШИРІН</w:t>
      </w:r>
    </w:p>
    <w:p w:rsidR="00A73D96" w:rsidRDefault="00A73D96" w:rsidP="00A73D96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3D96" w:rsidRPr="00A73D96" w:rsidRDefault="00A73D96" w:rsidP="00A73D96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3D96">
        <w:rPr>
          <w:rFonts w:ascii="Times New Roman" w:hAnsi="Times New Roman" w:cs="Times New Roman"/>
          <w:sz w:val="28"/>
          <w:szCs w:val="28"/>
        </w:rPr>
        <w:t xml:space="preserve">від 28.08.2025 </w:t>
      </w:r>
    </w:p>
    <w:p w:rsidR="00A73D96" w:rsidRPr="00A73D96" w:rsidRDefault="00A73D96" w:rsidP="00A73D96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3D96">
        <w:rPr>
          <w:rFonts w:ascii="Times New Roman" w:hAnsi="Times New Roman" w:cs="Times New Roman"/>
          <w:sz w:val="28"/>
          <w:szCs w:val="28"/>
        </w:rPr>
        <w:t>№ 520-26/VIII</w:t>
      </w:r>
    </w:p>
    <w:p w:rsidR="00A73D96" w:rsidRPr="008748FD" w:rsidRDefault="00A73D96" w:rsidP="00715E3F">
      <w:pPr>
        <w:pStyle w:val="Default"/>
        <w:spacing w:line="221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F7899" w:rsidRPr="008748FD" w:rsidRDefault="00CF7899" w:rsidP="00715E3F">
      <w:pPr>
        <w:pStyle w:val="Default"/>
        <w:spacing w:line="221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F7899" w:rsidRDefault="00CF7899" w:rsidP="00BE2C9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7899" w:rsidSect="004132A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5C" w:rsidRDefault="0022665C">
      <w:r>
        <w:separator/>
      </w:r>
    </w:p>
  </w:endnote>
  <w:endnote w:type="continuationSeparator" w:id="0">
    <w:p w:rsidR="0022665C" w:rsidRDefault="0022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99" w:rsidRDefault="00CF789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99" w:rsidRDefault="00CF78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5C" w:rsidRDefault="0022665C">
      <w:r>
        <w:separator/>
      </w:r>
    </w:p>
  </w:footnote>
  <w:footnote w:type="continuationSeparator" w:id="0">
    <w:p w:rsidR="0022665C" w:rsidRDefault="0022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99" w:rsidRPr="00643DC3" w:rsidRDefault="00CF7899" w:rsidP="002C745F">
    <w:pPr>
      <w:pStyle w:val="a4"/>
      <w:framePr w:wrap="auto" w:vAnchor="text" w:hAnchor="margin" w:xAlign="center" w:y="1"/>
      <w:rPr>
        <w:rStyle w:val="a6"/>
        <w:rFonts w:ascii="Times New Roman" w:hAnsi="Times New Roman" w:cs="Times New Roman"/>
        <w:sz w:val="28"/>
        <w:szCs w:val="28"/>
      </w:rPr>
    </w:pPr>
    <w:r w:rsidRPr="00643DC3">
      <w:rPr>
        <w:rStyle w:val="a6"/>
        <w:rFonts w:ascii="Times New Roman" w:hAnsi="Times New Roman" w:cs="Times New Roman"/>
        <w:sz w:val="28"/>
        <w:szCs w:val="28"/>
      </w:rPr>
      <w:fldChar w:fldCharType="begin"/>
    </w:r>
    <w:r w:rsidRPr="00643DC3">
      <w:rPr>
        <w:rStyle w:val="a6"/>
        <w:rFonts w:ascii="Times New Roman" w:hAnsi="Times New Roman" w:cs="Times New Roman"/>
        <w:sz w:val="28"/>
        <w:szCs w:val="28"/>
      </w:rPr>
      <w:instrText xml:space="preserve">PAGE  </w:instrText>
    </w:r>
    <w:r w:rsidRPr="00643DC3">
      <w:rPr>
        <w:rStyle w:val="a6"/>
        <w:rFonts w:ascii="Times New Roman" w:hAnsi="Times New Roman" w:cs="Times New Roman"/>
        <w:sz w:val="28"/>
        <w:szCs w:val="28"/>
      </w:rPr>
      <w:fldChar w:fldCharType="separate"/>
    </w:r>
    <w:r w:rsidR="005B4996">
      <w:rPr>
        <w:rStyle w:val="a6"/>
        <w:rFonts w:ascii="Times New Roman" w:hAnsi="Times New Roman" w:cs="Times New Roman"/>
        <w:noProof/>
        <w:sz w:val="28"/>
        <w:szCs w:val="28"/>
      </w:rPr>
      <w:t>6</w:t>
    </w:r>
    <w:r w:rsidRPr="00643DC3">
      <w:rPr>
        <w:rStyle w:val="a6"/>
        <w:rFonts w:ascii="Times New Roman" w:hAnsi="Times New Roman" w:cs="Times New Roman"/>
        <w:sz w:val="28"/>
        <w:szCs w:val="28"/>
      </w:rPr>
      <w:fldChar w:fldCharType="end"/>
    </w:r>
  </w:p>
  <w:p w:rsidR="00CF7899" w:rsidRPr="00322FE8" w:rsidRDefault="00CF7899" w:rsidP="00A23CDA">
    <w:pPr>
      <w:pStyle w:val="a4"/>
      <w:jc w:val="right"/>
      <w:rPr>
        <w:rFonts w:ascii="Times New Roman" w:hAnsi="Times New Roman" w:cs="Times New Roman"/>
        <w:sz w:val="28"/>
        <w:szCs w:val="28"/>
      </w:rPr>
    </w:pPr>
    <w:r w:rsidRPr="00322FE8">
      <w:rPr>
        <w:rFonts w:ascii="Times New Roman" w:hAnsi="Times New Roman" w:cs="Times New Roman"/>
        <w:sz w:val="28"/>
        <w:szCs w:val="28"/>
      </w:rPr>
      <w:t xml:space="preserve">                 </w:t>
    </w:r>
    <w:r>
      <w:rPr>
        <w:rFonts w:ascii="Times New Roman" w:hAnsi="Times New Roman" w:cs="Times New Roman"/>
        <w:sz w:val="28"/>
        <w:szCs w:val="28"/>
      </w:rPr>
      <w:t xml:space="preserve">          </w:t>
    </w:r>
  </w:p>
  <w:p w:rsidR="00CF7899" w:rsidRPr="00C12C0C" w:rsidRDefault="00CF7899">
    <w:pPr>
      <w:pStyle w:val="a4"/>
      <w:rPr>
        <w:rFonts w:ascii="Times New Roman" w:hAnsi="Times New Roman" w:cs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99" w:rsidRDefault="00CF78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B0ACC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F6137A"/>
    <w:multiLevelType w:val="multilevel"/>
    <w:tmpl w:val="60341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62B83"/>
    <w:multiLevelType w:val="hybridMultilevel"/>
    <w:tmpl w:val="20360494"/>
    <w:lvl w:ilvl="0" w:tplc="E976F9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102A5B87"/>
    <w:multiLevelType w:val="hybridMultilevel"/>
    <w:tmpl w:val="1E806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76627"/>
    <w:multiLevelType w:val="hybridMultilevel"/>
    <w:tmpl w:val="67CC8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E13A81"/>
    <w:multiLevelType w:val="hybridMultilevel"/>
    <w:tmpl w:val="AF48F0E8"/>
    <w:lvl w:ilvl="0" w:tplc="C784A4E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F254D11"/>
    <w:multiLevelType w:val="hybridMultilevel"/>
    <w:tmpl w:val="FCDC16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BD1B61"/>
    <w:multiLevelType w:val="hybridMultilevel"/>
    <w:tmpl w:val="944CACE4"/>
    <w:lvl w:ilvl="0" w:tplc="0BECC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335233"/>
    <w:multiLevelType w:val="hybridMultilevel"/>
    <w:tmpl w:val="D81A1070"/>
    <w:lvl w:ilvl="0" w:tplc="31027D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5B082C"/>
    <w:multiLevelType w:val="hybridMultilevel"/>
    <w:tmpl w:val="B7FA86F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954DA4"/>
    <w:multiLevelType w:val="hybridMultilevel"/>
    <w:tmpl w:val="6114AC38"/>
    <w:lvl w:ilvl="0" w:tplc="A08A3882">
      <w:start w:val="5"/>
      <w:numFmt w:val="decimal"/>
      <w:lvlText w:val="%1."/>
      <w:lvlJc w:val="left"/>
      <w:pPr>
        <w:tabs>
          <w:tab w:val="num" w:pos="1073"/>
        </w:tabs>
        <w:ind w:left="10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1">
    <w:nsid w:val="4CD31157"/>
    <w:multiLevelType w:val="hybridMultilevel"/>
    <w:tmpl w:val="29064FD6"/>
    <w:lvl w:ilvl="0" w:tplc="8D88037C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8"/>
  </w:num>
  <w:num w:numId="20">
    <w:abstractNumId w:val="11"/>
  </w:num>
  <w:num w:numId="21">
    <w:abstractNumId w:val="1"/>
  </w:num>
  <w:num w:numId="22">
    <w:abstractNumId w:val="2"/>
  </w:num>
  <w:num w:numId="23">
    <w:abstractNumId w:val="7"/>
  </w:num>
  <w:num w:numId="24">
    <w:abstractNumId w:val="5"/>
  </w:num>
  <w:num w:numId="25">
    <w:abstractNumId w:val="10"/>
  </w:num>
  <w:num w:numId="26">
    <w:abstractNumId w:val="9"/>
  </w:num>
  <w:num w:numId="27">
    <w:abstractNumId w:val="0"/>
  </w:num>
  <w:num w:numId="28">
    <w:abstractNumId w:val="3"/>
  </w:num>
  <w:num w:numId="29">
    <w:abstractNumId w:val="4"/>
  </w:num>
  <w:num w:numId="30">
    <w:abstractNumId w:val="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drawingGridHorizontalSpacing w:val="31"/>
  <w:drawingGridVerticalSpacing w:val="42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998"/>
    <w:rsid w:val="0000174C"/>
    <w:rsid w:val="00002964"/>
    <w:rsid w:val="00002A51"/>
    <w:rsid w:val="00004735"/>
    <w:rsid w:val="0000483F"/>
    <w:rsid w:val="00006069"/>
    <w:rsid w:val="000115C1"/>
    <w:rsid w:val="00011EF0"/>
    <w:rsid w:val="000124BE"/>
    <w:rsid w:val="00012EDE"/>
    <w:rsid w:val="00013246"/>
    <w:rsid w:val="000149AF"/>
    <w:rsid w:val="00015190"/>
    <w:rsid w:val="000161C8"/>
    <w:rsid w:val="00020AB6"/>
    <w:rsid w:val="00021CAD"/>
    <w:rsid w:val="00023616"/>
    <w:rsid w:val="00025124"/>
    <w:rsid w:val="00025254"/>
    <w:rsid w:val="000269C2"/>
    <w:rsid w:val="000269D8"/>
    <w:rsid w:val="00026BB3"/>
    <w:rsid w:val="000313C4"/>
    <w:rsid w:val="00033941"/>
    <w:rsid w:val="00034150"/>
    <w:rsid w:val="0003745F"/>
    <w:rsid w:val="00040BAC"/>
    <w:rsid w:val="00041FD1"/>
    <w:rsid w:val="00042A4F"/>
    <w:rsid w:val="00044C2D"/>
    <w:rsid w:val="00046C35"/>
    <w:rsid w:val="000509C8"/>
    <w:rsid w:val="00051919"/>
    <w:rsid w:val="00055039"/>
    <w:rsid w:val="00055515"/>
    <w:rsid w:val="00055BE3"/>
    <w:rsid w:val="00055D1F"/>
    <w:rsid w:val="00056129"/>
    <w:rsid w:val="00056873"/>
    <w:rsid w:val="00057465"/>
    <w:rsid w:val="00061108"/>
    <w:rsid w:val="00062AA5"/>
    <w:rsid w:val="00062CDA"/>
    <w:rsid w:val="00063236"/>
    <w:rsid w:val="00065281"/>
    <w:rsid w:val="00065DDA"/>
    <w:rsid w:val="00066855"/>
    <w:rsid w:val="000705A2"/>
    <w:rsid w:val="00074891"/>
    <w:rsid w:val="0007566E"/>
    <w:rsid w:val="000757EC"/>
    <w:rsid w:val="00080CAE"/>
    <w:rsid w:val="00082493"/>
    <w:rsid w:val="00085879"/>
    <w:rsid w:val="00087032"/>
    <w:rsid w:val="00091B9A"/>
    <w:rsid w:val="000937C4"/>
    <w:rsid w:val="0009394A"/>
    <w:rsid w:val="00093AB3"/>
    <w:rsid w:val="00095049"/>
    <w:rsid w:val="0009731E"/>
    <w:rsid w:val="000A0419"/>
    <w:rsid w:val="000A0824"/>
    <w:rsid w:val="000A22FE"/>
    <w:rsid w:val="000A252D"/>
    <w:rsid w:val="000A32DB"/>
    <w:rsid w:val="000A3DC3"/>
    <w:rsid w:val="000A4DD8"/>
    <w:rsid w:val="000A78A5"/>
    <w:rsid w:val="000B0190"/>
    <w:rsid w:val="000B0237"/>
    <w:rsid w:val="000B2ABA"/>
    <w:rsid w:val="000B4751"/>
    <w:rsid w:val="000B530C"/>
    <w:rsid w:val="000B6B21"/>
    <w:rsid w:val="000B7C16"/>
    <w:rsid w:val="000C1B4D"/>
    <w:rsid w:val="000C2281"/>
    <w:rsid w:val="000C22BB"/>
    <w:rsid w:val="000C308F"/>
    <w:rsid w:val="000C3573"/>
    <w:rsid w:val="000C4C7B"/>
    <w:rsid w:val="000C6261"/>
    <w:rsid w:val="000D47FC"/>
    <w:rsid w:val="000D4E3A"/>
    <w:rsid w:val="000D5230"/>
    <w:rsid w:val="000D534D"/>
    <w:rsid w:val="000D5383"/>
    <w:rsid w:val="000D6109"/>
    <w:rsid w:val="000D6488"/>
    <w:rsid w:val="000D6518"/>
    <w:rsid w:val="000E142C"/>
    <w:rsid w:val="000E1B79"/>
    <w:rsid w:val="000E1EC6"/>
    <w:rsid w:val="000E2FB9"/>
    <w:rsid w:val="000E5445"/>
    <w:rsid w:val="000E7298"/>
    <w:rsid w:val="000E7B56"/>
    <w:rsid w:val="000F02E5"/>
    <w:rsid w:val="000F2BA5"/>
    <w:rsid w:val="000F2CDF"/>
    <w:rsid w:val="00100AB2"/>
    <w:rsid w:val="00104151"/>
    <w:rsid w:val="001069C1"/>
    <w:rsid w:val="00106A05"/>
    <w:rsid w:val="001072E0"/>
    <w:rsid w:val="00107A8E"/>
    <w:rsid w:val="00107B98"/>
    <w:rsid w:val="001116D4"/>
    <w:rsid w:val="00112D1A"/>
    <w:rsid w:val="00114144"/>
    <w:rsid w:val="00114DC4"/>
    <w:rsid w:val="00115948"/>
    <w:rsid w:val="00117B37"/>
    <w:rsid w:val="00120851"/>
    <w:rsid w:val="00120A96"/>
    <w:rsid w:val="00120F29"/>
    <w:rsid w:val="0012411E"/>
    <w:rsid w:val="00125BDA"/>
    <w:rsid w:val="00126690"/>
    <w:rsid w:val="00126A73"/>
    <w:rsid w:val="001274AE"/>
    <w:rsid w:val="00127A94"/>
    <w:rsid w:val="00130BE9"/>
    <w:rsid w:val="00132212"/>
    <w:rsid w:val="00132364"/>
    <w:rsid w:val="00133557"/>
    <w:rsid w:val="0013405A"/>
    <w:rsid w:val="00135BA2"/>
    <w:rsid w:val="0013625E"/>
    <w:rsid w:val="001374E4"/>
    <w:rsid w:val="001445BA"/>
    <w:rsid w:val="00144618"/>
    <w:rsid w:val="00145ED9"/>
    <w:rsid w:val="001464CC"/>
    <w:rsid w:val="001465BE"/>
    <w:rsid w:val="00146AE3"/>
    <w:rsid w:val="00146D8C"/>
    <w:rsid w:val="001474F3"/>
    <w:rsid w:val="00152161"/>
    <w:rsid w:val="00152C81"/>
    <w:rsid w:val="001544FB"/>
    <w:rsid w:val="00154A8B"/>
    <w:rsid w:val="00155039"/>
    <w:rsid w:val="001569F0"/>
    <w:rsid w:val="001569F6"/>
    <w:rsid w:val="00157F19"/>
    <w:rsid w:val="00160696"/>
    <w:rsid w:val="0016077D"/>
    <w:rsid w:val="0016202A"/>
    <w:rsid w:val="00163DD3"/>
    <w:rsid w:val="00164386"/>
    <w:rsid w:val="0016461F"/>
    <w:rsid w:val="00164B2D"/>
    <w:rsid w:val="00164C8E"/>
    <w:rsid w:val="00164FBA"/>
    <w:rsid w:val="001667D2"/>
    <w:rsid w:val="00166C62"/>
    <w:rsid w:val="00167D73"/>
    <w:rsid w:val="00167DBD"/>
    <w:rsid w:val="00173B6E"/>
    <w:rsid w:val="00173F70"/>
    <w:rsid w:val="00176122"/>
    <w:rsid w:val="001814A4"/>
    <w:rsid w:val="00181635"/>
    <w:rsid w:val="001836E8"/>
    <w:rsid w:val="001840A8"/>
    <w:rsid w:val="00184862"/>
    <w:rsid w:val="00185558"/>
    <w:rsid w:val="00185742"/>
    <w:rsid w:val="001861E0"/>
    <w:rsid w:val="00186582"/>
    <w:rsid w:val="00187052"/>
    <w:rsid w:val="00187E07"/>
    <w:rsid w:val="001902D8"/>
    <w:rsid w:val="00190CF7"/>
    <w:rsid w:val="00192180"/>
    <w:rsid w:val="001929F1"/>
    <w:rsid w:val="00193396"/>
    <w:rsid w:val="00194F88"/>
    <w:rsid w:val="001952C1"/>
    <w:rsid w:val="001952D7"/>
    <w:rsid w:val="00195625"/>
    <w:rsid w:val="00196131"/>
    <w:rsid w:val="00196335"/>
    <w:rsid w:val="001967BF"/>
    <w:rsid w:val="00197704"/>
    <w:rsid w:val="001A00BD"/>
    <w:rsid w:val="001A2B76"/>
    <w:rsid w:val="001A3236"/>
    <w:rsid w:val="001A6C2F"/>
    <w:rsid w:val="001A71D1"/>
    <w:rsid w:val="001B109D"/>
    <w:rsid w:val="001C0CC3"/>
    <w:rsid w:val="001C1714"/>
    <w:rsid w:val="001C2C74"/>
    <w:rsid w:val="001C4BAF"/>
    <w:rsid w:val="001C6414"/>
    <w:rsid w:val="001C68BB"/>
    <w:rsid w:val="001D0010"/>
    <w:rsid w:val="001D0044"/>
    <w:rsid w:val="001D06D5"/>
    <w:rsid w:val="001D095F"/>
    <w:rsid w:val="001D2F04"/>
    <w:rsid w:val="001D31B6"/>
    <w:rsid w:val="001D5442"/>
    <w:rsid w:val="001D5981"/>
    <w:rsid w:val="001D5BD6"/>
    <w:rsid w:val="001D5C51"/>
    <w:rsid w:val="001D6106"/>
    <w:rsid w:val="001E012B"/>
    <w:rsid w:val="001E28F0"/>
    <w:rsid w:val="001E3AFD"/>
    <w:rsid w:val="001E414C"/>
    <w:rsid w:val="001E4270"/>
    <w:rsid w:val="001E500B"/>
    <w:rsid w:val="001E5234"/>
    <w:rsid w:val="001E5B56"/>
    <w:rsid w:val="001E6ECC"/>
    <w:rsid w:val="001F3911"/>
    <w:rsid w:val="00200B61"/>
    <w:rsid w:val="00201605"/>
    <w:rsid w:val="00202235"/>
    <w:rsid w:val="00202C6F"/>
    <w:rsid w:val="00203034"/>
    <w:rsid w:val="0020367D"/>
    <w:rsid w:val="00206120"/>
    <w:rsid w:val="00206162"/>
    <w:rsid w:val="002073A8"/>
    <w:rsid w:val="00210873"/>
    <w:rsid w:val="00210DD9"/>
    <w:rsid w:val="00210ECE"/>
    <w:rsid w:val="002126C9"/>
    <w:rsid w:val="002133F3"/>
    <w:rsid w:val="00213FAE"/>
    <w:rsid w:val="00214322"/>
    <w:rsid w:val="002144BF"/>
    <w:rsid w:val="00217ED4"/>
    <w:rsid w:val="00222446"/>
    <w:rsid w:val="002229BF"/>
    <w:rsid w:val="00222E25"/>
    <w:rsid w:val="0022646C"/>
    <w:rsid w:val="0022665C"/>
    <w:rsid w:val="00231420"/>
    <w:rsid w:val="0023187C"/>
    <w:rsid w:val="0023214F"/>
    <w:rsid w:val="00236C1E"/>
    <w:rsid w:val="002376B3"/>
    <w:rsid w:val="002379E4"/>
    <w:rsid w:val="00240B01"/>
    <w:rsid w:val="00243513"/>
    <w:rsid w:val="00245A39"/>
    <w:rsid w:val="002463E0"/>
    <w:rsid w:val="002475B9"/>
    <w:rsid w:val="00247C2E"/>
    <w:rsid w:val="00251553"/>
    <w:rsid w:val="0025257B"/>
    <w:rsid w:val="00255B0F"/>
    <w:rsid w:val="0025762D"/>
    <w:rsid w:val="002609B4"/>
    <w:rsid w:val="00260E9B"/>
    <w:rsid w:val="002611AA"/>
    <w:rsid w:val="00261F08"/>
    <w:rsid w:val="00263797"/>
    <w:rsid w:val="002645BA"/>
    <w:rsid w:val="00264744"/>
    <w:rsid w:val="00264CD8"/>
    <w:rsid w:val="00265876"/>
    <w:rsid w:val="00266556"/>
    <w:rsid w:val="002676D5"/>
    <w:rsid w:val="00267A11"/>
    <w:rsid w:val="00270A1F"/>
    <w:rsid w:val="00272D61"/>
    <w:rsid w:val="00272E6F"/>
    <w:rsid w:val="00275017"/>
    <w:rsid w:val="0027586A"/>
    <w:rsid w:val="00275C63"/>
    <w:rsid w:val="00276146"/>
    <w:rsid w:val="0027793A"/>
    <w:rsid w:val="00280759"/>
    <w:rsid w:val="002811A2"/>
    <w:rsid w:val="002849C0"/>
    <w:rsid w:val="00284EBC"/>
    <w:rsid w:val="002865CC"/>
    <w:rsid w:val="00290B36"/>
    <w:rsid w:val="0029161D"/>
    <w:rsid w:val="0029183B"/>
    <w:rsid w:val="00295B20"/>
    <w:rsid w:val="00296B12"/>
    <w:rsid w:val="00296BD1"/>
    <w:rsid w:val="002A0108"/>
    <w:rsid w:val="002A1DFF"/>
    <w:rsid w:val="002A1EE2"/>
    <w:rsid w:val="002A331D"/>
    <w:rsid w:val="002A3B69"/>
    <w:rsid w:val="002A3F32"/>
    <w:rsid w:val="002A48F9"/>
    <w:rsid w:val="002A646E"/>
    <w:rsid w:val="002A6CFA"/>
    <w:rsid w:val="002A773C"/>
    <w:rsid w:val="002B07C9"/>
    <w:rsid w:val="002B0E64"/>
    <w:rsid w:val="002B2A50"/>
    <w:rsid w:val="002B456D"/>
    <w:rsid w:val="002B48A1"/>
    <w:rsid w:val="002B6F5D"/>
    <w:rsid w:val="002C228D"/>
    <w:rsid w:val="002C2C4E"/>
    <w:rsid w:val="002C508A"/>
    <w:rsid w:val="002C527A"/>
    <w:rsid w:val="002C67F0"/>
    <w:rsid w:val="002C745F"/>
    <w:rsid w:val="002C7857"/>
    <w:rsid w:val="002C7BC5"/>
    <w:rsid w:val="002C7DD3"/>
    <w:rsid w:val="002C7F1E"/>
    <w:rsid w:val="002D0546"/>
    <w:rsid w:val="002D28EB"/>
    <w:rsid w:val="002D38FB"/>
    <w:rsid w:val="002D3983"/>
    <w:rsid w:val="002D6657"/>
    <w:rsid w:val="002D7869"/>
    <w:rsid w:val="002E0791"/>
    <w:rsid w:val="002E0998"/>
    <w:rsid w:val="002E0BCD"/>
    <w:rsid w:val="002E1493"/>
    <w:rsid w:val="002E18F6"/>
    <w:rsid w:val="002E1965"/>
    <w:rsid w:val="002E1CB9"/>
    <w:rsid w:val="002E1FF8"/>
    <w:rsid w:val="002E264C"/>
    <w:rsid w:val="002E3703"/>
    <w:rsid w:val="002E47BB"/>
    <w:rsid w:val="002E53D9"/>
    <w:rsid w:val="002E65DE"/>
    <w:rsid w:val="002F1266"/>
    <w:rsid w:val="002F14D6"/>
    <w:rsid w:val="002F5F1E"/>
    <w:rsid w:val="002F786D"/>
    <w:rsid w:val="002F7EB1"/>
    <w:rsid w:val="00300828"/>
    <w:rsid w:val="00300B7D"/>
    <w:rsid w:val="003029CB"/>
    <w:rsid w:val="00302A72"/>
    <w:rsid w:val="00302D9C"/>
    <w:rsid w:val="00304680"/>
    <w:rsid w:val="00304D7B"/>
    <w:rsid w:val="00306613"/>
    <w:rsid w:val="00307770"/>
    <w:rsid w:val="0031199F"/>
    <w:rsid w:val="0031450A"/>
    <w:rsid w:val="00315229"/>
    <w:rsid w:val="00315702"/>
    <w:rsid w:val="00316989"/>
    <w:rsid w:val="00320B18"/>
    <w:rsid w:val="00322107"/>
    <w:rsid w:val="00322799"/>
    <w:rsid w:val="00322FE8"/>
    <w:rsid w:val="0032308B"/>
    <w:rsid w:val="00323916"/>
    <w:rsid w:val="00323F3D"/>
    <w:rsid w:val="00324165"/>
    <w:rsid w:val="00324D90"/>
    <w:rsid w:val="00325B63"/>
    <w:rsid w:val="00326CE3"/>
    <w:rsid w:val="0033022F"/>
    <w:rsid w:val="003305F5"/>
    <w:rsid w:val="00330D92"/>
    <w:rsid w:val="00331F37"/>
    <w:rsid w:val="00333EF1"/>
    <w:rsid w:val="00335CDB"/>
    <w:rsid w:val="00335FBE"/>
    <w:rsid w:val="00335FF8"/>
    <w:rsid w:val="00343353"/>
    <w:rsid w:val="0034424C"/>
    <w:rsid w:val="00345F0A"/>
    <w:rsid w:val="00347D5D"/>
    <w:rsid w:val="00352AC2"/>
    <w:rsid w:val="00356D42"/>
    <w:rsid w:val="00360190"/>
    <w:rsid w:val="003618CF"/>
    <w:rsid w:val="003628BF"/>
    <w:rsid w:val="00362CEA"/>
    <w:rsid w:val="00366AA3"/>
    <w:rsid w:val="00367ACF"/>
    <w:rsid w:val="003709C2"/>
    <w:rsid w:val="003729B8"/>
    <w:rsid w:val="003742F9"/>
    <w:rsid w:val="00374517"/>
    <w:rsid w:val="00375F74"/>
    <w:rsid w:val="003765A5"/>
    <w:rsid w:val="003800BF"/>
    <w:rsid w:val="00382190"/>
    <w:rsid w:val="00382792"/>
    <w:rsid w:val="0038364C"/>
    <w:rsid w:val="00384B75"/>
    <w:rsid w:val="00384F37"/>
    <w:rsid w:val="003853D5"/>
    <w:rsid w:val="00387C6A"/>
    <w:rsid w:val="00390456"/>
    <w:rsid w:val="00393B3A"/>
    <w:rsid w:val="003941BF"/>
    <w:rsid w:val="00394594"/>
    <w:rsid w:val="00395FFF"/>
    <w:rsid w:val="0039683F"/>
    <w:rsid w:val="003A04D3"/>
    <w:rsid w:val="003A0871"/>
    <w:rsid w:val="003A0F6F"/>
    <w:rsid w:val="003A2405"/>
    <w:rsid w:val="003A2621"/>
    <w:rsid w:val="003A2F11"/>
    <w:rsid w:val="003A37D5"/>
    <w:rsid w:val="003A6CCC"/>
    <w:rsid w:val="003A7E1F"/>
    <w:rsid w:val="003B11BB"/>
    <w:rsid w:val="003B1888"/>
    <w:rsid w:val="003B233A"/>
    <w:rsid w:val="003B37F1"/>
    <w:rsid w:val="003B417E"/>
    <w:rsid w:val="003B53F8"/>
    <w:rsid w:val="003B5F3C"/>
    <w:rsid w:val="003C2901"/>
    <w:rsid w:val="003C2943"/>
    <w:rsid w:val="003C337F"/>
    <w:rsid w:val="003C3896"/>
    <w:rsid w:val="003C5311"/>
    <w:rsid w:val="003C7D80"/>
    <w:rsid w:val="003D0BF4"/>
    <w:rsid w:val="003D44C2"/>
    <w:rsid w:val="003D4DAF"/>
    <w:rsid w:val="003D4E68"/>
    <w:rsid w:val="003D59B0"/>
    <w:rsid w:val="003E0168"/>
    <w:rsid w:val="003E0F0A"/>
    <w:rsid w:val="003E5312"/>
    <w:rsid w:val="003E5B54"/>
    <w:rsid w:val="003E7928"/>
    <w:rsid w:val="003F06DA"/>
    <w:rsid w:val="003F1184"/>
    <w:rsid w:val="003F12E2"/>
    <w:rsid w:val="003F13E7"/>
    <w:rsid w:val="003F39AB"/>
    <w:rsid w:val="003F4D07"/>
    <w:rsid w:val="003F7E0B"/>
    <w:rsid w:val="00402F75"/>
    <w:rsid w:val="00403139"/>
    <w:rsid w:val="00407793"/>
    <w:rsid w:val="0041071D"/>
    <w:rsid w:val="004111D3"/>
    <w:rsid w:val="00412BC8"/>
    <w:rsid w:val="00413138"/>
    <w:rsid w:val="004131A4"/>
    <w:rsid w:val="004131C6"/>
    <w:rsid w:val="004132AC"/>
    <w:rsid w:val="00415B0C"/>
    <w:rsid w:val="00417E07"/>
    <w:rsid w:val="00423CB1"/>
    <w:rsid w:val="004245F2"/>
    <w:rsid w:val="00425FF2"/>
    <w:rsid w:val="00426D94"/>
    <w:rsid w:val="00430231"/>
    <w:rsid w:val="0043081B"/>
    <w:rsid w:val="00430AEC"/>
    <w:rsid w:val="00430E1E"/>
    <w:rsid w:val="004319D5"/>
    <w:rsid w:val="00436090"/>
    <w:rsid w:val="004411AF"/>
    <w:rsid w:val="00442452"/>
    <w:rsid w:val="00442989"/>
    <w:rsid w:val="00445940"/>
    <w:rsid w:val="00446F25"/>
    <w:rsid w:val="004503EC"/>
    <w:rsid w:val="004519E4"/>
    <w:rsid w:val="00451F92"/>
    <w:rsid w:val="00452C50"/>
    <w:rsid w:val="004534F6"/>
    <w:rsid w:val="00453A9E"/>
    <w:rsid w:val="00454DBE"/>
    <w:rsid w:val="00455429"/>
    <w:rsid w:val="00456CCC"/>
    <w:rsid w:val="004611B3"/>
    <w:rsid w:val="00461397"/>
    <w:rsid w:val="00462021"/>
    <w:rsid w:val="00466143"/>
    <w:rsid w:val="0046632C"/>
    <w:rsid w:val="00466CC6"/>
    <w:rsid w:val="004676B7"/>
    <w:rsid w:val="00470208"/>
    <w:rsid w:val="00470B8B"/>
    <w:rsid w:val="004718B5"/>
    <w:rsid w:val="00472C6C"/>
    <w:rsid w:val="00472EB7"/>
    <w:rsid w:val="00475521"/>
    <w:rsid w:val="00475556"/>
    <w:rsid w:val="00475CC3"/>
    <w:rsid w:val="00476176"/>
    <w:rsid w:val="004776E5"/>
    <w:rsid w:val="00477A8A"/>
    <w:rsid w:val="00480959"/>
    <w:rsid w:val="00481B45"/>
    <w:rsid w:val="00482736"/>
    <w:rsid w:val="004848D3"/>
    <w:rsid w:val="004848D7"/>
    <w:rsid w:val="00484906"/>
    <w:rsid w:val="004872F7"/>
    <w:rsid w:val="004903C6"/>
    <w:rsid w:val="00490ADC"/>
    <w:rsid w:val="00490BBF"/>
    <w:rsid w:val="00491583"/>
    <w:rsid w:val="004951DA"/>
    <w:rsid w:val="0049691A"/>
    <w:rsid w:val="00496F00"/>
    <w:rsid w:val="004976A2"/>
    <w:rsid w:val="004A035D"/>
    <w:rsid w:val="004A4FEC"/>
    <w:rsid w:val="004A6BD7"/>
    <w:rsid w:val="004B0A56"/>
    <w:rsid w:val="004B0D68"/>
    <w:rsid w:val="004B2BE9"/>
    <w:rsid w:val="004B30AD"/>
    <w:rsid w:val="004B37E1"/>
    <w:rsid w:val="004B44C0"/>
    <w:rsid w:val="004B4563"/>
    <w:rsid w:val="004B67BC"/>
    <w:rsid w:val="004B718A"/>
    <w:rsid w:val="004B7896"/>
    <w:rsid w:val="004B78A5"/>
    <w:rsid w:val="004C0383"/>
    <w:rsid w:val="004C230B"/>
    <w:rsid w:val="004C4047"/>
    <w:rsid w:val="004C5EBC"/>
    <w:rsid w:val="004C65E3"/>
    <w:rsid w:val="004D1444"/>
    <w:rsid w:val="004D145D"/>
    <w:rsid w:val="004D1BDF"/>
    <w:rsid w:val="004D2696"/>
    <w:rsid w:val="004D2FDC"/>
    <w:rsid w:val="004D7CA3"/>
    <w:rsid w:val="004E03A6"/>
    <w:rsid w:val="004E1593"/>
    <w:rsid w:val="004E1839"/>
    <w:rsid w:val="004E2C8A"/>
    <w:rsid w:val="004E376A"/>
    <w:rsid w:val="004E3CC2"/>
    <w:rsid w:val="004E3FFF"/>
    <w:rsid w:val="004E546B"/>
    <w:rsid w:val="004E5D42"/>
    <w:rsid w:val="004E65EF"/>
    <w:rsid w:val="004E6A55"/>
    <w:rsid w:val="004E7049"/>
    <w:rsid w:val="004E788D"/>
    <w:rsid w:val="004F05A5"/>
    <w:rsid w:val="004F0977"/>
    <w:rsid w:val="004F29BD"/>
    <w:rsid w:val="004F3267"/>
    <w:rsid w:val="004F5D05"/>
    <w:rsid w:val="004F66E0"/>
    <w:rsid w:val="004F757F"/>
    <w:rsid w:val="00503CA5"/>
    <w:rsid w:val="00504209"/>
    <w:rsid w:val="0050436C"/>
    <w:rsid w:val="005067E9"/>
    <w:rsid w:val="00506D55"/>
    <w:rsid w:val="00507DA1"/>
    <w:rsid w:val="00507FC3"/>
    <w:rsid w:val="00512124"/>
    <w:rsid w:val="00515976"/>
    <w:rsid w:val="00515A9D"/>
    <w:rsid w:val="0051640B"/>
    <w:rsid w:val="0051676C"/>
    <w:rsid w:val="00516985"/>
    <w:rsid w:val="00520A15"/>
    <w:rsid w:val="00521626"/>
    <w:rsid w:val="0052622D"/>
    <w:rsid w:val="00531988"/>
    <w:rsid w:val="0053198C"/>
    <w:rsid w:val="0053292C"/>
    <w:rsid w:val="00532CC6"/>
    <w:rsid w:val="00533A2D"/>
    <w:rsid w:val="00534C3D"/>
    <w:rsid w:val="0053528A"/>
    <w:rsid w:val="005377D4"/>
    <w:rsid w:val="00537B2A"/>
    <w:rsid w:val="00541078"/>
    <w:rsid w:val="00542B19"/>
    <w:rsid w:val="00543FD2"/>
    <w:rsid w:val="00545858"/>
    <w:rsid w:val="00546632"/>
    <w:rsid w:val="00551EB5"/>
    <w:rsid w:val="00552F51"/>
    <w:rsid w:val="00553598"/>
    <w:rsid w:val="00554210"/>
    <w:rsid w:val="00554AE6"/>
    <w:rsid w:val="00556783"/>
    <w:rsid w:val="005568E9"/>
    <w:rsid w:val="005569BB"/>
    <w:rsid w:val="00556E80"/>
    <w:rsid w:val="00556F31"/>
    <w:rsid w:val="005576BF"/>
    <w:rsid w:val="00557DCF"/>
    <w:rsid w:val="00560DB2"/>
    <w:rsid w:val="005648F4"/>
    <w:rsid w:val="00565AC5"/>
    <w:rsid w:val="00566A2A"/>
    <w:rsid w:val="00566A78"/>
    <w:rsid w:val="00570299"/>
    <w:rsid w:val="00571429"/>
    <w:rsid w:val="00573A9C"/>
    <w:rsid w:val="00574D6E"/>
    <w:rsid w:val="005751FD"/>
    <w:rsid w:val="00575896"/>
    <w:rsid w:val="00575B58"/>
    <w:rsid w:val="00576308"/>
    <w:rsid w:val="005773A1"/>
    <w:rsid w:val="00580BF8"/>
    <w:rsid w:val="00581023"/>
    <w:rsid w:val="00583911"/>
    <w:rsid w:val="00585224"/>
    <w:rsid w:val="005868A4"/>
    <w:rsid w:val="00586FBE"/>
    <w:rsid w:val="00591F4E"/>
    <w:rsid w:val="0059224F"/>
    <w:rsid w:val="00592E00"/>
    <w:rsid w:val="005942DE"/>
    <w:rsid w:val="005947F4"/>
    <w:rsid w:val="00596CE7"/>
    <w:rsid w:val="0059702A"/>
    <w:rsid w:val="0059709E"/>
    <w:rsid w:val="005A1AD3"/>
    <w:rsid w:val="005A5EEA"/>
    <w:rsid w:val="005A616E"/>
    <w:rsid w:val="005A63DA"/>
    <w:rsid w:val="005A732D"/>
    <w:rsid w:val="005A7684"/>
    <w:rsid w:val="005A7868"/>
    <w:rsid w:val="005B28E5"/>
    <w:rsid w:val="005B2953"/>
    <w:rsid w:val="005B4996"/>
    <w:rsid w:val="005B4998"/>
    <w:rsid w:val="005B63D0"/>
    <w:rsid w:val="005B70D3"/>
    <w:rsid w:val="005C0341"/>
    <w:rsid w:val="005C11A6"/>
    <w:rsid w:val="005C179B"/>
    <w:rsid w:val="005C2348"/>
    <w:rsid w:val="005C2AFA"/>
    <w:rsid w:val="005C2C64"/>
    <w:rsid w:val="005C7405"/>
    <w:rsid w:val="005C782B"/>
    <w:rsid w:val="005C7C76"/>
    <w:rsid w:val="005D189F"/>
    <w:rsid w:val="005D1B47"/>
    <w:rsid w:val="005D40DC"/>
    <w:rsid w:val="005D4740"/>
    <w:rsid w:val="005D4997"/>
    <w:rsid w:val="005D4AA2"/>
    <w:rsid w:val="005D693F"/>
    <w:rsid w:val="005D7660"/>
    <w:rsid w:val="005E0245"/>
    <w:rsid w:val="005E1D35"/>
    <w:rsid w:val="005E1F2B"/>
    <w:rsid w:val="005E219A"/>
    <w:rsid w:val="005E2759"/>
    <w:rsid w:val="005E3891"/>
    <w:rsid w:val="005E4251"/>
    <w:rsid w:val="005E6C74"/>
    <w:rsid w:val="005E6D97"/>
    <w:rsid w:val="005E71D4"/>
    <w:rsid w:val="005F247A"/>
    <w:rsid w:val="005F2E56"/>
    <w:rsid w:val="005F3F5B"/>
    <w:rsid w:val="005F6BEF"/>
    <w:rsid w:val="005F702C"/>
    <w:rsid w:val="005F7C97"/>
    <w:rsid w:val="00600188"/>
    <w:rsid w:val="00601DA6"/>
    <w:rsid w:val="00602F48"/>
    <w:rsid w:val="00607714"/>
    <w:rsid w:val="006115A6"/>
    <w:rsid w:val="006115BD"/>
    <w:rsid w:val="00616922"/>
    <w:rsid w:val="00616FC4"/>
    <w:rsid w:val="006217F8"/>
    <w:rsid w:val="00621DE4"/>
    <w:rsid w:val="006233FE"/>
    <w:rsid w:val="00626F73"/>
    <w:rsid w:val="00630266"/>
    <w:rsid w:val="00630D68"/>
    <w:rsid w:val="00631929"/>
    <w:rsid w:val="00633830"/>
    <w:rsid w:val="00634609"/>
    <w:rsid w:val="00634FFA"/>
    <w:rsid w:val="00635278"/>
    <w:rsid w:val="00637F6C"/>
    <w:rsid w:val="006423EE"/>
    <w:rsid w:val="006428ED"/>
    <w:rsid w:val="00643DC3"/>
    <w:rsid w:val="00644624"/>
    <w:rsid w:val="0064494B"/>
    <w:rsid w:val="00645740"/>
    <w:rsid w:val="00646267"/>
    <w:rsid w:val="00647873"/>
    <w:rsid w:val="00647989"/>
    <w:rsid w:val="00650C56"/>
    <w:rsid w:val="00650C76"/>
    <w:rsid w:val="006529DB"/>
    <w:rsid w:val="00654207"/>
    <w:rsid w:val="00655CE6"/>
    <w:rsid w:val="00656D9B"/>
    <w:rsid w:val="00657915"/>
    <w:rsid w:val="0066149E"/>
    <w:rsid w:val="006621BA"/>
    <w:rsid w:val="0066242A"/>
    <w:rsid w:val="00665961"/>
    <w:rsid w:val="00667479"/>
    <w:rsid w:val="00670AFB"/>
    <w:rsid w:val="00672C8E"/>
    <w:rsid w:val="00674E11"/>
    <w:rsid w:val="00675589"/>
    <w:rsid w:val="00682952"/>
    <w:rsid w:val="006832E5"/>
    <w:rsid w:val="006844DF"/>
    <w:rsid w:val="00684F72"/>
    <w:rsid w:val="00685827"/>
    <w:rsid w:val="00686178"/>
    <w:rsid w:val="00686A33"/>
    <w:rsid w:val="00686F01"/>
    <w:rsid w:val="006875ED"/>
    <w:rsid w:val="006905A3"/>
    <w:rsid w:val="0069111D"/>
    <w:rsid w:val="00691613"/>
    <w:rsid w:val="00691EA4"/>
    <w:rsid w:val="0069211B"/>
    <w:rsid w:val="00693A6F"/>
    <w:rsid w:val="00693F52"/>
    <w:rsid w:val="00694D82"/>
    <w:rsid w:val="006954E6"/>
    <w:rsid w:val="006973AF"/>
    <w:rsid w:val="006A0F0D"/>
    <w:rsid w:val="006A1AF3"/>
    <w:rsid w:val="006A286B"/>
    <w:rsid w:val="006A3AE2"/>
    <w:rsid w:val="006A46F7"/>
    <w:rsid w:val="006A4737"/>
    <w:rsid w:val="006A4FC2"/>
    <w:rsid w:val="006A53D5"/>
    <w:rsid w:val="006A5468"/>
    <w:rsid w:val="006A6348"/>
    <w:rsid w:val="006A678E"/>
    <w:rsid w:val="006B2793"/>
    <w:rsid w:val="006B4014"/>
    <w:rsid w:val="006B76E9"/>
    <w:rsid w:val="006B79AA"/>
    <w:rsid w:val="006B7BB8"/>
    <w:rsid w:val="006B7D5F"/>
    <w:rsid w:val="006C00F3"/>
    <w:rsid w:val="006C2368"/>
    <w:rsid w:val="006C25F2"/>
    <w:rsid w:val="006C5B79"/>
    <w:rsid w:val="006D015F"/>
    <w:rsid w:val="006D1E1F"/>
    <w:rsid w:val="006D48ED"/>
    <w:rsid w:val="006D5071"/>
    <w:rsid w:val="006D5CB7"/>
    <w:rsid w:val="006D63C0"/>
    <w:rsid w:val="006D7A21"/>
    <w:rsid w:val="006E24CF"/>
    <w:rsid w:val="006E4105"/>
    <w:rsid w:val="006E4472"/>
    <w:rsid w:val="006E5051"/>
    <w:rsid w:val="006E6EB3"/>
    <w:rsid w:val="006F0329"/>
    <w:rsid w:val="006F26A6"/>
    <w:rsid w:val="006F2C80"/>
    <w:rsid w:val="006F4D4F"/>
    <w:rsid w:val="006F57E1"/>
    <w:rsid w:val="006F5E46"/>
    <w:rsid w:val="007001E3"/>
    <w:rsid w:val="007005F5"/>
    <w:rsid w:val="007023D0"/>
    <w:rsid w:val="00703C27"/>
    <w:rsid w:val="0070575B"/>
    <w:rsid w:val="00705935"/>
    <w:rsid w:val="00707ECA"/>
    <w:rsid w:val="00711AA7"/>
    <w:rsid w:val="0071203E"/>
    <w:rsid w:val="00712C66"/>
    <w:rsid w:val="00713510"/>
    <w:rsid w:val="00715728"/>
    <w:rsid w:val="00715E3F"/>
    <w:rsid w:val="00716C84"/>
    <w:rsid w:val="00721C38"/>
    <w:rsid w:val="007222C7"/>
    <w:rsid w:val="0072346F"/>
    <w:rsid w:val="0072396F"/>
    <w:rsid w:val="0072399F"/>
    <w:rsid w:val="00724C83"/>
    <w:rsid w:val="0072661B"/>
    <w:rsid w:val="00726956"/>
    <w:rsid w:val="00727C7F"/>
    <w:rsid w:val="0073041B"/>
    <w:rsid w:val="0073060C"/>
    <w:rsid w:val="0073190D"/>
    <w:rsid w:val="00731CF7"/>
    <w:rsid w:val="00732746"/>
    <w:rsid w:val="007345DC"/>
    <w:rsid w:val="00734873"/>
    <w:rsid w:val="00734887"/>
    <w:rsid w:val="007353D3"/>
    <w:rsid w:val="007361FC"/>
    <w:rsid w:val="007362D2"/>
    <w:rsid w:val="00736A43"/>
    <w:rsid w:val="00741520"/>
    <w:rsid w:val="00741C26"/>
    <w:rsid w:val="00743717"/>
    <w:rsid w:val="00744F02"/>
    <w:rsid w:val="00745DCC"/>
    <w:rsid w:val="00750280"/>
    <w:rsid w:val="0075059B"/>
    <w:rsid w:val="00751705"/>
    <w:rsid w:val="00754AC2"/>
    <w:rsid w:val="00754BAD"/>
    <w:rsid w:val="007554A0"/>
    <w:rsid w:val="007558B3"/>
    <w:rsid w:val="0075675B"/>
    <w:rsid w:val="00756E3D"/>
    <w:rsid w:val="00757246"/>
    <w:rsid w:val="007572C8"/>
    <w:rsid w:val="007575B3"/>
    <w:rsid w:val="007600F5"/>
    <w:rsid w:val="007618CC"/>
    <w:rsid w:val="00763CC1"/>
    <w:rsid w:val="00764723"/>
    <w:rsid w:val="0076615A"/>
    <w:rsid w:val="0077013B"/>
    <w:rsid w:val="00770A9E"/>
    <w:rsid w:val="00772277"/>
    <w:rsid w:val="0077313D"/>
    <w:rsid w:val="007731FE"/>
    <w:rsid w:val="007777C4"/>
    <w:rsid w:val="007822B8"/>
    <w:rsid w:val="00784072"/>
    <w:rsid w:val="00784A55"/>
    <w:rsid w:val="0078768A"/>
    <w:rsid w:val="00792890"/>
    <w:rsid w:val="00792CD0"/>
    <w:rsid w:val="00793292"/>
    <w:rsid w:val="00794EAC"/>
    <w:rsid w:val="00795BCD"/>
    <w:rsid w:val="0079777C"/>
    <w:rsid w:val="007A2653"/>
    <w:rsid w:val="007A47C9"/>
    <w:rsid w:val="007A6004"/>
    <w:rsid w:val="007A6718"/>
    <w:rsid w:val="007B07E8"/>
    <w:rsid w:val="007B0A51"/>
    <w:rsid w:val="007B117A"/>
    <w:rsid w:val="007B1758"/>
    <w:rsid w:val="007B17DA"/>
    <w:rsid w:val="007B2156"/>
    <w:rsid w:val="007B2989"/>
    <w:rsid w:val="007B2A2E"/>
    <w:rsid w:val="007B55DE"/>
    <w:rsid w:val="007B6E4A"/>
    <w:rsid w:val="007C032D"/>
    <w:rsid w:val="007C19C4"/>
    <w:rsid w:val="007C1F16"/>
    <w:rsid w:val="007C61DD"/>
    <w:rsid w:val="007C76A9"/>
    <w:rsid w:val="007D12F0"/>
    <w:rsid w:val="007D1A0C"/>
    <w:rsid w:val="007D1D4A"/>
    <w:rsid w:val="007D48F8"/>
    <w:rsid w:val="007D6CB6"/>
    <w:rsid w:val="007D7EEC"/>
    <w:rsid w:val="007E0D7D"/>
    <w:rsid w:val="007E10C2"/>
    <w:rsid w:val="007E16CF"/>
    <w:rsid w:val="007E184A"/>
    <w:rsid w:val="007E5045"/>
    <w:rsid w:val="007F05FD"/>
    <w:rsid w:val="007F0FBD"/>
    <w:rsid w:val="007F1A50"/>
    <w:rsid w:val="007F2E2F"/>
    <w:rsid w:val="007F4495"/>
    <w:rsid w:val="007F6A62"/>
    <w:rsid w:val="00802902"/>
    <w:rsid w:val="00804092"/>
    <w:rsid w:val="008051EA"/>
    <w:rsid w:val="008052E1"/>
    <w:rsid w:val="008055F6"/>
    <w:rsid w:val="00805BF2"/>
    <w:rsid w:val="008076C8"/>
    <w:rsid w:val="008101B2"/>
    <w:rsid w:val="0081049F"/>
    <w:rsid w:val="00810C00"/>
    <w:rsid w:val="00812DA2"/>
    <w:rsid w:val="008132B4"/>
    <w:rsid w:val="0081368C"/>
    <w:rsid w:val="008141B5"/>
    <w:rsid w:val="00814EE7"/>
    <w:rsid w:val="00815557"/>
    <w:rsid w:val="00815E4E"/>
    <w:rsid w:val="008177B5"/>
    <w:rsid w:val="00817DF8"/>
    <w:rsid w:val="00820650"/>
    <w:rsid w:val="00822679"/>
    <w:rsid w:val="0082486C"/>
    <w:rsid w:val="00824946"/>
    <w:rsid w:val="00824E79"/>
    <w:rsid w:val="00825538"/>
    <w:rsid w:val="0082679E"/>
    <w:rsid w:val="00827105"/>
    <w:rsid w:val="0082711A"/>
    <w:rsid w:val="00827FF3"/>
    <w:rsid w:val="008307D5"/>
    <w:rsid w:val="00831EB6"/>
    <w:rsid w:val="00836553"/>
    <w:rsid w:val="008401DE"/>
    <w:rsid w:val="0084042C"/>
    <w:rsid w:val="00840951"/>
    <w:rsid w:val="0084247E"/>
    <w:rsid w:val="008439FE"/>
    <w:rsid w:val="008445AA"/>
    <w:rsid w:val="00845E78"/>
    <w:rsid w:val="00852B62"/>
    <w:rsid w:val="00853797"/>
    <w:rsid w:val="008537EF"/>
    <w:rsid w:val="00855D5F"/>
    <w:rsid w:val="00856A03"/>
    <w:rsid w:val="00862DA6"/>
    <w:rsid w:val="00864AA9"/>
    <w:rsid w:val="00866C75"/>
    <w:rsid w:val="00866DCB"/>
    <w:rsid w:val="00867A62"/>
    <w:rsid w:val="00871BC7"/>
    <w:rsid w:val="0087217F"/>
    <w:rsid w:val="0087319A"/>
    <w:rsid w:val="00873568"/>
    <w:rsid w:val="008748FD"/>
    <w:rsid w:val="00875E4B"/>
    <w:rsid w:val="0087619C"/>
    <w:rsid w:val="00876ACA"/>
    <w:rsid w:val="0087708C"/>
    <w:rsid w:val="00877CF0"/>
    <w:rsid w:val="00880855"/>
    <w:rsid w:val="00880F78"/>
    <w:rsid w:val="00882E3A"/>
    <w:rsid w:val="00886AED"/>
    <w:rsid w:val="00887E6B"/>
    <w:rsid w:val="008901A0"/>
    <w:rsid w:val="0089047F"/>
    <w:rsid w:val="00892013"/>
    <w:rsid w:val="008920FA"/>
    <w:rsid w:val="0089578F"/>
    <w:rsid w:val="00897E41"/>
    <w:rsid w:val="008A278E"/>
    <w:rsid w:val="008A3870"/>
    <w:rsid w:val="008A4360"/>
    <w:rsid w:val="008A5C25"/>
    <w:rsid w:val="008A68E7"/>
    <w:rsid w:val="008A6F2F"/>
    <w:rsid w:val="008A7D94"/>
    <w:rsid w:val="008B047D"/>
    <w:rsid w:val="008B1399"/>
    <w:rsid w:val="008B1F74"/>
    <w:rsid w:val="008B2018"/>
    <w:rsid w:val="008B2D27"/>
    <w:rsid w:val="008B40DA"/>
    <w:rsid w:val="008B654F"/>
    <w:rsid w:val="008B6EAB"/>
    <w:rsid w:val="008C1BC4"/>
    <w:rsid w:val="008C36F1"/>
    <w:rsid w:val="008C5720"/>
    <w:rsid w:val="008C7337"/>
    <w:rsid w:val="008C7BEA"/>
    <w:rsid w:val="008D0B15"/>
    <w:rsid w:val="008D16A7"/>
    <w:rsid w:val="008D2D0E"/>
    <w:rsid w:val="008D3071"/>
    <w:rsid w:val="008D53FF"/>
    <w:rsid w:val="008D7B82"/>
    <w:rsid w:val="008D7E8E"/>
    <w:rsid w:val="008E0455"/>
    <w:rsid w:val="008E09A1"/>
    <w:rsid w:val="008E0B40"/>
    <w:rsid w:val="008E0B8B"/>
    <w:rsid w:val="008E18B1"/>
    <w:rsid w:val="008E2D18"/>
    <w:rsid w:val="008E3111"/>
    <w:rsid w:val="008E3783"/>
    <w:rsid w:val="008E74DD"/>
    <w:rsid w:val="008E7D32"/>
    <w:rsid w:val="008F0098"/>
    <w:rsid w:val="008F06AF"/>
    <w:rsid w:val="008F0773"/>
    <w:rsid w:val="008F669E"/>
    <w:rsid w:val="008F6A96"/>
    <w:rsid w:val="008F7BFC"/>
    <w:rsid w:val="009008CF"/>
    <w:rsid w:val="00902FD5"/>
    <w:rsid w:val="00903D93"/>
    <w:rsid w:val="00904D5D"/>
    <w:rsid w:val="00906892"/>
    <w:rsid w:val="00907BB3"/>
    <w:rsid w:val="0091073E"/>
    <w:rsid w:val="009121CA"/>
    <w:rsid w:val="00913724"/>
    <w:rsid w:val="009139D6"/>
    <w:rsid w:val="00913DD6"/>
    <w:rsid w:val="00914620"/>
    <w:rsid w:val="00914943"/>
    <w:rsid w:val="009149A2"/>
    <w:rsid w:val="009164C4"/>
    <w:rsid w:val="00920254"/>
    <w:rsid w:val="009204FF"/>
    <w:rsid w:val="00924FEF"/>
    <w:rsid w:val="00926E65"/>
    <w:rsid w:val="00927064"/>
    <w:rsid w:val="009315C4"/>
    <w:rsid w:val="009326C2"/>
    <w:rsid w:val="00932B21"/>
    <w:rsid w:val="00933892"/>
    <w:rsid w:val="00933A07"/>
    <w:rsid w:val="00934C74"/>
    <w:rsid w:val="00936CFA"/>
    <w:rsid w:val="00936E49"/>
    <w:rsid w:val="009428DC"/>
    <w:rsid w:val="00942E5C"/>
    <w:rsid w:val="0094581D"/>
    <w:rsid w:val="00945A35"/>
    <w:rsid w:val="00945F59"/>
    <w:rsid w:val="0094615D"/>
    <w:rsid w:val="00947CB1"/>
    <w:rsid w:val="009503C5"/>
    <w:rsid w:val="009506C7"/>
    <w:rsid w:val="009537E8"/>
    <w:rsid w:val="00955ED8"/>
    <w:rsid w:val="00956624"/>
    <w:rsid w:val="00956CAD"/>
    <w:rsid w:val="009572C7"/>
    <w:rsid w:val="009575E1"/>
    <w:rsid w:val="00957FDE"/>
    <w:rsid w:val="009612D6"/>
    <w:rsid w:val="009629DC"/>
    <w:rsid w:val="00963C0C"/>
    <w:rsid w:val="00966BB4"/>
    <w:rsid w:val="009670A8"/>
    <w:rsid w:val="00967B3F"/>
    <w:rsid w:val="00967B93"/>
    <w:rsid w:val="009721C5"/>
    <w:rsid w:val="00972ACB"/>
    <w:rsid w:val="00973000"/>
    <w:rsid w:val="009779EA"/>
    <w:rsid w:val="009814FF"/>
    <w:rsid w:val="00981DB3"/>
    <w:rsid w:val="00982EB5"/>
    <w:rsid w:val="009847BE"/>
    <w:rsid w:val="009866A0"/>
    <w:rsid w:val="009873E2"/>
    <w:rsid w:val="009913C2"/>
    <w:rsid w:val="009914C7"/>
    <w:rsid w:val="00991EA9"/>
    <w:rsid w:val="0099206F"/>
    <w:rsid w:val="00992DF1"/>
    <w:rsid w:val="00992E21"/>
    <w:rsid w:val="00994AE1"/>
    <w:rsid w:val="00995CE5"/>
    <w:rsid w:val="00997A34"/>
    <w:rsid w:val="009A1C09"/>
    <w:rsid w:val="009A25E1"/>
    <w:rsid w:val="009A2EA0"/>
    <w:rsid w:val="009A3054"/>
    <w:rsid w:val="009A3379"/>
    <w:rsid w:val="009A3C39"/>
    <w:rsid w:val="009A4EAE"/>
    <w:rsid w:val="009A63B6"/>
    <w:rsid w:val="009A6FFF"/>
    <w:rsid w:val="009B0F82"/>
    <w:rsid w:val="009B1630"/>
    <w:rsid w:val="009B2996"/>
    <w:rsid w:val="009B3010"/>
    <w:rsid w:val="009B571E"/>
    <w:rsid w:val="009B57D5"/>
    <w:rsid w:val="009B5943"/>
    <w:rsid w:val="009B67A2"/>
    <w:rsid w:val="009B699A"/>
    <w:rsid w:val="009B71E9"/>
    <w:rsid w:val="009B75B6"/>
    <w:rsid w:val="009B7E65"/>
    <w:rsid w:val="009C010E"/>
    <w:rsid w:val="009C04F1"/>
    <w:rsid w:val="009C109F"/>
    <w:rsid w:val="009C1465"/>
    <w:rsid w:val="009C1BB8"/>
    <w:rsid w:val="009C2884"/>
    <w:rsid w:val="009C311C"/>
    <w:rsid w:val="009C3521"/>
    <w:rsid w:val="009C5467"/>
    <w:rsid w:val="009C69C3"/>
    <w:rsid w:val="009C71F8"/>
    <w:rsid w:val="009D120D"/>
    <w:rsid w:val="009D1A5E"/>
    <w:rsid w:val="009D291E"/>
    <w:rsid w:val="009D3016"/>
    <w:rsid w:val="009D419C"/>
    <w:rsid w:val="009E0412"/>
    <w:rsid w:val="009E0CF2"/>
    <w:rsid w:val="009E2532"/>
    <w:rsid w:val="009E2677"/>
    <w:rsid w:val="009E2D9D"/>
    <w:rsid w:val="009E39D0"/>
    <w:rsid w:val="009E593C"/>
    <w:rsid w:val="009E5A5C"/>
    <w:rsid w:val="009E6C89"/>
    <w:rsid w:val="009E7E23"/>
    <w:rsid w:val="009F0464"/>
    <w:rsid w:val="009F137D"/>
    <w:rsid w:val="009F2556"/>
    <w:rsid w:val="009F389A"/>
    <w:rsid w:val="009F4321"/>
    <w:rsid w:val="009F6631"/>
    <w:rsid w:val="009F7181"/>
    <w:rsid w:val="00A01A53"/>
    <w:rsid w:val="00A0562E"/>
    <w:rsid w:val="00A05FBE"/>
    <w:rsid w:val="00A07487"/>
    <w:rsid w:val="00A07763"/>
    <w:rsid w:val="00A100C4"/>
    <w:rsid w:val="00A1040E"/>
    <w:rsid w:val="00A22113"/>
    <w:rsid w:val="00A226FC"/>
    <w:rsid w:val="00A23309"/>
    <w:rsid w:val="00A23367"/>
    <w:rsid w:val="00A23CDA"/>
    <w:rsid w:val="00A24BCB"/>
    <w:rsid w:val="00A3044F"/>
    <w:rsid w:val="00A3405D"/>
    <w:rsid w:val="00A34C57"/>
    <w:rsid w:val="00A36EDE"/>
    <w:rsid w:val="00A37A57"/>
    <w:rsid w:val="00A37CED"/>
    <w:rsid w:val="00A37D4B"/>
    <w:rsid w:val="00A40206"/>
    <w:rsid w:val="00A40AFC"/>
    <w:rsid w:val="00A4173E"/>
    <w:rsid w:val="00A420C1"/>
    <w:rsid w:val="00A42EDA"/>
    <w:rsid w:val="00A43C0C"/>
    <w:rsid w:val="00A4427C"/>
    <w:rsid w:val="00A467A8"/>
    <w:rsid w:val="00A4733C"/>
    <w:rsid w:val="00A5213E"/>
    <w:rsid w:val="00A5376E"/>
    <w:rsid w:val="00A541A9"/>
    <w:rsid w:val="00A54F41"/>
    <w:rsid w:val="00A557AE"/>
    <w:rsid w:val="00A55C1C"/>
    <w:rsid w:val="00A566F3"/>
    <w:rsid w:val="00A56C32"/>
    <w:rsid w:val="00A5725A"/>
    <w:rsid w:val="00A57520"/>
    <w:rsid w:val="00A60DAB"/>
    <w:rsid w:val="00A60F60"/>
    <w:rsid w:val="00A6165F"/>
    <w:rsid w:val="00A62C3C"/>
    <w:rsid w:val="00A643D3"/>
    <w:rsid w:val="00A649BB"/>
    <w:rsid w:val="00A657AC"/>
    <w:rsid w:val="00A672C2"/>
    <w:rsid w:val="00A6755E"/>
    <w:rsid w:val="00A70309"/>
    <w:rsid w:val="00A70A77"/>
    <w:rsid w:val="00A73009"/>
    <w:rsid w:val="00A730C2"/>
    <w:rsid w:val="00A73D87"/>
    <w:rsid w:val="00A73D96"/>
    <w:rsid w:val="00A76014"/>
    <w:rsid w:val="00A7623C"/>
    <w:rsid w:val="00A76D48"/>
    <w:rsid w:val="00A817C5"/>
    <w:rsid w:val="00A84140"/>
    <w:rsid w:val="00A848BE"/>
    <w:rsid w:val="00A84B15"/>
    <w:rsid w:val="00A84C5C"/>
    <w:rsid w:val="00A85443"/>
    <w:rsid w:val="00A869D7"/>
    <w:rsid w:val="00A87873"/>
    <w:rsid w:val="00A9167C"/>
    <w:rsid w:val="00A91B6F"/>
    <w:rsid w:val="00A93A3C"/>
    <w:rsid w:val="00A9615E"/>
    <w:rsid w:val="00AA5D9A"/>
    <w:rsid w:val="00AA7587"/>
    <w:rsid w:val="00AB20E6"/>
    <w:rsid w:val="00AB35F3"/>
    <w:rsid w:val="00AB36D5"/>
    <w:rsid w:val="00AB43F1"/>
    <w:rsid w:val="00AB488E"/>
    <w:rsid w:val="00AC1007"/>
    <w:rsid w:val="00AC1094"/>
    <w:rsid w:val="00AC1C44"/>
    <w:rsid w:val="00AC23ED"/>
    <w:rsid w:val="00AC2F99"/>
    <w:rsid w:val="00AC318B"/>
    <w:rsid w:val="00AC3269"/>
    <w:rsid w:val="00AC57BB"/>
    <w:rsid w:val="00AD00D4"/>
    <w:rsid w:val="00AD085E"/>
    <w:rsid w:val="00AD3E36"/>
    <w:rsid w:val="00AD3E63"/>
    <w:rsid w:val="00AD4052"/>
    <w:rsid w:val="00AD533F"/>
    <w:rsid w:val="00AD7FF7"/>
    <w:rsid w:val="00AE1133"/>
    <w:rsid w:val="00AE19CA"/>
    <w:rsid w:val="00AE1CC7"/>
    <w:rsid w:val="00AE1CFF"/>
    <w:rsid w:val="00AE2466"/>
    <w:rsid w:val="00AE3885"/>
    <w:rsid w:val="00AE4794"/>
    <w:rsid w:val="00AE604C"/>
    <w:rsid w:val="00AE764B"/>
    <w:rsid w:val="00AE7C44"/>
    <w:rsid w:val="00AF04A5"/>
    <w:rsid w:val="00AF4C93"/>
    <w:rsid w:val="00AF6D40"/>
    <w:rsid w:val="00AF7533"/>
    <w:rsid w:val="00AF7B05"/>
    <w:rsid w:val="00B00CD0"/>
    <w:rsid w:val="00B01001"/>
    <w:rsid w:val="00B01054"/>
    <w:rsid w:val="00B017A5"/>
    <w:rsid w:val="00B036D8"/>
    <w:rsid w:val="00B049B4"/>
    <w:rsid w:val="00B05060"/>
    <w:rsid w:val="00B05463"/>
    <w:rsid w:val="00B1096D"/>
    <w:rsid w:val="00B11066"/>
    <w:rsid w:val="00B11D60"/>
    <w:rsid w:val="00B11DF7"/>
    <w:rsid w:val="00B12EF9"/>
    <w:rsid w:val="00B13209"/>
    <w:rsid w:val="00B14D65"/>
    <w:rsid w:val="00B154DB"/>
    <w:rsid w:val="00B15E76"/>
    <w:rsid w:val="00B17C41"/>
    <w:rsid w:val="00B207AD"/>
    <w:rsid w:val="00B20F58"/>
    <w:rsid w:val="00B213C9"/>
    <w:rsid w:val="00B21D50"/>
    <w:rsid w:val="00B21E49"/>
    <w:rsid w:val="00B22536"/>
    <w:rsid w:val="00B23C76"/>
    <w:rsid w:val="00B25264"/>
    <w:rsid w:val="00B2592F"/>
    <w:rsid w:val="00B26579"/>
    <w:rsid w:val="00B2722E"/>
    <w:rsid w:val="00B303FD"/>
    <w:rsid w:val="00B30445"/>
    <w:rsid w:val="00B3294C"/>
    <w:rsid w:val="00B34722"/>
    <w:rsid w:val="00B362DE"/>
    <w:rsid w:val="00B406B3"/>
    <w:rsid w:val="00B41140"/>
    <w:rsid w:val="00B43A65"/>
    <w:rsid w:val="00B45F8E"/>
    <w:rsid w:val="00B46405"/>
    <w:rsid w:val="00B50BB1"/>
    <w:rsid w:val="00B521CE"/>
    <w:rsid w:val="00B527EE"/>
    <w:rsid w:val="00B53914"/>
    <w:rsid w:val="00B53B91"/>
    <w:rsid w:val="00B54D54"/>
    <w:rsid w:val="00B552AB"/>
    <w:rsid w:val="00B55733"/>
    <w:rsid w:val="00B570CA"/>
    <w:rsid w:val="00B60766"/>
    <w:rsid w:val="00B62974"/>
    <w:rsid w:val="00B650CC"/>
    <w:rsid w:val="00B65872"/>
    <w:rsid w:val="00B65E45"/>
    <w:rsid w:val="00B67FC7"/>
    <w:rsid w:val="00B71203"/>
    <w:rsid w:val="00B71406"/>
    <w:rsid w:val="00B729EB"/>
    <w:rsid w:val="00B73315"/>
    <w:rsid w:val="00B7384F"/>
    <w:rsid w:val="00B7400D"/>
    <w:rsid w:val="00B7592F"/>
    <w:rsid w:val="00B75ABA"/>
    <w:rsid w:val="00B75DB2"/>
    <w:rsid w:val="00B76D12"/>
    <w:rsid w:val="00B80792"/>
    <w:rsid w:val="00B845A6"/>
    <w:rsid w:val="00B84AE3"/>
    <w:rsid w:val="00B85198"/>
    <w:rsid w:val="00B85482"/>
    <w:rsid w:val="00B862CC"/>
    <w:rsid w:val="00B871F7"/>
    <w:rsid w:val="00B872A8"/>
    <w:rsid w:val="00B872D9"/>
    <w:rsid w:val="00B90C50"/>
    <w:rsid w:val="00B90CBF"/>
    <w:rsid w:val="00B9214E"/>
    <w:rsid w:val="00B932FE"/>
    <w:rsid w:val="00B933B1"/>
    <w:rsid w:val="00B94946"/>
    <w:rsid w:val="00B94D20"/>
    <w:rsid w:val="00B95C63"/>
    <w:rsid w:val="00B978F2"/>
    <w:rsid w:val="00BA0045"/>
    <w:rsid w:val="00BA0E8E"/>
    <w:rsid w:val="00BA127D"/>
    <w:rsid w:val="00BA14CE"/>
    <w:rsid w:val="00BA492A"/>
    <w:rsid w:val="00BA5110"/>
    <w:rsid w:val="00BA781E"/>
    <w:rsid w:val="00BB040D"/>
    <w:rsid w:val="00BB1051"/>
    <w:rsid w:val="00BB242D"/>
    <w:rsid w:val="00BB2BBD"/>
    <w:rsid w:val="00BB2D60"/>
    <w:rsid w:val="00BB6CE6"/>
    <w:rsid w:val="00BB7789"/>
    <w:rsid w:val="00BC385D"/>
    <w:rsid w:val="00BC386C"/>
    <w:rsid w:val="00BC5443"/>
    <w:rsid w:val="00BC6B41"/>
    <w:rsid w:val="00BC6FCA"/>
    <w:rsid w:val="00BD168A"/>
    <w:rsid w:val="00BD2248"/>
    <w:rsid w:val="00BD3FAA"/>
    <w:rsid w:val="00BD4AAC"/>
    <w:rsid w:val="00BD5696"/>
    <w:rsid w:val="00BD675A"/>
    <w:rsid w:val="00BD6880"/>
    <w:rsid w:val="00BD7884"/>
    <w:rsid w:val="00BD7A64"/>
    <w:rsid w:val="00BE1C57"/>
    <w:rsid w:val="00BE250E"/>
    <w:rsid w:val="00BE2C94"/>
    <w:rsid w:val="00BE2DCE"/>
    <w:rsid w:val="00BE4904"/>
    <w:rsid w:val="00BE49B1"/>
    <w:rsid w:val="00BE59ED"/>
    <w:rsid w:val="00BE5B72"/>
    <w:rsid w:val="00BF4B91"/>
    <w:rsid w:val="00C00F5D"/>
    <w:rsid w:val="00C01B7F"/>
    <w:rsid w:val="00C01DB8"/>
    <w:rsid w:val="00C02207"/>
    <w:rsid w:val="00C02DCB"/>
    <w:rsid w:val="00C06D09"/>
    <w:rsid w:val="00C10C8D"/>
    <w:rsid w:val="00C11142"/>
    <w:rsid w:val="00C115D6"/>
    <w:rsid w:val="00C12C0C"/>
    <w:rsid w:val="00C13908"/>
    <w:rsid w:val="00C14A96"/>
    <w:rsid w:val="00C151DE"/>
    <w:rsid w:val="00C166BA"/>
    <w:rsid w:val="00C16BCF"/>
    <w:rsid w:val="00C20616"/>
    <w:rsid w:val="00C20A9C"/>
    <w:rsid w:val="00C20DEE"/>
    <w:rsid w:val="00C20E0E"/>
    <w:rsid w:val="00C22F47"/>
    <w:rsid w:val="00C249F5"/>
    <w:rsid w:val="00C2644D"/>
    <w:rsid w:val="00C26BC3"/>
    <w:rsid w:val="00C27221"/>
    <w:rsid w:val="00C2757B"/>
    <w:rsid w:val="00C27D59"/>
    <w:rsid w:val="00C306AC"/>
    <w:rsid w:val="00C31A4D"/>
    <w:rsid w:val="00C333A3"/>
    <w:rsid w:val="00C34533"/>
    <w:rsid w:val="00C34B33"/>
    <w:rsid w:val="00C358D9"/>
    <w:rsid w:val="00C360A3"/>
    <w:rsid w:val="00C36AA9"/>
    <w:rsid w:val="00C37000"/>
    <w:rsid w:val="00C416AC"/>
    <w:rsid w:val="00C41DE6"/>
    <w:rsid w:val="00C421BF"/>
    <w:rsid w:val="00C421F2"/>
    <w:rsid w:val="00C43ADB"/>
    <w:rsid w:val="00C457D8"/>
    <w:rsid w:val="00C467CB"/>
    <w:rsid w:val="00C478B7"/>
    <w:rsid w:val="00C47959"/>
    <w:rsid w:val="00C50120"/>
    <w:rsid w:val="00C51FEB"/>
    <w:rsid w:val="00C52351"/>
    <w:rsid w:val="00C535AA"/>
    <w:rsid w:val="00C53EE8"/>
    <w:rsid w:val="00C5617C"/>
    <w:rsid w:val="00C56807"/>
    <w:rsid w:val="00C56B6C"/>
    <w:rsid w:val="00C57B5C"/>
    <w:rsid w:val="00C6002A"/>
    <w:rsid w:val="00C60AFC"/>
    <w:rsid w:val="00C6194D"/>
    <w:rsid w:val="00C621DD"/>
    <w:rsid w:val="00C62BA3"/>
    <w:rsid w:val="00C67430"/>
    <w:rsid w:val="00C6783E"/>
    <w:rsid w:val="00C719F7"/>
    <w:rsid w:val="00C73EB3"/>
    <w:rsid w:val="00C74ED7"/>
    <w:rsid w:val="00C74F3B"/>
    <w:rsid w:val="00C778B8"/>
    <w:rsid w:val="00C82CF1"/>
    <w:rsid w:val="00C83A93"/>
    <w:rsid w:val="00C84148"/>
    <w:rsid w:val="00C843A9"/>
    <w:rsid w:val="00C84EC5"/>
    <w:rsid w:val="00C8534C"/>
    <w:rsid w:val="00C85870"/>
    <w:rsid w:val="00C87C71"/>
    <w:rsid w:val="00C930BB"/>
    <w:rsid w:val="00C93226"/>
    <w:rsid w:val="00C93838"/>
    <w:rsid w:val="00CA3C79"/>
    <w:rsid w:val="00CA4D98"/>
    <w:rsid w:val="00CA536A"/>
    <w:rsid w:val="00CA5E70"/>
    <w:rsid w:val="00CA6F50"/>
    <w:rsid w:val="00CB04E3"/>
    <w:rsid w:val="00CB21A0"/>
    <w:rsid w:val="00CB3147"/>
    <w:rsid w:val="00CB6697"/>
    <w:rsid w:val="00CC143E"/>
    <w:rsid w:val="00CC1CDD"/>
    <w:rsid w:val="00CC202D"/>
    <w:rsid w:val="00CC239D"/>
    <w:rsid w:val="00CC57D2"/>
    <w:rsid w:val="00CC6713"/>
    <w:rsid w:val="00CC69C4"/>
    <w:rsid w:val="00CC6A17"/>
    <w:rsid w:val="00CC7503"/>
    <w:rsid w:val="00CD2903"/>
    <w:rsid w:val="00CD4D93"/>
    <w:rsid w:val="00CD5FC1"/>
    <w:rsid w:val="00CD6550"/>
    <w:rsid w:val="00CD6D62"/>
    <w:rsid w:val="00CE0A51"/>
    <w:rsid w:val="00CE2C98"/>
    <w:rsid w:val="00CE4950"/>
    <w:rsid w:val="00CE7C79"/>
    <w:rsid w:val="00CE7DE6"/>
    <w:rsid w:val="00CF76A9"/>
    <w:rsid w:val="00CF77DE"/>
    <w:rsid w:val="00CF7899"/>
    <w:rsid w:val="00D04710"/>
    <w:rsid w:val="00D048A5"/>
    <w:rsid w:val="00D05F0A"/>
    <w:rsid w:val="00D10007"/>
    <w:rsid w:val="00D107C5"/>
    <w:rsid w:val="00D11309"/>
    <w:rsid w:val="00D114BC"/>
    <w:rsid w:val="00D1455E"/>
    <w:rsid w:val="00D16B76"/>
    <w:rsid w:val="00D17D16"/>
    <w:rsid w:val="00D2018D"/>
    <w:rsid w:val="00D2032A"/>
    <w:rsid w:val="00D2094E"/>
    <w:rsid w:val="00D228BC"/>
    <w:rsid w:val="00D240D8"/>
    <w:rsid w:val="00D2428D"/>
    <w:rsid w:val="00D2552A"/>
    <w:rsid w:val="00D25A62"/>
    <w:rsid w:val="00D27F84"/>
    <w:rsid w:val="00D27FAE"/>
    <w:rsid w:val="00D300A6"/>
    <w:rsid w:val="00D303BF"/>
    <w:rsid w:val="00D3340C"/>
    <w:rsid w:val="00D337B7"/>
    <w:rsid w:val="00D338AA"/>
    <w:rsid w:val="00D347F1"/>
    <w:rsid w:val="00D34A59"/>
    <w:rsid w:val="00D41961"/>
    <w:rsid w:val="00D4202B"/>
    <w:rsid w:val="00D42D2C"/>
    <w:rsid w:val="00D42E6A"/>
    <w:rsid w:val="00D438D3"/>
    <w:rsid w:val="00D464A1"/>
    <w:rsid w:val="00D47423"/>
    <w:rsid w:val="00D47DC4"/>
    <w:rsid w:val="00D47E1D"/>
    <w:rsid w:val="00D51CC9"/>
    <w:rsid w:val="00D53BB9"/>
    <w:rsid w:val="00D55BF4"/>
    <w:rsid w:val="00D61CD0"/>
    <w:rsid w:val="00D62025"/>
    <w:rsid w:val="00D645C2"/>
    <w:rsid w:val="00D64B93"/>
    <w:rsid w:val="00D64ED9"/>
    <w:rsid w:val="00D6549E"/>
    <w:rsid w:val="00D65815"/>
    <w:rsid w:val="00D668C6"/>
    <w:rsid w:val="00D672B6"/>
    <w:rsid w:val="00D71B70"/>
    <w:rsid w:val="00D72754"/>
    <w:rsid w:val="00D73C82"/>
    <w:rsid w:val="00D740D4"/>
    <w:rsid w:val="00D765B3"/>
    <w:rsid w:val="00D77A85"/>
    <w:rsid w:val="00D8150A"/>
    <w:rsid w:val="00D820D4"/>
    <w:rsid w:val="00D901BB"/>
    <w:rsid w:val="00D90E33"/>
    <w:rsid w:val="00D927D1"/>
    <w:rsid w:val="00D92AA5"/>
    <w:rsid w:val="00D92F0C"/>
    <w:rsid w:val="00D930CA"/>
    <w:rsid w:val="00D955FC"/>
    <w:rsid w:val="00D95D22"/>
    <w:rsid w:val="00DA0542"/>
    <w:rsid w:val="00DA1183"/>
    <w:rsid w:val="00DA16C5"/>
    <w:rsid w:val="00DA3FB0"/>
    <w:rsid w:val="00DA5EC8"/>
    <w:rsid w:val="00DA700A"/>
    <w:rsid w:val="00DA7997"/>
    <w:rsid w:val="00DB020F"/>
    <w:rsid w:val="00DB0E36"/>
    <w:rsid w:val="00DB1796"/>
    <w:rsid w:val="00DB1E05"/>
    <w:rsid w:val="00DB2A2D"/>
    <w:rsid w:val="00DB5203"/>
    <w:rsid w:val="00DB5AA5"/>
    <w:rsid w:val="00DB6A0A"/>
    <w:rsid w:val="00DB79D7"/>
    <w:rsid w:val="00DC1DBE"/>
    <w:rsid w:val="00DC4DF4"/>
    <w:rsid w:val="00DC587C"/>
    <w:rsid w:val="00DC5C7A"/>
    <w:rsid w:val="00DC609A"/>
    <w:rsid w:val="00DD03A2"/>
    <w:rsid w:val="00DD1333"/>
    <w:rsid w:val="00DD1E54"/>
    <w:rsid w:val="00DD2130"/>
    <w:rsid w:val="00DD22AF"/>
    <w:rsid w:val="00DD2965"/>
    <w:rsid w:val="00DD2C84"/>
    <w:rsid w:val="00DD5E84"/>
    <w:rsid w:val="00DD6FE3"/>
    <w:rsid w:val="00DD7015"/>
    <w:rsid w:val="00DD797A"/>
    <w:rsid w:val="00DE10B7"/>
    <w:rsid w:val="00DE325C"/>
    <w:rsid w:val="00DE453F"/>
    <w:rsid w:val="00DE4910"/>
    <w:rsid w:val="00DE4A0A"/>
    <w:rsid w:val="00DE6FC5"/>
    <w:rsid w:val="00DE7999"/>
    <w:rsid w:val="00DF002F"/>
    <w:rsid w:val="00DF1834"/>
    <w:rsid w:val="00DF25FF"/>
    <w:rsid w:val="00DF7D74"/>
    <w:rsid w:val="00E036C4"/>
    <w:rsid w:val="00E05EE8"/>
    <w:rsid w:val="00E07849"/>
    <w:rsid w:val="00E1003B"/>
    <w:rsid w:val="00E102D2"/>
    <w:rsid w:val="00E11868"/>
    <w:rsid w:val="00E11D30"/>
    <w:rsid w:val="00E11FEA"/>
    <w:rsid w:val="00E12263"/>
    <w:rsid w:val="00E126CF"/>
    <w:rsid w:val="00E1523F"/>
    <w:rsid w:val="00E15B70"/>
    <w:rsid w:val="00E1742D"/>
    <w:rsid w:val="00E177E2"/>
    <w:rsid w:val="00E20A11"/>
    <w:rsid w:val="00E20FAE"/>
    <w:rsid w:val="00E2218D"/>
    <w:rsid w:val="00E227AB"/>
    <w:rsid w:val="00E22A40"/>
    <w:rsid w:val="00E247EF"/>
    <w:rsid w:val="00E30A0B"/>
    <w:rsid w:val="00E30B66"/>
    <w:rsid w:val="00E32BDC"/>
    <w:rsid w:val="00E33411"/>
    <w:rsid w:val="00E335CE"/>
    <w:rsid w:val="00E33F46"/>
    <w:rsid w:val="00E35A88"/>
    <w:rsid w:val="00E3696A"/>
    <w:rsid w:val="00E41569"/>
    <w:rsid w:val="00E42406"/>
    <w:rsid w:val="00E42C94"/>
    <w:rsid w:val="00E42FC6"/>
    <w:rsid w:val="00E45E0D"/>
    <w:rsid w:val="00E47751"/>
    <w:rsid w:val="00E51941"/>
    <w:rsid w:val="00E51F41"/>
    <w:rsid w:val="00E549C6"/>
    <w:rsid w:val="00E60CFE"/>
    <w:rsid w:val="00E60FF9"/>
    <w:rsid w:val="00E6357C"/>
    <w:rsid w:val="00E63A68"/>
    <w:rsid w:val="00E63AE7"/>
    <w:rsid w:val="00E63E19"/>
    <w:rsid w:val="00E63E9C"/>
    <w:rsid w:val="00E64148"/>
    <w:rsid w:val="00E64FAA"/>
    <w:rsid w:val="00E70878"/>
    <w:rsid w:val="00E71586"/>
    <w:rsid w:val="00E72D3A"/>
    <w:rsid w:val="00E73105"/>
    <w:rsid w:val="00E764DA"/>
    <w:rsid w:val="00E7736B"/>
    <w:rsid w:val="00E817DE"/>
    <w:rsid w:val="00E81EAA"/>
    <w:rsid w:val="00E82AD2"/>
    <w:rsid w:val="00E83A77"/>
    <w:rsid w:val="00E85ABB"/>
    <w:rsid w:val="00E86C6D"/>
    <w:rsid w:val="00E87090"/>
    <w:rsid w:val="00E95BEA"/>
    <w:rsid w:val="00E96E9E"/>
    <w:rsid w:val="00EA134B"/>
    <w:rsid w:val="00EA2E55"/>
    <w:rsid w:val="00EA3C9C"/>
    <w:rsid w:val="00EA48FC"/>
    <w:rsid w:val="00EA4B83"/>
    <w:rsid w:val="00EA4FB8"/>
    <w:rsid w:val="00EA51D1"/>
    <w:rsid w:val="00EA5741"/>
    <w:rsid w:val="00EA5A43"/>
    <w:rsid w:val="00EA602B"/>
    <w:rsid w:val="00EA6955"/>
    <w:rsid w:val="00EA6A37"/>
    <w:rsid w:val="00EA706B"/>
    <w:rsid w:val="00EB090B"/>
    <w:rsid w:val="00EB0AED"/>
    <w:rsid w:val="00EB1857"/>
    <w:rsid w:val="00EB21B7"/>
    <w:rsid w:val="00EB24D0"/>
    <w:rsid w:val="00EB316A"/>
    <w:rsid w:val="00EB3B38"/>
    <w:rsid w:val="00EB4E4A"/>
    <w:rsid w:val="00EC08A1"/>
    <w:rsid w:val="00EC092B"/>
    <w:rsid w:val="00EC0E2C"/>
    <w:rsid w:val="00EC3273"/>
    <w:rsid w:val="00EC37AC"/>
    <w:rsid w:val="00EC4151"/>
    <w:rsid w:val="00EC4D01"/>
    <w:rsid w:val="00EC632B"/>
    <w:rsid w:val="00EC6C45"/>
    <w:rsid w:val="00EC6DD0"/>
    <w:rsid w:val="00EC6E97"/>
    <w:rsid w:val="00EC6F5F"/>
    <w:rsid w:val="00ED11DF"/>
    <w:rsid w:val="00ED1B15"/>
    <w:rsid w:val="00ED1B5B"/>
    <w:rsid w:val="00ED1B6A"/>
    <w:rsid w:val="00ED2B42"/>
    <w:rsid w:val="00ED3266"/>
    <w:rsid w:val="00ED3AEA"/>
    <w:rsid w:val="00ED4723"/>
    <w:rsid w:val="00ED47F4"/>
    <w:rsid w:val="00ED6021"/>
    <w:rsid w:val="00ED627B"/>
    <w:rsid w:val="00ED77E8"/>
    <w:rsid w:val="00EE5B05"/>
    <w:rsid w:val="00EE7E0B"/>
    <w:rsid w:val="00EF1403"/>
    <w:rsid w:val="00EF23E7"/>
    <w:rsid w:val="00EF29F0"/>
    <w:rsid w:val="00EF3077"/>
    <w:rsid w:val="00EF40FD"/>
    <w:rsid w:val="00EF6BA4"/>
    <w:rsid w:val="00EF7A91"/>
    <w:rsid w:val="00F01140"/>
    <w:rsid w:val="00F04AD0"/>
    <w:rsid w:val="00F05827"/>
    <w:rsid w:val="00F05DC9"/>
    <w:rsid w:val="00F064E0"/>
    <w:rsid w:val="00F068C9"/>
    <w:rsid w:val="00F07CA0"/>
    <w:rsid w:val="00F1056B"/>
    <w:rsid w:val="00F1189E"/>
    <w:rsid w:val="00F119AB"/>
    <w:rsid w:val="00F12BDC"/>
    <w:rsid w:val="00F15B67"/>
    <w:rsid w:val="00F15BCC"/>
    <w:rsid w:val="00F20181"/>
    <w:rsid w:val="00F20895"/>
    <w:rsid w:val="00F20CE0"/>
    <w:rsid w:val="00F20CFF"/>
    <w:rsid w:val="00F20E0E"/>
    <w:rsid w:val="00F222BD"/>
    <w:rsid w:val="00F22A3E"/>
    <w:rsid w:val="00F2316E"/>
    <w:rsid w:val="00F232D7"/>
    <w:rsid w:val="00F23C6D"/>
    <w:rsid w:val="00F23F3D"/>
    <w:rsid w:val="00F243D7"/>
    <w:rsid w:val="00F25AFA"/>
    <w:rsid w:val="00F26DD3"/>
    <w:rsid w:val="00F35DCC"/>
    <w:rsid w:val="00F362BA"/>
    <w:rsid w:val="00F415F7"/>
    <w:rsid w:val="00F43E78"/>
    <w:rsid w:val="00F440DF"/>
    <w:rsid w:val="00F449D1"/>
    <w:rsid w:val="00F44B69"/>
    <w:rsid w:val="00F45112"/>
    <w:rsid w:val="00F45BDC"/>
    <w:rsid w:val="00F50A94"/>
    <w:rsid w:val="00F50B43"/>
    <w:rsid w:val="00F517BB"/>
    <w:rsid w:val="00F51965"/>
    <w:rsid w:val="00F51B25"/>
    <w:rsid w:val="00F52A0B"/>
    <w:rsid w:val="00F52C68"/>
    <w:rsid w:val="00F5484E"/>
    <w:rsid w:val="00F55819"/>
    <w:rsid w:val="00F569B0"/>
    <w:rsid w:val="00F60446"/>
    <w:rsid w:val="00F60895"/>
    <w:rsid w:val="00F6126B"/>
    <w:rsid w:val="00F621CA"/>
    <w:rsid w:val="00F62E3B"/>
    <w:rsid w:val="00F63AED"/>
    <w:rsid w:val="00F63F4F"/>
    <w:rsid w:val="00F648DC"/>
    <w:rsid w:val="00F64CEF"/>
    <w:rsid w:val="00F65FE8"/>
    <w:rsid w:val="00F666A9"/>
    <w:rsid w:val="00F66839"/>
    <w:rsid w:val="00F7055B"/>
    <w:rsid w:val="00F7163E"/>
    <w:rsid w:val="00F7168E"/>
    <w:rsid w:val="00F7198D"/>
    <w:rsid w:val="00F71F23"/>
    <w:rsid w:val="00F71F67"/>
    <w:rsid w:val="00F72DEB"/>
    <w:rsid w:val="00F74517"/>
    <w:rsid w:val="00F74AED"/>
    <w:rsid w:val="00F74EF4"/>
    <w:rsid w:val="00F775C1"/>
    <w:rsid w:val="00F8067D"/>
    <w:rsid w:val="00F81597"/>
    <w:rsid w:val="00F818F6"/>
    <w:rsid w:val="00F835C8"/>
    <w:rsid w:val="00F854BC"/>
    <w:rsid w:val="00F8555D"/>
    <w:rsid w:val="00F87628"/>
    <w:rsid w:val="00F87945"/>
    <w:rsid w:val="00F90409"/>
    <w:rsid w:val="00F9139F"/>
    <w:rsid w:val="00F92796"/>
    <w:rsid w:val="00F96BBE"/>
    <w:rsid w:val="00F97D38"/>
    <w:rsid w:val="00FA17B8"/>
    <w:rsid w:val="00FA24AC"/>
    <w:rsid w:val="00FA3740"/>
    <w:rsid w:val="00FA4BC6"/>
    <w:rsid w:val="00FB15AB"/>
    <w:rsid w:val="00FB3B0A"/>
    <w:rsid w:val="00FB6901"/>
    <w:rsid w:val="00FC08AA"/>
    <w:rsid w:val="00FC0C42"/>
    <w:rsid w:val="00FC103F"/>
    <w:rsid w:val="00FC1663"/>
    <w:rsid w:val="00FC23BB"/>
    <w:rsid w:val="00FC4219"/>
    <w:rsid w:val="00FC4481"/>
    <w:rsid w:val="00FC4D87"/>
    <w:rsid w:val="00FC5AD7"/>
    <w:rsid w:val="00FC5C10"/>
    <w:rsid w:val="00FC6787"/>
    <w:rsid w:val="00FC6D70"/>
    <w:rsid w:val="00FD1253"/>
    <w:rsid w:val="00FD29F9"/>
    <w:rsid w:val="00FD5114"/>
    <w:rsid w:val="00FD65F5"/>
    <w:rsid w:val="00FE0FA7"/>
    <w:rsid w:val="00FE16D4"/>
    <w:rsid w:val="00FE1F0C"/>
    <w:rsid w:val="00FE5910"/>
    <w:rsid w:val="00FE70AF"/>
    <w:rsid w:val="00FF079E"/>
    <w:rsid w:val="00FF0E3A"/>
    <w:rsid w:val="00FF10F0"/>
    <w:rsid w:val="00FF2B12"/>
    <w:rsid w:val="00FF3135"/>
    <w:rsid w:val="00FF3495"/>
    <w:rsid w:val="00FF42C7"/>
    <w:rsid w:val="00FF5E01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26F73"/>
    <w:rPr>
      <w:rFonts w:ascii="Bookman Old Style" w:hAnsi="Bookman Old Style" w:cs="Bookman Old Style"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8B2018"/>
    <w:pPr>
      <w:keepNext/>
      <w:suppressAutoHyphens/>
      <w:ind w:left="4956" w:firstLine="708"/>
      <w:outlineLvl w:val="3"/>
    </w:pPr>
    <w:rPr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7A47C9"/>
    <w:rPr>
      <w:rFonts w:ascii="Calibri" w:hAnsi="Calibri" w:cs="Calibri"/>
      <w:b/>
      <w:bCs/>
      <w:sz w:val="28"/>
      <w:szCs w:val="28"/>
      <w:lang w:val="uk-UA"/>
    </w:rPr>
  </w:style>
  <w:style w:type="paragraph" w:styleId="a4">
    <w:name w:val="header"/>
    <w:basedOn w:val="a0"/>
    <w:link w:val="a5"/>
    <w:uiPriority w:val="99"/>
    <w:rsid w:val="00D727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D1B15"/>
    <w:rPr>
      <w:rFonts w:ascii="Bookman Old Style" w:hAnsi="Bookman Old Style" w:cs="Bookman Old Style"/>
      <w:sz w:val="26"/>
      <w:szCs w:val="26"/>
    </w:rPr>
  </w:style>
  <w:style w:type="character" w:styleId="a6">
    <w:name w:val="page number"/>
    <w:basedOn w:val="a1"/>
    <w:uiPriority w:val="99"/>
    <w:rsid w:val="00D72754"/>
  </w:style>
  <w:style w:type="paragraph" w:styleId="a7">
    <w:name w:val="Balloon Text"/>
    <w:basedOn w:val="a0"/>
    <w:link w:val="a8"/>
    <w:uiPriority w:val="99"/>
    <w:semiHidden/>
    <w:rsid w:val="007E50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A47C9"/>
    <w:rPr>
      <w:sz w:val="2"/>
      <w:szCs w:val="2"/>
      <w:lang w:val="uk-UA"/>
    </w:rPr>
  </w:style>
  <w:style w:type="table" w:styleId="a9">
    <w:name w:val="Table Grid"/>
    <w:basedOn w:val="a2"/>
    <w:uiPriority w:val="99"/>
    <w:rsid w:val="00152C81"/>
    <w:rPr>
      <w:rFonts w:ascii="Bookman Old Style" w:hAnsi="Bookman Old Style" w:cs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0"/>
    <w:link w:val="ab"/>
    <w:uiPriority w:val="99"/>
    <w:rsid w:val="00356D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91613"/>
    <w:rPr>
      <w:rFonts w:ascii="Bookman Old Style" w:hAnsi="Bookman Old Style" w:cs="Bookman Old Style"/>
      <w:sz w:val="26"/>
      <w:szCs w:val="26"/>
      <w:lang w:val="uk-UA"/>
    </w:rPr>
  </w:style>
  <w:style w:type="paragraph" w:styleId="ac">
    <w:name w:val="Body Text Indent"/>
    <w:basedOn w:val="a0"/>
    <w:link w:val="ad"/>
    <w:uiPriority w:val="99"/>
    <w:rsid w:val="008B2018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7A47C9"/>
    <w:rPr>
      <w:rFonts w:ascii="Bookman Old Style" w:hAnsi="Bookman Old Style" w:cs="Bookman Old Style"/>
      <w:sz w:val="26"/>
      <w:szCs w:val="26"/>
      <w:lang w:val="uk-UA"/>
    </w:rPr>
  </w:style>
  <w:style w:type="paragraph" w:styleId="ae">
    <w:name w:val="Body Text"/>
    <w:basedOn w:val="a0"/>
    <w:link w:val="af"/>
    <w:uiPriority w:val="99"/>
    <w:rsid w:val="008B2018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8B2018"/>
    <w:rPr>
      <w:rFonts w:ascii="Bookman Old Style" w:hAnsi="Bookman Old Style" w:cs="Bookman Old Style"/>
      <w:sz w:val="26"/>
      <w:szCs w:val="26"/>
      <w:lang w:val="uk-UA" w:eastAsia="ru-RU"/>
    </w:rPr>
  </w:style>
  <w:style w:type="paragraph" w:customStyle="1" w:styleId="Style2">
    <w:name w:val="Style2"/>
    <w:basedOn w:val="a0"/>
    <w:uiPriority w:val="99"/>
    <w:rsid w:val="008B2018"/>
    <w:pPr>
      <w:widowControl w:val="0"/>
      <w:autoSpaceDE w:val="0"/>
      <w:autoSpaceDN w:val="0"/>
      <w:adjustRightInd w:val="0"/>
      <w:spacing w:line="307" w:lineRule="exact"/>
      <w:ind w:firstLine="691"/>
      <w:jc w:val="both"/>
    </w:pPr>
    <w:rPr>
      <w:sz w:val="24"/>
      <w:szCs w:val="24"/>
      <w:lang w:val="ru-RU"/>
    </w:rPr>
  </w:style>
  <w:style w:type="paragraph" w:customStyle="1" w:styleId="1">
    <w:name w:val="Знак1"/>
    <w:basedOn w:val="a0"/>
    <w:uiPriority w:val="99"/>
    <w:rsid w:val="00B1096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1 Знак"/>
    <w:basedOn w:val="a0"/>
    <w:uiPriority w:val="99"/>
    <w:rsid w:val="0054663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324165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  <w:lang w:eastAsia="en-US"/>
    </w:rPr>
  </w:style>
  <w:style w:type="character" w:customStyle="1" w:styleId="112">
    <w:name w:val="Заголовок №1 + 12"/>
    <w:uiPriority w:val="99"/>
    <w:rsid w:val="007618CC"/>
    <w:rPr>
      <w:b/>
      <w:bCs/>
      <w:sz w:val="24"/>
      <w:szCs w:val="24"/>
      <w:lang w:val="ru-RU"/>
    </w:rPr>
  </w:style>
  <w:style w:type="paragraph" w:styleId="a">
    <w:name w:val="List Bullet"/>
    <w:basedOn w:val="a0"/>
    <w:uiPriority w:val="99"/>
    <w:rsid w:val="00D10007"/>
    <w:pPr>
      <w:numPr>
        <w:numId w:val="10"/>
      </w:numPr>
    </w:pPr>
    <w:rPr>
      <w:sz w:val="28"/>
      <w:szCs w:val="28"/>
      <w:lang w:val="ru-RU"/>
    </w:rPr>
  </w:style>
  <w:style w:type="paragraph" w:styleId="af0">
    <w:name w:val="List Paragraph"/>
    <w:basedOn w:val="a0"/>
    <w:uiPriority w:val="99"/>
    <w:qFormat/>
    <w:rsid w:val="00AE47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1">
    <w:name w:val="Знак"/>
    <w:basedOn w:val="a0"/>
    <w:uiPriority w:val="99"/>
    <w:rsid w:val="00A54F41"/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0"/>
    <w:uiPriority w:val="99"/>
    <w:rsid w:val="00815557"/>
    <w:pPr>
      <w:spacing w:after="200" w:line="276" w:lineRule="auto"/>
    </w:pPr>
    <w:rPr>
      <w:sz w:val="24"/>
      <w:szCs w:val="24"/>
      <w:lang w:eastAsia="en-US"/>
    </w:rPr>
  </w:style>
  <w:style w:type="paragraph" w:styleId="2">
    <w:name w:val="Body Text 2"/>
    <w:basedOn w:val="a0"/>
    <w:link w:val="20"/>
    <w:uiPriority w:val="99"/>
    <w:rsid w:val="00FC4219"/>
    <w:pPr>
      <w:spacing w:after="120" w:line="480" w:lineRule="auto"/>
    </w:pPr>
    <w:rPr>
      <w:sz w:val="24"/>
      <w:szCs w:val="24"/>
      <w:lang w:val="ru-RU"/>
    </w:rPr>
  </w:style>
  <w:style w:type="character" w:customStyle="1" w:styleId="20">
    <w:name w:val="Основной текст 2 Знак"/>
    <w:link w:val="2"/>
    <w:uiPriority w:val="99"/>
    <w:semiHidden/>
    <w:locked/>
    <w:rsid w:val="007A47C9"/>
    <w:rPr>
      <w:rFonts w:ascii="Bookman Old Style" w:hAnsi="Bookman Old Style" w:cs="Bookman Old Style"/>
      <w:sz w:val="26"/>
      <w:szCs w:val="26"/>
      <w:lang w:val="uk-UA"/>
    </w:rPr>
  </w:style>
  <w:style w:type="paragraph" w:customStyle="1" w:styleId="11">
    <w:name w:val="Абзац списка1"/>
    <w:basedOn w:val="a0"/>
    <w:uiPriority w:val="99"/>
    <w:rsid w:val="00EB0AED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1">
    <w:name w:val="Знак2"/>
    <w:basedOn w:val="a0"/>
    <w:uiPriority w:val="99"/>
    <w:rsid w:val="00853797"/>
    <w:rPr>
      <w:rFonts w:ascii="Verdana" w:hAnsi="Verdana" w:cs="Verdana"/>
      <w:sz w:val="20"/>
      <w:szCs w:val="20"/>
      <w:lang w:val="en-US" w:eastAsia="en-US"/>
    </w:rPr>
  </w:style>
  <w:style w:type="paragraph" w:styleId="af3">
    <w:name w:val="Date"/>
    <w:basedOn w:val="a0"/>
    <w:next w:val="a0"/>
    <w:link w:val="af4"/>
    <w:uiPriority w:val="99"/>
    <w:rsid w:val="00F23C6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Дата Знак"/>
    <w:link w:val="af3"/>
    <w:uiPriority w:val="99"/>
    <w:locked/>
    <w:rsid w:val="00F23C6D"/>
    <w:rPr>
      <w:rFonts w:ascii="Calibri" w:hAnsi="Calibri" w:cs="Calibri"/>
      <w:sz w:val="22"/>
      <w:szCs w:val="22"/>
      <w:lang w:val="uk-UA" w:eastAsia="en-US"/>
    </w:rPr>
  </w:style>
  <w:style w:type="paragraph" w:customStyle="1" w:styleId="caaieiaie1">
    <w:name w:val="caaieiaie 1"/>
    <w:basedOn w:val="a0"/>
    <w:next w:val="a0"/>
    <w:uiPriority w:val="99"/>
    <w:rsid w:val="00691613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/>
    </w:rPr>
  </w:style>
  <w:style w:type="paragraph" w:styleId="af5">
    <w:name w:val="footnote text"/>
    <w:basedOn w:val="a0"/>
    <w:link w:val="af6"/>
    <w:uiPriority w:val="99"/>
    <w:semiHidden/>
    <w:rsid w:val="006233FE"/>
    <w:rPr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6233FE"/>
    <w:rPr>
      <w:rFonts w:ascii="Bookman Old Style" w:hAnsi="Bookman Old Style" w:cs="Bookman Old Style"/>
    </w:rPr>
  </w:style>
  <w:style w:type="character" w:styleId="af7">
    <w:name w:val="footnote reference"/>
    <w:uiPriority w:val="99"/>
    <w:semiHidden/>
    <w:rsid w:val="006233FE"/>
    <w:rPr>
      <w:vertAlign w:val="superscript"/>
    </w:rPr>
  </w:style>
  <w:style w:type="character" w:styleId="af8">
    <w:name w:val="annotation reference"/>
    <w:uiPriority w:val="99"/>
    <w:semiHidden/>
    <w:rsid w:val="006233FE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rsid w:val="006233FE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locked/>
    <w:rsid w:val="006233FE"/>
    <w:rPr>
      <w:rFonts w:ascii="Bookman Old Style" w:hAnsi="Bookman Old Style" w:cs="Bookman Old Style"/>
    </w:rPr>
  </w:style>
  <w:style w:type="paragraph" w:styleId="afb">
    <w:name w:val="annotation subject"/>
    <w:basedOn w:val="af9"/>
    <w:next w:val="af9"/>
    <w:link w:val="afc"/>
    <w:uiPriority w:val="99"/>
    <w:semiHidden/>
    <w:rsid w:val="006233FE"/>
    <w:rPr>
      <w:b/>
      <w:bCs/>
    </w:rPr>
  </w:style>
  <w:style w:type="character" w:customStyle="1" w:styleId="afc">
    <w:name w:val="Тема примечания Знак"/>
    <w:link w:val="afb"/>
    <w:uiPriority w:val="99"/>
    <w:locked/>
    <w:rsid w:val="006233FE"/>
    <w:rPr>
      <w:rFonts w:ascii="Bookman Old Style" w:hAnsi="Bookman Old Style" w:cs="Bookman Old Style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7363</Words>
  <Characters>4198</Characters>
  <Application>Microsoft Office Word</Application>
  <DocSecurity>0</DocSecurity>
  <Lines>34</Lines>
  <Paragraphs>23</Paragraphs>
  <ScaleCrop>false</ScaleCrop>
  <Company>Krokoz™</Company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110</cp:revision>
  <cp:lastPrinted>2025-08-22T10:24:00Z</cp:lastPrinted>
  <dcterms:created xsi:type="dcterms:W3CDTF">2024-11-19T15:24:00Z</dcterms:created>
  <dcterms:modified xsi:type="dcterms:W3CDTF">2025-09-01T11:53:00Z</dcterms:modified>
</cp:coreProperties>
</file>