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10" w:rsidRPr="001F0910" w:rsidRDefault="001F0910" w:rsidP="003F61A2">
      <w:pPr>
        <w:suppressAutoHyphens w:val="0"/>
        <w:ind w:left="495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Додаток </w:t>
      </w:r>
    </w:p>
    <w:p w:rsidR="001F0910" w:rsidRDefault="001F0910" w:rsidP="003F61A2">
      <w:p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до рішення обласної ради</w:t>
      </w:r>
    </w:p>
    <w:p w:rsidR="001F0910" w:rsidRPr="008C1EDB" w:rsidRDefault="001F7068" w:rsidP="001F7068">
      <w:pPr>
        <w:suppressAutoHyphens w:val="0"/>
        <w:ind w:firstLine="5670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  <w:bookmarkStart w:id="0" w:name="_GoBack"/>
      <w:r w:rsidRPr="001F7068"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  <w:t>№ 544-27/VIII 18.12.2025</w:t>
      </w:r>
    </w:p>
    <w:bookmarkEnd w:id="0"/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3F61A2" w:rsidRPr="008C1EDB" w:rsidRDefault="003F61A2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>Регіональн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оздоровлення та відпочинку</w:t>
      </w:r>
    </w:p>
    <w:p w:rsidR="001F0910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дітей Дніпропетровської області 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>на 2026 – 2030 роки</w:t>
      </w: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D86936" w:rsidRDefault="001F0910" w:rsidP="003F61A2">
      <w:pPr>
        <w:suppressAutoHyphens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869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м. Дніпро</w:t>
      </w:r>
    </w:p>
    <w:p w:rsidR="001F0910" w:rsidRPr="00D86936" w:rsidRDefault="001F0910" w:rsidP="003F61A2">
      <w:pPr>
        <w:suppressAutoHyphens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2025</w:t>
      </w:r>
      <w:r w:rsidRPr="00D869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рік</w:t>
      </w:r>
    </w:p>
    <w:p w:rsidR="001F0910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Розділ І. </w:t>
      </w:r>
    </w:p>
    <w:p w:rsidR="001F0910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ПАСПОРТ </w:t>
      </w: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Регіональної </w:t>
      </w:r>
      <w:r w:rsidR="007B3038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8C1EDB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:rsidR="001F0910" w:rsidRPr="00652C6E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1. Назва: Регіональна програма оздоровлення та відпочинку дітей Дніпропетровської області на 2026 – 2030 роки (далі – Програма).</w:t>
      </w:r>
    </w:p>
    <w:p w:rsidR="001F0910" w:rsidRPr="00652C6E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F0910" w:rsidRPr="002F23C7" w:rsidRDefault="007B3038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pacing w:val="-1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2. Підстави</w:t>
      </w:r>
      <w:r w:rsidR="001F0910" w:rsidRPr="008C1EDB">
        <w:rPr>
          <w:rFonts w:ascii="Times New Roman" w:hAnsi="Times New Roman"/>
          <w:sz w:val="28"/>
          <w:szCs w:val="28"/>
          <w:lang w:val="uk-UA"/>
        </w:rPr>
        <w:t xml:space="preserve"> для розроблення: Закон України </w:t>
      </w:r>
      <w:r w:rsidR="001F0910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Про оздоровлення та відпочинок дітей”, постанови Кабінету Міністрів України від 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11 березня            2025 року № 276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Деякі питання організації оздоровлення і відпочинку дітей, які потребують особливої уваги і підтримки, в дитячих оздоровчих таборах державних підприємств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Міжнародний дитячий центр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Артек”,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Український дитячий центр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Молода гвардія” і в дитячих закладах, що містяться в Державному реєстрі майнових об’єктів оздоровлення та відпочинку дітей”, від 09 травня 2023 року № 462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Деякі питання реалізації експериментального проекту з організації оздоровлення і відпочинку дітей, які потребують особливої соціальної уваги та підтримки, в дитячих оздоровчих таборах державних підприємств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Міжнародний дитячий центр</w:t>
      </w:r>
      <w:r w:rsidR="000C09D1" w:rsidRPr="000C09D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Артек”,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Український дитячий центр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Молода гвардія” і в дитячих закладах оздоровлення та відпочинку вищої категорії, що містяться в Державному реєстрі майнових об’єктів оздоровлення та відпочинку дітей та розташовані в карпатському регіоні, за принципом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>гроші ходять за дитиною”, від 10 листопада 2021 року № 1167</w:t>
      </w:r>
      <w:r w:rsidR="001F0910" w:rsidRPr="008C1E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 затвердження Порядку організації виїзду дітей за кордон на оздоровлення та відпочинок”</w:t>
      </w:r>
      <w:r w:rsidR="0062305F" w:rsidRPr="0062305F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(</w:t>
      </w:r>
      <w:r w:rsidR="0062305F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зі змінами</w:t>
      </w:r>
      <w:r w:rsidR="0062305F" w:rsidRPr="0062305F">
        <w:rPr>
          <w:rFonts w:ascii="Times New Roman" w:hAnsi="Times New Roman" w:cs="Times New Roman"/>
          <w:bCs/>
          <w:sz w:val="28"/>
          <w:szCs w:val="28"/>
          <w:lang w:val="uk-UA" w:eastAsia="uk-UA"/>
        </w:rPr>
        <w:t>)</w:t>
      </w:r>
      <w:r w:rsidR="00652C6E">
        <w:rPr>
          <w:rFonts w:ascii="Times New Roman" w:hAnsi="Times New Roman" w:cs="Times New Roman"/>
          <w:bCs/>
          <w:sz w:val="28"/>
          <w:szCs w:val="28"/>
          <w:lang w:val="uk-UA" w:eastAsia="uk-UA"/>
        </w:rPr>
        <w:t>,</w:t>
      </w:r>
      <w:r w:rsidR="00652C6E" w:rsidRPr="00652C6E">
        <w:rPr>
          <w:lang w:val="uk-UA"/>
        </w:rPr>
        <w:t xml:space="preserve"> </w:t>
      </w:r>
      <w:r w:rsidR="00652C6E" w:rsidRPr="00652C6E">
        <w:rPr>
          <w:rFonts w:ascii="Times New Roman" w:hAnsi="Times New Roman" w:cs="Times New Roman"/>
          <w:bCs/>
          <w:sz w:val="28"/>
          <w:szCs w:val="28"/>
          <w:lang w:val="uk-UA" w:eastAsia="uk-UA"/>
        </w:rPr>
        <w:t>Стратегія регіонального розвитку Дніпропетровської області на період до 2027 року</w:t>
      </w:r>
      <w:r w:rsidR="002F23C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F23C7" w:rsidRPr="002F23C7">
        <w:rPr>
          <w:rFonts w:ascii="Times New Roman" w:hAnsi="Times New Roman" w:cs="Times New Roman"/>
          <w:bCs/>
          <w:spacing w:val="-10"/>
          <w:sz w:val="28"/>
          <w:szCs w:val="28"/>
          <w:lang w:val="uk-UA" w:eastAsia="uk-UA"/>
        </w:rPr>
        <w:t>(зі змінами)</w:t>
      </w:r>
      <w:r w:rsidR="00652C6E" w:rsidRPr="002F23C7">
        <w:rPr>
          <w:rFonts w:ascii="Times New Roman" w:hAnsi="Times New Roman" w:cs="Times New Roman"/>
          <w:bCs/>
          <w:spacing w:val="-10"/>
          <w:sz w:val="28"/>
          <w:szCs w:val="28"/>
          <w:lang w:val="uk-UA" w:eastAsia="uk-UA"/>
        </w:rPr>
        <w:t>, затверджена рішенням Дніпропетровської обласної ради від 0</w:t>
      </w:r>
      <w:r w:rsidR="002F23C7">
        <w:rPr>
          <w:rFonts w:ascii="Times New Roman" w:hAnsi="Times New Roman" w:cs="Times New Roman"/>
          <w:bCs/>
          <w:spacing w:val="-10"/>
          <w:sz w:val="28"/>
          <w:szCs w:val="28"/>
          <w:lang w:val="uk-UA" w:eastAsia="uk-UA"/>
        </w:rPr>
        <w:t>7 серпня 2020 року № 624-24/VII</w:t>
      </w:r>
      <w:r w:rsidR="001F0910" w:rsidRPr="002F23C7">
        <w:rPr>
          <w:rFonts w:ascii="Times New Roman" w:hAnsi="Times New Roman" w:cs="Times New Roman"/>
          <w:bCs/>
          <w:spacing w:val="-10"/>
          <w:sz w:val="28"/>
          <w:szCs w:val="28"/>
          <w:lang w:val="uk-UA" w:eastAsia="uk-UA"/>
        </w:rPr>
        <w:t>.</w:t>
      </w:r>
    </w:p>
    <w:p w:rsidR="001F0910" w:rsidRPr="00652C6E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3. Регіональний замовник Програми – головний розпорядник коштів: департамент соціального захисту населення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адміністрації.</w:t>
      </w:r>
    </w:p>
    <w:p w:rsidR="001F0910" w:rsidRPr="00652C6E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8C1EDB">
        <w:rPr>
          <w:rFonts w:ascii="Times New Roman" w:hAnsi="Times New Roman"/>
          <w:sz w:val="28"/>
          <w:szCs w:val="28"/>
          <w:lang w:val="uk-UA"/>
        </w:rPr>
        <w:t>Співзамовники</w:t>
      </w:r>
      <w:proofErr w:type="spellEnd"/>
      <w:r w:rsidRPr="008C1EDB">
        <w:rPr>
          <w:rFonts w:ascii="Times New Roman" w:hAnsi="Times New Roman"/>
          <w:sz w:val="28"/>
          <w:szCs w:val="28"/>
          <w:lang w:val="uk-UA"/>
        </w:rPr>
        <w:t xml:space="preserve"> Програми – головні розпорядники бюджетних коштів: </w:t>
      </w:r>
    </w:p>
    <w:p w:rsidR="001F0910" w:rsidRPr="008C1EDB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відсутні.</w:t>
      </w:r>
    </w:p>
    <w:p w:rsidR="001F0910" w:rsidRPr="00652C6E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1F0910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5. Відповідальні за виконання: департамент соціального захисту населення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департамент освіти і науки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молоді і спорту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культури, туризму національностей і релігій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департамент інформаційної діяльності та комунікацій з громадськістю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служба у справах дітей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виконавчі орган</w:t>
      </w:r>
      <w:r w:rsidR="007B3038">
        <w:rPr>
          <w:rFonts w:ascii="Times New Roman" w:hAnsi="Times New Roman"/>
          <w:sz w:val="28"/>
          <w:szCs w:val="28"/>
          <w:lang w:val="uk-UA"/>
        </w:rPr>
        <w:t>и</w:t>
      </w:r>
      <w:r w:rsidRPr="008C1EDB">
        <w:rPr>
          <w:rFonts w:ascii="Times New Roman" w:hAnsi="Times New Roman"/>
          <w:sz w:val="28"/>
          <w:szCs w:val="28"/>
          <w:lang w:val="uk-UA"/>
        </w:rPr>
        <w:t xml:space="preserve"> міських, сільських, селищних рад (за згодою).</w:t>
      </w:r>
    </w:p>
    <w:p w:rsidR="001F0910" w:rsidRPr="00652C6E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6. Мета:</w:t>
      </w:r>
      <w:r w:rsidRPr="008C1EDB">
        <w:rPr>
          <w:lang w:val="uk-UA"/>
        </w:rPr>
        <w:t xml:space="preserve"> </w:t>
      </w:r>
      <w:r w:rsidRPr="008C1EDB"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>забезпечення повноцінного оздоровлення та відпочинку дітей, передусім тих, які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особливої соціальної уваги та підтримки,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а також підтримки їх ментального здоров’я.</w:t>
      </w:r>
    </w:p>
    <w:p w:rsidR="001F0910" w:rsidRDefault="001F0910" w:rsidP="003F61A2">
      <w:pPr>
        <w:ind w:firstLine="567"/>
        <w:rPr>
          <w:rFonts w:ascii="Times New Roman" w:hAnsi="Times New Roman" w:cs="Calibri"/>
          <w:sz w:val="28"/>
          <w:szCs w:val="28"/>
        </w:rPr>
      </w:pPr>
      <w:r w:rsidRPr="008C1EDB">
        <w:rPr>
          <w:rFonts w:ascii="Times New Roman" w:hAnsi="Times New Roman"/>
          <w:sz w:val="28"/>
          <w:szCs w:val="28"/>
        </w:rPr>
        <w:t xml:space="preserve">7. Початок: </w:t>
      </w:r>
      <w:r w:rsidRPr="008C1EDB">
        <w:rPr>
          <w:rFonts w:ascii="Times New Roman" w:hAnsi="Times New Roman" w:cs="Calibri"/>
          <w:sz w:val="28"/>
          <w:szCs w:val="28"/>
        </w:rPr>
        <w:t>січень 2026 року, закінчення: грудень 2030 року.</w:t>
      </w:r>
    </w:p>
    <w:p w:rsidR="003F61A2" w:rsidRPr="008C1EDB" w:rsidRDefault="003F61A2" w:rsidP="003F61A2">
      <w:pPr>
        <w:ind w:firstLine="567"/>
        <w:rPr>
          <w:rFonts w:ascii="Times New Roman" w:hAnsi="Times New Roman" w:cs="Calibri"/>
          <w:sz w:val="28"/>
          <w:szCs w:val="28"/>
        </w:rPr>
      </w:pPr>
    </w:p>
    <w:p w:rsidR="001F0910" w:rsidRDefault="001F0910" w:rsidP="003F61A2">
      <w:pPr>
        <w:ind w:firstLine="567"/>
        <w:rPr>
          <w:rFonts w:ascii="Times New Roman" w:hAnsi="Times New Roman" w:cs="Calibri"/>
          <w:sz w:val="28"/>
          <w:szCs w:val="28"/>
        </w:rPr>
      </w:pPr>
      <w:r w:rsidRPr="008C1EDB">
        <w:rPr>
          <w:rFonts w:ascii="Times New Roman" w:hAnsi="Times New Roman" w:cs="Calibri"/>
          <w:sz w:val="28"/>
          <w:szCs w:val="28"/>
        </w:rPr>
        <w:t>8. Етапи виконання: Програма виконується в один етап.</w:t>
      </w:r>
    </w:p>
    <w:p w:rsidR="001F0910" w:rsidRPr="008C1EDB" w:rsidRDefault="001F0910" w:rsidP="003F61A2">
      <w:pPr>
        <w:ind w:firstLine="567"/>
        <w:rPr>
          <w:rFonts w:ascii="Times New Roman" w:hAnsi="Times New Roman" w:cs="Calibri"/>
          <w:sz w:val="28"/>
          <w:szCs w:val="28"/>
        </w:rPr>
      </w:pP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Calibri"/>
          <w:sz w:val="28"/>
          <w:szCs w:val="28"/>
        </w:rPr>
        <w:t xml:space="preserve">9. </w:t>
      </w:r>
      <w:r w:rsidRPr="008C1EDB">
        <w:rPr>
          <w:rFonts w:ascii="Times New Roman" w:hAnsi="Times New Roman" w:cs="Times New Roman"/>
          <w:sz w:val="28"/>
          <w:szCs w:val="28"/>
        </w:rPr>
        <w:t xml:space="preserve">Програма відповідає Стратегічній цілі 2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8C1EDB">
        <w:rPr>
          <w:rFonts w:ascii="Times New Roman" w:hAnsi="Times New Roman" w:cs="Times New Roman"/>
          <w:sz w:val="28"/>
          <w:szCs w:val="28"/>
        </w:rPr>
        <w:t xml:space="preserve">Забезпечення інтегрованого розвитку територій та підвищення якості публічних послуг задля збереження та розвитку людського капіталу”, операційній цілі 2.8.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8C1EDB">
        <w:rPr>
          <w:rFonts w:ascii="Times New Roman" w:hAnsi="Times New Roman" w:cs="Times New Roman"/>
          <w:sz w:val="28"/>
          <w:szCs w:val="28"/>
        </w:rPr>
        <w:t xml:space="preserve">Забезпечення соціального захисту, підтримки та інтеграції ветеранів і представників інших вразливих груп”, завданню 2.8.3. </w:t>
      </w:r>
      <w:r w:rsidR="00AF1F09">
        <w:rPr>
          <w:rFonts w:ascii="Times New Roman" w:hAnsi="Times New Roman" w:cs="Times New Roman"/>
          <w:sz w:val="28"/>
          <w:szCs w:val="28"/>
        </w:rPr>
        <w:t>„</w:t>
      </w:r>
      <w:r w:rsidRPr="008C1EDB">
        <w:rPr>
          <w:rFonts w:ascii="Times New Roman" w:hAnsi="Times New Roman" w:cs="Times New Roman"/>
          <w:sz w:val="28"/>
          <w:szCs w:val="28"/>
        </w:rPr>
        <w:t>Забезпечення доступності психологічної допомоги та підтримки ментального здоров’я”.</w:t>
      </w: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9D1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Pr="000C09D1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Загальні обсяги фінансування: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</w:t>
      </w:r>
    </w:p>
    <w:p w:rsidR="001F0910" w:rsidRPr="00AF1F09" w:rsidRDefault="001F0910" w:rsidP="003F61A2">
      <w:pPr>
        <w:tabs>
          <w:tab w:val="left" w:pos="851"/>
          <w:tab w:val="left" w:pos="9638"/>
        </w:tabs>
        <w:suppressAutoHyphens w:val="0"/>
        <w:ind w:right="-82"/>
        <w:jc w:val="both"/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1417"/>
        <w:gridCol w:w="1276"/>
        <w:gridCol w:w="1276"/>
        <w:gridCol w:w="1275"/>
      </w:tblGrid>
      <w:tr w:rsidR="001F0910" w:rsidRPr="008C1EDB" w:rsidTr="0062305F">
        <w:trPr>
          <w:cantSplit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Джерела </w:t>
            </w:r>
            <w:proofErr w:type="spellStart"/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фінансу-вання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ind w:left="-64" w:right="-13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Обсяги фінансування,</w:t>
            </w:r>
          </w:p>
          <w:p w:rsidR="001F0910" w:rsidRPr="008C1EDB" w:rsidRDefault="001F0910" w:rsidP="003F61A2">
            <w:pPr>
              <w:suppressAutoHyphens w:val="0"/>
              <w:ind w:left="-64" w:right="-13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усього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За роками виконання</w:t>
            </w:r>
            <w:r w:rsidR="0071706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, тис. грн</w:t>
            </w:r>
          </w:p>
        </w:tc>
      </w:tr>
      <w:tr w:rsidR="001F0910" w:rsidRPr="008C1EDB" w:rsidTr="0062305F">
        <w:trPr>
          <w:cantSplit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2030 рік</w:t>
            </w:r>
          </w:p>
        </w:tc>
      </w:tr>
      <w:tr w:rsidR="001F0910" w:rsidRPr="008C1EDB" w:rsidTr="0062305F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62305F" w:rsidRDefault="0062305F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Згідно із затвердженими бюджетними призначеннями</w:t>
            </w:r>
          </w:p>
        </w:tc>
      </w:tr>
      <w:tr w:rsidR="0062305F" w:rsidRPr="008C1EDB" w:rsidTr="00E809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05F" w:rsidRPr="008C1EDB" w:rsidRDefault="0062305F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Обласний </w:t>
            </w:r>
          </w:p>
          <w:p w:rsidR="0062305F" w:rsidRPr="008C1EDB" w:rsidRDefault="0062305F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5F" w:rsidRPr="000C09D1" w:rsidRDefault="0062305F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Згідно із затвердженими бюджетними призначеннями</w:t>
            </w:r>
          </w:p>
        </w:tc>
      </w:tr>
      <w:tr w:rsidR="001F0910" w:rsidRPr="008C1EDB" w:rsidTr="006230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Місцевий </w:t>
            </w:r>
          </w:p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1184561,4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191066,4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223842,8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239431,5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256215,4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274005,3</w:t>
            </w:r>
          </w:p>
        </w:tc>
      </w:tr>
      <w:tr w:rsidR="001F0910" w:rsidRPr="008C1EDB" w:rsidTr="006230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Інші </w:t>
            </w:r>
          </w:p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60392,3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14477,5</w:t>
            </w:r>
          </w:p>
        </w:tc>
      </w:tr>
      <w:tr w:rsidR="0062305F" w:rsidRPr="008C1EDB" w:rsidTr="003110B2">
        <w:trPr>
          <w:trHeight w:val="1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05F" w:rsidRPr="0062305F" w:rsidRDefault="0062305F" w:rsidP="003F61A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1244953,7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200956,9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234727,4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251403,5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269383,1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288482,8</w:t>
            </w:r>
          </w:p>
        </w:tc>
      </w:tr>
    </w:tbl>
    <w:p w:rsidR="001F0910" w:rsidRPr="00AF1F09" w:rsidRDefault="001F0910" w:rsidP="003F61A2">
      <w:pPr>
        <w:jc w:val="both"/>
        <w:rPr>
          <w:rFonts w:ascii="Times New Roman" w:hAnsi="Times New Roman" w:cs="Calibri"/>
          <w:sz w:val="28"/>
          <w:szCs w:val="28"/>
        </w:rPr>
      </w:pPr>
    </w:p>
    <w:p w:rsidR="001F0910" w:rsidRPr="008C1EDB" w:rsidRDefault="001F0910" w:rsidP="003F61A2">
      <w:pPr>
        <w:ind w:firstLine="567"/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</w:pP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11. Результативні показники виконання Програми.</w:t>
      </w:r>
    </w:p>
    <w:p w:rsidR="001F0910" w:rsidRPr="00AF1F09" w:rsidRDefault="001F0910" w:rsidP="003F61A2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134"/>
        <w:gridCol w:w="992"/>
        <w:gridCol w:w="850"/>
        <w:gridCol w:w="851"/>
        <w:gridCol w:w="850"/>
        <w:gridCol w:w="851"/>
        <w:gridCol w:w="850"/>
      </w:tblGrid>
      <w:tr w:rsidR="001F0910" w:rsidRPr="00AF1F09" w:rsidTr="000C09D1">
        <w:tc>
          <w:tcPr>
            <w:tcW w:w="1418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Назва завдання Програми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Результативні показники виконання Програми (кількісні та якісні)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Одиниця виміру</w:t>
            </w:r>
          </w:p>
        </w:tc>
        <w:tc>
          <w:tcPr>
            <w:tcW w:w="5244" w:type="dxa"/>
            <w:gridSpan w:val="6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Значення показників</w:t>
            </w:r>
          </w:p>
        </w:tc>
      </w:tr>
      <w:tr w:rsidR="001F0910" w:rsidRPr="00AF1F09" w:rsidTr="000C09D1">
        <w:tc>
          <w:tcPr>
            <w:tcW w:w="1418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Усього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1F0910" w:rsidRPr="00AF1F09" w:rsidRDefault="001F0910" w:rsidP="003F61A2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у тому числі за роками</w:t>
            </w:r>
          </w:p>
        </w:tc>
      </w:tr>
      <w:tr w:rsidR="001F0910" w:rsidRPr="00AF1F09" w:rsidTr="000C09D1">
        <w:tc>
          <w:tcPr>
            <w:tcW w:w="1418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2026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2027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2029 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2030 </w:t>
            </w:r>
          </w:p>
        </w:tc>
      </w:tr>
      <w:tr w:rsidR="000C09D1" w:rsidRPr="00AF1F09" w:rsidTr="000C09D1">
        <w:tc>
          <w:tcPr>
            <w:tcW w:w="1418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9</w:t>
            </w:r>
          </w:p>
        </w:tc>
      </w:tr>
      <w:tr w:rsidR="001F0910" w:rsidRPr="00AF1F09" w:rsidTr="00F108AA">
        <w:tc>
          <w:tcPr>
            <w:tcW w:w="1418" w:type="dxa"/>
            <w:vMerge w:val="restart"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1.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Створення належних умов для отримання послуг з оздоровлення </w:t>
            </w:r>
          </w:p>
          <w:p w:rsidR="001F0910" w:rsidRPr="00AF1F09" w:rsidRDefault="001F0910" w:rsidP="003F61A2">
            <w:pPr>
              <w:suppressAutoHyphens w:val="0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>та відпочинку дітьми, які потребуют</w:t>
            </w:r>
            <w:r w:rsidR="007B303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ь особливої соціальної уваги й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>підтримки</w:t>
            </w:r>
          </w:p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1.1. Кількість проведених тендерів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109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109</w:t>
            </w:r>
          </w:p>
        </w:tc>
      </w:tr>
      <w:tr w:rsidR="001F0910" w:rsidRPr="00AF1F09" w:rsidTr="00F108AA">
        <w:trPr>
          <w:trHeight w:val="917"/>
        </w:trPr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1.2. </w:t>
            </w:r>
            <w:r w:rsidRPr="00AF1F09">
              <w:rPr>
                <w:rFonts w:ascii="Times New Roman" w:hAnsi="Times New Roman" w:cs="Times New Roman"/>
                <w:sz w:val="20"/>
                <w:lang w:eastAsia="ru-RU"/>
              </w:rPr>
              <w:t>Кількість дитячих таборів з денним перебуванням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264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266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Кількість дітей, які відпочивали у 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635696" w:rsidRDefault="001F0910" w:rsidP="00635696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93</w:t>
            </w:r>
            <w:r w:rsidR="00635696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938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17098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18916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19136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19308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19480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1.3.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Кількість  дітей, батьки яких отримали компенсацію за проїзд до табору оздоровлення  і в зворотному напрямку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</w:p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3085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647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658</w:t>
            </w:r>
          </w:p>
        </w:tc>
      </w:tr>
      <w:tr w:rsidR="003F61A2" w:rsidRPr="00AF1F09" w:rsidTr="00F108AA">
        <w:tc>
          <w:tcPr>
            <w:tcW w:w="1418" w:type="dxa"/>
            <w:shd w:val="clear" w:color="auto" w:fill="auto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sz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lang w:eastAsia="uk-U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9</w:t>
            </w:r>
          </w:p>
        </w:tc>
      </w:tr>
      <w:tr w:rsidR="003F61A2" w:rsidRPr="00AF1F09" w:rsidTr="00F108AA">
        <w:tc>
          <w:tcPr>
            <w:tcW w:w="1418" w:type="dxa"/>
            <w:vMerge w:val="restart"/>
            <w:shd w:val="clear" w:color="auto" w:fill="auto"/>
          </w:tcPr>
          <w:p w:rsidR="003F61A2" w:rsidRPr="00AF1F09" w:rsidRDefault="003F61A2" w:rsidP="003F61A2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Організація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 xml:space="preserve">оздоровлення </w:t>
            </w:r>
          </w:p>
          <w:p w:rsidR="003F61A2" w:rsidRPr="00AF1F09" w:rsidRDefault="003F61A2" w:rsidP="007B3038">
            <w:pPr>
              <w:suppressAutoHyphens w:val="0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та відпочинку дітей, які потребують особливої соціальної уваги </w:t>
            </w:r>
            <w:r w:rsidR="007B3038">
              <w:rPr>
                <w:rFonts w:ascii="Times New Roman" w:eastAsia="Calibri" w:hAnsi="Times New Roman" w:cs="Times New Roman"/>
                <w:sz w:val="20"/>
                <w:lang w:eastAsia="en-US"/>
              </w:rPr>
              <w:t>й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підтримки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61A2" w:rsidRPr="00AF1F09" w:rsidRDefault="003F61A2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lastRenderedPageBreak/>
              <w:t xml:space="preserve">2.1. Кількість 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дітей, </w:t>
            </w:r>
            <w:r w:rsidRPr="00AF1F09">
              <w:rPr>
                <w:rFonts w:ascii="Times New Roman" w:hAnsi="Times New Roman" w:cs="Times New Roman"/>
                <w:sz w:val="20"/>
              </w:rPr>
              <w:lastRenderedPageBreak/>
              <w:t xml:space="preserve">забезпечених оздоровленням та відпочинком у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>дитячих закладах оздоровлення та відпочинку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55722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10629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11095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11166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11360</w:t>
            </w:r>
          </w:p>
        </w:tc>
        <w:tc>
          <w:tcPr>
            <w:tcW w:w="850" w:type="dxa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11472</w:t>
            </w:r>
          </w:p>
        </w:tc>
      </w:tr>
      <w:tr w:rsidR="003F61A2" w:rsidRPr="00AF1F09" w:rsidTr="00F108AA">
        <w:tc>
          <w:tcPr>
            <w:tcW w:w="1418" w:type="dxa"/>
            <w:vMerge/>
            <w:shd w:val="clear" w:color="auto" w:fill="auto"/>
          </w:tcPr>
          <w:p w:rsidR="003F61A2" w:rsidRPr="00AF1F09" w:rsidRDefault="003F61A2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61A2" w:rsidRPr="00AF1F09" w:rsidRDefault="003F61A2" w:rsidP="003F61A2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2.2. Кількість </w:t>
            </w:r>
            <w:r w:rsidRPr="00AF1F09">
              <w:rPr>
                <w:rFonts w:ascii="Times New Roman" w:hAnsi="Times New Roman" w:cs="Times New Roman"/>
                <w:sz w:val="20"/>
              </w:rPr>
              <w:t>дітей, яким надано  часткову оплату вартості путівок на оздоровлення та відпочинок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1242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260</w:t>
            </w:r>
          </w:p>
        </w:tc>
        <w:tc>
          <w:tcPr>
            <w:tcW w:w="850" w:type="dxa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265</w:t>
            </w:r>
          </w:p>
        </w:tc>
      </w:tr>
      <w:tr w:rsidR="001F0910" w:rsidRPr="00AF1F09" w:rsidTr="00F108AA">
        <w:tc>
          <w:tcPr>
            <w:tcW w:w="1418" w:type="dxa"/>
            <w:vMerge w:val="restart"/>
            <w:shd w:val="clear" w:color="auto" w:fill="auto"/>
          </w:tcPr>
          <w:p w:rsidR="001F0910" w:rsidRPr="00AF1F09" w:rsidRDefault="001F0910" w:rsidP="007B3038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  <w:r w:rsidRPr="00AF1F09">
              <w:rPr>
                <w:rFonts w:ascii="Times New Roman" w:eastAsia="NSimSun" w:hAnsi="Times New Roman" w:cs="Times New Roman"/>
                <w:kern w:val="2"/>
                <w:sz w:val="20"/>
                <w:lang w:bidi="hi-IN"/>
              </w:rPr>
              <w:t xml:space="preserve">3. 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Сприяння розвитку різних форм відпочинку та оздоровлення дітей, які потребують особливої соціальної уваги </w:t>
            </w:r>
            <w:r w:rsidR="007B3038">
              <w:rPr>
                <w:rFonts w:ascii="Times New Roman" w:hAnsi="Times New Roman" w:cs="Times New Roman"/>
                <w:sz w:val="20"/>
              </w:rPr>
              <w:t>й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 підтримки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3.1. </w:t>
            </w:r>
            <w:r w:rsidRPr="00AF1F09">
              <w:rPr>
                <w:rFonts w:ascii="Times New Roman" w:hAnsi="Times New Roman" w:cs="Times New Roman"/>
                <w:sz w:val="20"/>
              </w:rPr>
              <w:t>Кількість дітей, які оздоровлю-вались та відпочивали за кордоном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135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135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3.2. Кількість ігрових майданчиків, гуртків спортивних секцій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Одиниць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3192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644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646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Кількість охоплених дітей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93213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18463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18808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18888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18903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3.3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Кількість публікацій </w:t>
            </w:r>
          </w:p>
          <w:p w:rsidR="001F0910" w:rsidRPr="00AF1F09" w:rsidRDefault="00E7439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у</w:t>
            </w:r>
            <w:r w:rsidR="001F0910"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 ЗМІ про хід оздоровчої </w:t>
            </w:r>
          </w:p>
          <w:p w:rsidR="001F0910" w:rsidRPr="00E74390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ru-RU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кампанії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Одиниць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635696" w:rsidRDefault="001F0910" w:rsidP="00635696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103</w:t>
            </w:r>
            <w:r w:rsidR="00635696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208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208</w:t>
            </w:r>
          </w:p>
        </w:tc>
      </w:tr>
    </w:tbl>
    <w:p w:rsidR="001F0910" w:rsidRPr="00AF1F09" w:rsidRDefault="001F0910" w:rsidP="003F61A2">
      <w:pPr>
        <w:suppressAutoHyphens w:val="0"/>
        <w:rPr>
          <w:rFonts w:ascii="Times New Roman" w:hAnsi="Times New Roman" w:cs="Times New Roman"/>
          <w:bCs/>
          <w:spacing w:val="2"/>
          <w:position w:val="2"/>
          <w:sz w:val="36"/>
          <w:szCs w:val="36"/>
          <w:lang w:eastAsia="ru-RU"/>
        </w:rPr>
      </w:pP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12. Координація та </w:t>
      </w:r>
      <w:r w:rsid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контроль за виконанням Програми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(орган, уповноважений здійснювати координацію та контроль за виконанням, строки проведення звітності)</w:t>
      </w:r>
      <w:r w:rsid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: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</w:t>
      </w:r>
      <w:r w:rsid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к</w:t>
      </w:r>
      <w:r w:rsidRPr="00AF1F09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онтроль за виконанням здійснює </w:t>
      </w:r>
      <w:r w:rsidR="00AF1F09" w:rsidRPr="00AF1F09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постійна</w:t>
      </w:r>
      <w:r w:rsidR="00AF1F09" w:rsidRP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</w:t>
      </w:r>
      <w:r w:rsidRPr="00AF1F09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комісія обласної ради з питань </w:t>
      </w:r>
      <w:r w:rsidR="00AF1F09" w:rsidRPr="00AF1F09">
        <w:rPr>
          <w:rFonts w:ascii="Times New Roman" w:hAnsi="Times New Roman" w:cs="Times New Roman"/>
          <w:sz w:val="28"/>
          <w:szCs w:val="28"/>
        </w:rPr>
        <w:t>науки,</w:t>
      </w:r>
      <w:r w:rsidR="00AF1F09" w:rsidRPr="007B3038">
        <w:rPr>
          <w:rFonts w:ascii="Times New Roman" w:hAnsi="Times New Roman" w:cs="Times New Roman"/>
          <w:sz w:val="28"/>
          <w:szCs w:val="28"/>
        </w:rPr>
        <w:t xml:space="preserve"> </w:t>
      </w:r>
      <w:r w:rsidRPr="00AF1F09">
        <w:rPr>
          <w:rFonts w:ascii="Times New Roman" w:hAnsi="Times New Roman" w:cs="Times New Roman"/>
          <w:sz w:val="28"/>
          <w:szCs w:val="28"/>
        </w:rPr>
        <w:t xml:space="preserve">освіти, соціальної політики </w:t>
      </w:r>
      <w:r w:rsidR="00AF1F09" w:rsidRPr="007B3038">
        <w:rPr>
          <w:rFonts w:ascii="Times New Roman" w:hAnsi="Times New Roman" w:cs="Times New Roman"/>
          <w:sz w:val="28"/>
          <w:szCs w:val="28"/>
        </w:rPr>
        <w:t>та</w:t>
      </w:r>
      <w:r w:rsidRPr="00AF1F09">
        <w:rPr>
          <w:rFonts w:ascii="Times New Roman" w:hAnsi="Times New Roman" w:cs="Times New Roman"/>
          <w:sz w:val="28"/>
          <w:szCs w:val="28"/>
        </w:rPr>
        <w:t xml:space="preserve"> праці</w:t>
      </w:r>
      <w:r w:rsidR="007B3038">
        <w:rPr>
          <w:rFonts w:ascii="Times New Roman" w:hAnsi="Times New Roman" w:cs="Times New Roman"/>
          <w:sz w:val="28"/>
          <w:szCs w:val="28"/>
          <w:lang w:eastAsia="ru-RU"/>
        </w:rPr>
        <w:t>; д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епартамент соціального захисту населення обл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держ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адміністрації здійснює загальне керівництво й контроль за виконанням заходів і завдань Програми шляхом надання щоквартально до 15 числа місяця, що настає за звітним періодом, звітів до обласної ради та обл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держ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адміністрації.</w:t>
      </w:r>
    </w:p>
    <w:p w:rsidR="001F0910" w:rsidRPr="008C1EDB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ІІ. Зазначення стратегічних, оперативних цілей та завдань Стратегії регіонального розвитку Дніпропетровської області на відповідний період, на реалізацію яких спрямована Програма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відповідає Стратегічній цілі 2 </w:t>
      </w:r>
      <w:r w:rsidR="00AF1F09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інтегрованого розвитку територій та підвищення якості публічних послуг задля збереження та розвитку людського капіталу”, операційній цілі 2.8. </w:t>
      </w:r>
      <w:r w:rsidR="00AF1F09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соціального захисту, підтримки та інтеграції ветеранів і представників інших вразливих груп”, завданню 2.8.3. </w:t>
      </w:r>
      <w:r w:rsidR="00AF1F09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Забезпечення доступності психологічної допомоги та підтримки ментального здоров’я”.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Розділ ІІІ. Склад проблеми та обґрунтування необхідності її розв’язання шляхом розроблення </w:t>
      </w:r>
      <w:r w:rsidR="007B3038"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Конвенцією ООН про права дитини, ратифікованою Верховною Радою України, проголошено, що діти мають не тільки особливі потреби, а й громадянські, політичні, соціальні, культурні та економічні права. Одним із найважливіших стратегічних завдань нашої держави в забезпеченні соціального захисту дитинства є реалізація їхнього права на оздоровлення та відпочинок. </w:t>
      </w: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</w:rPr>
        <w:t>Адже питання оздоровлення та відпочинку дітей є показником рівня життя населення та розвитку держави в цілому, а для країни мають важливе соціальне та економічне значення, особливо в умовах дії воєнного стану, психоемоційного вигоряння дорослих і дітей, посилення стресового тиску в житті громадян.</w:t>
      </w: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  <w:shd w:val="clear" w:color="auto" w:fill="FFFFFF"/>
        </w:rPr>
        <w:t>Під час війни ментальне здоров’я дітей дуже страждає, адже досить часто їм доводиться перебувати в місцях, що зазнають руйнувань, поруч люди отримують поранення або й навіть гинуть. Окрім того, внутрішньо переміщеним дітям надзвичайно важко пристосуватися до нових умов. Якщо у дітей один або обидва батьки захищають нашу країну, то вони ще стикаються з болем від розлуки.</w:t>
      </w: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C1EDB">
        <w:rPr>
          <w:rFonts w:ascii="Times New Roman" w:hAnsi="Times New Roman" w:cs="Times New Roman"/>
          <w:sz w:val="28"/>
          <w:szCs w:val="28"/>
        </w:rPr>
        <w:t xml:space="preserve">Розроблення проєкту Регіональної програми </w:t>
      </w:r>
      <w:r w:rsidRPr="008C1E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оздоровлення та відпочинку дітей Дніпропетровської області на 2026 – 2030 роки</w:t>
      </w:r>
      <w:r w:rsidRPr="008C1EDB">
        <w:rPr>
          <w:rFonts w:ascii="Times New Roman" w:hAnsi="Times New Roman" w:cs="Times New Roman"/>
          <w:sz w:val="28"/>
          <w:szCs w:val="28"/>
        </w:rPr>
        <w:t xml:space="preserve"> викликано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 необхідністю покращити психоемоційний стан, організувати безпечне оздоровлення та відпочинок дітей, 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насамперед тих, які потребують особливої уваги та підтримки, визначених </w:t>
      </w:r>
      <w:hyperlink r:id="rId7" w:anchor="n9" w:tgtFrame="_blank" w:history="1">
        <w:r w:rsidRPr="008C1EDB">
          <w:rPr>
            <w:rFonts w:ascii="Times New Roman" w:hAnsi="Times New Roman" w:cs="Times New Roman"/>
            <w:sz w:val="28"/>
            <w:szCs w:val="28"/>
            <w:lang w:eastAsia="uk-UA"/>
          </w:rPr>
          <w:t>статтею 1</w:t>
        </w:r>
      </w:hyperlink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 Закону України </w:t>
      </w:r>
      <w:r w:rsidR="006A1452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Про оздоровлення та відпочинок дітей”, зокрема: 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" w:name="n21"/>
      <w:bookmarkEnd w:id="1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дітей-сиріт, дітей, позбавлених батьківського піклування;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" w:name="n22"/>
      <w:bookmarkEnd w:id="2"/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дітей осіб, визнаних учасниками бойових дій відповідно до                         </w:t>
      </w:r>
      <w:hyperlink r:id="rId8" w:anchor="n73" w:tgtFrame="_blank" w:history="1">
        <w:r w:rsidRPr="008C1EDB">
          <w:rPr>
            <w:rFonts w:ascii="Times New Roman" w:hAnsi="Times New Roman" w:cs="Times New Roman"/>
            <w:sz w:val="28"/>
            <w:szCs w:val="28"/>
            <w:lang w:eastAsia="uk-UA"/>
          </w:rPr>
          <w:t>пунктів 19 – 24</w:t>
        </w:r>
      </w:hyperlink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частини першої статті 6 Закону України </w:t>
      </w:r>
      <w:r w:rsidR="006A1452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Про статус ветеранів війни, гарантії їх соціального захисту”;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3" w:name="n23"/>
      <w:bookmarkEnd w:id="3"/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дітей,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 оборони, відсічі й стримування збройної агресії р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осійської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ф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едерації у Донецькій та Луганській областях, бойових дій чи збройних конфліктів або помер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оборони, відсічі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стримування збройної агресії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осійської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ф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едерації у Донецькій та Луганській областях, бойових дій чи збройних конфліктів, а також дітей загиблих (померлих) осіб, визначених у </w:t>
      </w:r>
      <w:hyperlink r:id="rId9" w:anchor="n657" w:tgtFrame="_blank" w:history="1">
        <w:r w:rsidRPr="008C1EDB">
          <w:rPr>
            <w:rFonts w:ascii="Times New Roman" w:hAnsi="Times New Roman" w:cs="Times New Roman"/>
            <w:sz w:val="28"/>
            <w:szCs w:val="28"/>
            <w:lang w:eastAsia="uk-UA"/>
          </w:rPr>
          <w:t>частині першій</w:t>
        </w:r>
      </w:hyperlink>
      <w:r w:rsidRPr="008C1EDB">
        <w:rPr>
          <w:rFonts w:ascii="Times New Roman" w:hAnsi="Times New Roman" w:cs="Times New Roman"/>
          <w:sz w:val="28"/>
          <w:szCs w:val="28"/>
          <w:lang w:eastAsia="uk-UA"/>
        </w:rPr>
        <w:t> статті 10</w:t>
      </w:r>
      <w:r w:rsidRPr="008C1EDB">
        <w:rPr>
          <w:rFonts w:ascii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-1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 Закону України </w:t>
      </w:r>
      <w:r w:rsidR="006A1452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Про статус ветеранів війни, гарантії їх соціального захисту”;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4" w:name="n24"/>
      <w:bookmarkEnd w:id="4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дітей, які проживають у населених пунктах, розташованих на лінії зіткнення;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5" w:name="n25"/>
      <w:bookmarkEnd w:id="5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 з інвалідністю, здатних до самообслуговування;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6" w:name="n26"/>
      <w:bookmarkEnd w:id="6"/>
      <w:r w:rsidRPr="008C1ED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рідних дітей батьків-вихователів або прийомних батьків, які проживають в одному дитячому будинку сімейного типу або в одній прийомній сім’ї;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7" w:name="n27"/>
      <w:bookmarkEnd w:id="7"/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дітей,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зятих на облік службами у справах дітей як таких, що перебувають у складних життєвих обставинах;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8" w:name="n28"/>
      <w:bookmarkEnd w:id="8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дітей, одному з батьків яких встановлено інвалідність I або II групи;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9" w:name="n29"/>
      <w:bookmarkStart w:id="10" w:name="n32"/>
      <w:bookmarkEnd w:id="9"/>
      <w:bookmarkEnd w:id="10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дітей, зареєстрованих як внутрішньо переміщені особи.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bookmarkStart w:id="11" w:name="n33"/>
      <w:bookmarkEnd w:id="11"/>
      <w:r w:rsidRPr="008C1EDB">
        <w:rPr>
          <w:color w:val="auto"/>
          <w:sz w:val="28"/>
          <w:szCs w:val="28"/>
        </w:rPr>
        <w:t>За оперативними даними територіальних громад, у 2025 році на території Дніпропетровської області мешкає понад 300 тисяч дітей віком</w:t>
      </w:r>
      <w:r>
        <w:rPr>
          <w:color w:val="auto"/>
          <w:sz w:val="28"/>
          <w:szCs w:val="28"/>
        </w:rPr>
        <w:t xml:space="preserve"> </w:t>
      </w:r>
      <w:r w:rsidRPr="008C1EDB">
        <w:rPr>
          <w:color w:val="auto"/>
          <w:sz w:val="28"/>
          <w:szCs w:val="28"/>
        </w:rPr>
        <w:t>від 7 до</w:t>
      </w:r>
      <w:r>
        <w:rPr>
          <w:color w:val="auto"/>
          <w:sz w:val="28"/>
          <w:szCs w:val="28"/>
        </w:rPr>
        <w:t xml:space="preserve"> </w:t>
      </w:r>
      <w:r w:rsidRPr="008C1EDB">
        <w:rPr>
          <w:color w:val="auto"/>
          <w:sz w:val="28"/>
          <w:szCs w:val="28"/>
        </w:rPr>
        <w:t xml:space="preserve">17 років, з яких майже 170 тисяч потребують особливої соціальної уваги </w:t>
      </w:r>
      <w:r w:rsidR="007B3038">
        <w:rPr>
          <w:color w:val="auto"/>
          <w:sz w:val="28"/>
          <w:szCs w:val="28"/>
        </w:rPr>
        <w:t>й</w:t>
      </w:r>
      <w:r w:rsidRPr="008C1EDB">
        <w:rPr>
          <w:color w:val="auto"/>
          <w:sz w:val="28"/>
          <w:szCs w:val="28"/>
        </w:rPr>
        <w:t xml:space="preserve"> підтримки та мають право на оздоровлення за рахунок бюджетних коштів. 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З початку повномасштабної війни спостерігається тенденція збільшення кількості дітей пільгових категорій за рахунок збільшення кількості дітей, один із батьків яких загинув (пропав безвісти) або помер </w:t>
      </w:r>
      <w:r w:rsidR="007B3038">
        <w:rPr>
          <w:color w:val="auto"/>
          <w:sz w:val="28"/>
          <w:szCs w:val="28"/>
        </w:rPr>
        <w:t>у</w:t>
      </w:r>
      <w:r w:rsidRPr="008C1EDB">
        <w:rPr>
          <w:color w:val="auto"/>
          <w:sz w:val="28"/>
          <w:szCs w:val="28"/>
        </w:rPr>
        <w:t xml:space="preserve">наслідок поранення, контузії чи каліцтва, одержаних у районах здійснення заходів із забезпечення національної безпеки </w:t>
      </w:r>
      <w:r w:rsidR="007B3038">
        <w:rPr>
          <w:color w:val="auto"/>
          <w:sz w:val="28"/>
          <w:szCs w:val="28"/>
        </w:rPr>
        <w:t>й</w:t>
      </w:r>
      <w:r w:rsidRPr="008C1EDB">
        <w:rPr>
          <w:color w:val="auto"/>
          <w:sz w:val="28"/>
          <w:szCs w:val="28"/>
        </w:rPr>
        <w:t xml:space="preserve"> оборони, проведення бойових дій чи збройних конфліктів; дітей осіб, визнаних учасниками бойових дій; дітей, зареєстрованих як внутрішньо переміщені особи. 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У воєнний час питання оздоровлення та відпочинку дітей стає особливо актуальним, але також </w:t>
      </w:r>
      <w:r w:rsidR="007B3038">
        <w:rPr>
          <w:color w:val="auto"/>
          <w:sz w:val="28"/>
          <w:szCs w:val="28"/>
        </w:rPr>
        <w:t>й</w:t>
      </w:r>
      <w:r w:rsidRPr="008C1EDB">
        <w:rPr>
          <w:color w:val="auto"/>
          <w:sz w:val="28"/>
          <w:szCs w:val="28"/>
        </w:rPr>
        <w:t xml:space="preserve"> </w:t>
      </w:r>
      <w:proofErr w:type="spellStart"/>
      <w:r w:rsidRPr="008C1EDB">
        <w:rPr>
          <w:color w:val="auto"/>
          <w:sz w:val="28"/>
          <w:szCs w:val="28"/>
        </w:rPr>
        <w:t>ускладнюється</w:t>
      </w:r>
      <w:proofErr w:type="spellEnd"/>
      <w:r w:rsidRPr="008C1EDB">
        <w:rPr>
          <w:color w:val="auto"/>
          <w:sz w:val="28"/>
          <w:szCs w:val="28"/>
        </w:rPr>
        <w:t>. Через введення воєнного стану в Україні на території Дніпропетровської області тимчасово не працює жоден позаміський заклад оздоровлення та відпочинку. Для порівняння: перед початком</w:t>
      </w:r>
      <w:r w:rsidR="007B3038">
        <w:rPr>
          <w:color w:val="auto"/>
          <w:sz w:val="28"/>
          <w:szCs w:val="28"/>
        </w:rPr>
        <w:t xml:space="preserve"> повномасштабної війни</w:t>
      </w:r>
      <w:r w:rsidRPr="008C1EDB">
        <w:rPr>
          <w:color w:val="auto"/>
          <w:sz w:val="28"/>
          <w:szCs w:val="28"/>
        </w:rPr>
        <w:t xml:space="preserve"> у 2021 році (навіть коли існували обмеження, пов’язані з </w:t>
      </w:r>
      <w:proofErr w:type="spellStart"/>
      <w:r w:rsidRPr="008C1EDB">
        <w:rPr>
          <w:color w:val="auto"/>
          <w:sz w:val="28"/>
          <w:szCs w:val="28"/>
        </w:rPr>
        <w:t>коронавірусною</w:t>
      </w:r>
      <w:proofErr w:type="spellEnd"/>
      <w:r w:rsidRPr="008C1EDB">
        <w:rPr>
          <w:color w:val="auto"/>
          <w:sz w:val="28"/>
          <w:szCs w:val="28"/>
        </w:rPr>
        <w:t xml:space="preserve"> інфекцією) на території області було забезпечено роботу 7 таких закладів.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Водночас дуже важливо забезпечити психологічну підтримку дітей, які переживають стрес, підтримку їх ментального здоров’я. У 2024 році для цього в області організовано роботу 59 таборів з денним перебуванням з урахуванням </w:t>
      </w:r>
      <w:proofErr w:type="spellStart"/>
      <w:r w:rsidRPr="008C1EDB">
        <w:rPr>
          <w:color w:val="auto"/>
          <w:sz w:val="28"/>
          <w:szCs w:val="28"/>
        </w:rPr>
        <w:t>безпекових</w:t>
      </w:r>
      <w:proofErr w:type="spellEnd"/>
      <w:r w:rsidRPr="008C1EDB">
        <w:rPr>
          <w:color w:val="auto"/>
          <w:sz w:val="28"/>
          <w:szCs w:val="28"/>
        </w:rPr>
        <w:t xml:space="preserve"> вимог. Для порівняння: у 2021 році працювало 237 таких закладів.</w:t>
      </w:r>
    </w:p>
    <w:p w:rsidR="001F0910" w:rsidRPr="008C1EDB" w:rsidRDefault="007B3038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раховуючи, що Дніпропетровська область розташована поряд із зоною бойових дій, вона отримує найбільше путівок за рахунок державних коштів для оздоровлення та відпочинку дітей пільгових категорій до Державного підприємства </w:t>
      </w:r>
      <w:r w:rsidR="003F61A2"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Міжнародний дитячий центр </w:t>
      </w:r>
      <w:r w:rsidR="003F61A2"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Артек”. Якщо у 2021 році путівками було забезпечено 765 дітей, то тільки за І півріччя 2025 року в                     ДП </w:t>
      </w:r>
      <w:r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МДЦ </w:t>
      </w:r>
      <w:r w:rsidR="003F61A2"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>Артек” оздоровилось вже 762 дитини.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Незважаючи на це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, можливості організації оздоровлення та відпочинку дітей, які потребують особливої уваги та підтримки, на території області є вкрай обмеженими, у зв’язку з чим зменшується кількість дітей, охоплених послугами оздоровлення та відпочинку. З 29,9 тис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 пільгових кат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егорій у 2021 році  до 4,6 тис.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дітей у 2024 році.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Розділ ІV. Мета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Головною метою виконання Програми є </w:t>
      </w:r>
      <w:r w:rsidRPr="008C1ED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забезпечення повноцінного оздоровлення та відпочинку дітей, передусім тих, які</w:t>
      </w:r>
      <w:r w:rsidRPr="008C1EDB">
        <w:rPr>
          <w:rFonts w:ascii="Times New Roman" w:hAnsi="Times New Roman" w:cs="Times New Roman"/>
          <w:sz w:val="28"/>
          <w:szCs w:val="28"/>
        </w:rPr>
        <w:t xml:space="preserve"> потребують особливої соціальної уваги та підтримки, а також підтримки їх ментального здоров’я.</w:t>
      </w:r>
    </w:p>
    <w:p w:rsidR="001F0910" w:rsidRPr="008C1EDB" w:rsidRDefault="001F0910" w:rsidP="003F61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V. Обґрунтування шляхів і засобів розв’язання проблеми</w:t>
      </w:r>
    </w:p>
    <w:p w:rsidR="001F0910" w:rsidRPr="008C1EDB" w:rsidRDefault="001F0910" w:rsidP="003F61A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>Основним шляхом вирішення проблеми є: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забезпечення організації роботи таборів з денним перебуванням </w:t>
      </w:r>
      <w:r w:rsidRPr="008C1EDB">
        <w:rPr>
          <w:rFonts w:ascii="Times New Roman" w:hAnsi="Times New Roman" w:cs="Times New Roman"/>
          <w:sz w:val="28"/>
          <w:szCs w:val="28"/>
        </w:rPr>
        <w:t>на базі дошкільної, загальної середньої, позашкільної, професійної (професійно-технічної) освіти, які мають укриття;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придбання путівок в оздоровчі заклади, які розташовані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найбільш безпечних районах країни;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</w:rPr>
        <w:t>виплата за рахунок місцевих бюджетів часткової вартості путівок до дитячих оздоровчих закладів для дітей, які потребують особливої соціальної уваги та підтримки;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>організація виїзду дітей за кордон на оздоровлення та відпочинок.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З огляду на ситуацію, що утворилася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сфері оздоровлення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відпочинку дітей, а саме: зменшення чисельності оздоровлених дітей пільгових категорій та відсутність дитячих закладів оздоровлення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відпочинку на території області, з’явилася потреба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ґрунтовному розробленні цілісної системи заходів з урахуванням сучасних реалій, що зробить оздоровлення та відпочинок дітей більш повноцінним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ефективним.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VI. Строки й етапи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Програма розрахована на п’ять років (початок – 2026 рік,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закінчення – 2030 рік) і реалізується в один етап.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VII. Перелік завдань і заходів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Програми є: </w:t>
      </w:r>
    </w:p>
    <w:p w:rsidR="001F0910" w:rsidRPr="008C1EDB" w:rsidRDefault="001F0910" w:rsidP="003F61A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EDB">
        <w:rPr>
          <w:rFonts w:ascii="Times New Roman" w:hAnsi="Times New Roman" w:cs="Times New Roman"/>
          <w:sz w:val="28"/>
          <w:szCs w:val="28"/>
        </w:rPr>
        <w:t>1)</w:t>
      </w: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створення належних умов для отримання послуг з оздоровлення </w:t>
      </w:r>
      <w:r w:rsidR="007B303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відпочинку дітьми, які потребують особливої соціальної уваги та підтримки;</w:t>
      </w:r>
    </w:p>
    <w:p w:rsidR="001F0910" w:rsidRPr="008C1EDB" w:rsidRDefault="001F0910" w:rsidP="003F61A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організація оздоровлення та відпочинку дітей, які потребують особливої соціальної уваги </w:t>
      </w:r>
      <w:r w:rsidR="007B30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</w:t>
      </w: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підтримки;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3) сприяння розвитку різних форм відпочинку та оздоровлення дітей,  які потребують особливої соціальної уваги 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Перелік завдань і заходів Програми наведено в додатку 1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додатк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обласної ради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Розділ VIII. Ресурсне забезпечення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заходів Програми здійснюється за рахунок коштів державного, обласного бюджету, місцевих бюджетів та інших джерел, не заборонених чинним законодавством України. Обсяги фінансування з обласного бюджету визначаються щороку під час його формування або 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ході виконання в межах передбачених фінансових ресурсів.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Розділ IX. Організація управління та </w:t>
      </w: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контролю за ходом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Замовником Програми є департамент соціального захисту населення обл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Програми здійснює постійна комісія обласної ради з питань </w:t>
      </w:r>
      <w:r w:rsidR="007B3038" w:rsidRPr="008C1EDB">
        <w:rPr>
          <w:rFonts w:ascii="Times New Roman" w:hAnsi="Times New Roman" w:cs="Times New Roman"/>
          <w:sz w:val="28"/>
          <w:szCs w:val="28"/>
          <w:lang w:val="uk-UA"/>
        </w:rPr>
        <w:t>науки,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освіти, соціальної політики 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праці.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Виконавцем заходів Програми є </w:t>
      </w:r>
      <w:r w:rsidRPr="008C1EDB">
        <w:rPr>
          <w:rFonts w:ascii="Times New Roman" w:hAnsi="Times New Roman"/>
          <w:sz w:val="28"/>
          <w:szCs w:val="28"/>
          <w:lang w:val="uk-UA"/>
        </w:rPr>
        <w:t>департамент соціального захисту населення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департамент освіти і науки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молоді і спорту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культури, туризму національностей і релігій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/>
          <w:sz w:val="28"/>
          <w:szCs w:val="28"/>
          <w:lang w:val="uk-UA"/>
        </w:rPr>
        <w:t>департамент інформаційної діяльності та комунікацій з громадськістю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служба у справах дітей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адміністрації, </w:t>
      </w:r>
      <w:r w:rsidRPr="008C1EDB">
        <w:rPr>
          <w:rFonts w:ascii="Times New Roman" w:hAnsi="Times New Roman"/>
          <w:sz w:val="28"/>
          <w:szCs w:val="28"/>
          <w:lang w:val="uk-UA"/>
        </w:rPr>
        <w:t xml:space="preserve">виконавчі </w:t>
      </w:r>
      <w:r w:rsidR="00652C6E">
        <w:rPr>
          <w:rFonts w:ascii="Times New Roman" w:hAnsi="Times New Roman"/>
          <w:sz w:val="28"/>
          <w:szCs w:val="28"/>
          <w:lang w:val="uk-UA"/>
        </w:rPr>
        <w:t>органи</w:t>
      </w:r>
      <w:r w:rsidRPr="008C1EDB">
        <w:rPr>
          <w:rFonts w:ascii="Times New Roman" w:hAnsi="Times New Roman"/>
          <w:sz w:val="28"/>
          <w:szCs w:val="28"/>
          <w:lang w:val="uk-UA"/>
        </w:rPr>
        <w:t xml:space="preserve"> міських, сільських, селищних рад (за згодою).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Департамент соціального захисту населення обл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готує звіт про результати виконання Програми 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надає його до обл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адміністрації та обласної ради щокварталу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до 15 числа місяця, що настає за звітним періодом.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Х. Очікувані кінцеві результати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збільшити кількість дітей, охоплених відпочинком та оздоровленням;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</w:pP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  <w:t>забезпечити виплату батькам компенсації за проїз</w:t>
      </w:r>
      <w:r w:rsidR="0053602F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  <w:t>д дітей до табору оздоровлення й у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  <w:t xml:space="preserve"> зворотному напрямку;</w:t>
      </w: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EDB">
        <w:rPr>
          <w:rFonts w:ascii="Times New Roman" w:hAnsi="Times New Roman" w:cs="Times New Roman"/>
          <w:sz w:val="28"/>
          <w:szCs w:val="28"/>
        </w:rPr>
        <w:t xml:space="preserve">покращити психоемоційний стан дітей, які перебуватимуть у закладах відпочинку та оздоровлення,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розташованих у більш безпечних областях України.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Показники оцінки ефективності Програми викладено в додатку 2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додатк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обласної ради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910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696C" w:rsidRPr="003F61A2" w:rsidRDefault="003F61A2" w:rsidP="003F61A2">
      <w:pPr>
        <w:suppressAutoHyphens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F61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Заступник голови обласної ради                                          І. КАШИРІН</w:t>
      </w:r>
    </w:p>
    <w:sectPr w:rsidR="0096696C" w:rsidRPr="003F61A2" w:rsidSect="001F0910">
      <w:headerReference w:type="default" r:id="rId10"/>
      <w:pgSz w:w="11906" w:h="16838" w:code="9"/>
      <w:pgMar w:top="1134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99" w:rsidRDefault="00985499" w:rsidP="001F0910">
      <w:r>
        <w:separator/>
      </w:r>
    </w:p>
  </w:endnote>
  <w:endnote w:type="continuationSeparator" w:id="0">
    <w:p w:rsidR="00985499" w:rsidRDefault="00985499" w:rsidP="001F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99" w:rsidRDefault="00985499" w:rsidP="001F0910">
      <w:r>
        <w:separator/>
      </w:r>
    </w:p>
  </w:footnote>
  <w:footnote w:type="continuationSeparator" w:id="0">
    <w:p w:rsidR="00985499" w:rsidRDefault="00985499" w:rsidP="001F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524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0910" w:rsidRPr="001F0910" w:rsidRDefault="001F0910" w:rsidP="001F091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9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9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9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7068" w:rsidRPr="001F706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1F09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10"/>
    <w:rsid w:val="000C09D1"/>
    <w:rsid w:val="001F0910"/>
    <w:rsid w:val="001F7068"/>
    <w:rsid w:val="002F23C7"/>
    <w:rsid w:val="003F61A2"/>
    <w:rsid w:val="00403856"/>
    <w:rsid w:val="00442849"/>
    <w:rsid w:val="004D6860"/>
    <w:rsid w:val="0053602F"/>
    <w:rsid w:val="0062305F"/>
    <w:rsid w:val="00635696"/>
    <w:rsid w:val="00647C9F"/>
    <w:rsid w:val="00652C6E"/>
    <w:rsid w:val="006A1452"/>
    <w:rsid w:val="00717061"/>
    <w:rsid w:val="00766740"/>
    <w:rsid w:val="007B3038"/>
    <w:rsid w:val="008B301F"/>
    <w:rsid w:val="009125F9"/>
    <w:rsid w:val="00925A1B"/>
    <w:rsid w:val="0096696C"/>
    <w:rsid w:val="00985499"/>
    <w:rsid w:val="00AF1F09"/>
    <w:rsid w:val="00B04EEC"/>
    <w:rsid w:val="00B33A0E"/>
    <w:rsid w:val="00C940B4"/>
    <w:rsid w:val="00D20A9D"/>
    <w:rsid w:val="00D9197A"/>
    <w:rsid w:val="00E7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10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0910"/>
    <w:pPr>
      <w:suppressAutoHyphens/>
      <w:spacing w:after="0" w:line="240" w:lineRule="auto"/>
    </w:pPr>
    <w:rPr>
      <w:rFonts w:ascii="Calibri" w:eastAsia="Times New Roman" w:hAnsi="Calibri" w:cs="Calibri"/>
      <w:lang w:val="ru-RU" w:eastAsia="zh-CN"/>
    </w:rPr>
  </w:style>
  <w:style w:type="paragraph" w:customStyle="1" w:styleId="Default">
    <w:name w:val="Default"/>
    <w:rsid w:val="001F0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2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05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10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0910"/>
    <w:pPr>
      <w:suppressAutoHyphens/>
      <w:spacing w:after="0" w:line="240" w:lineRule="auto"/>
    </w:pPr>
    <w:rPr>
      <w:rFonts w:ascii="Calibri" w:eastAsia="Times New Roman" w:hAnsi="Calibri" w:cs="Calibri"/>
      <w:lang w:val="ru-RU" w:eastAsia="zh-CN"/>
    </w:rPr>
  </w:style>
  <w:style w:type="paragraph" w:customStyle="1" w:styleId="Default">
    <w:name w:val="Default"/>
    <w:rsid w:val="001F0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2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0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75-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10278</Words>
  <Characters>5860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2025-12-08T09:38:00Z</cp:lastPrinted>
  <dcterms:created xsi:type="dcterms:W3CDTF">2025-09-30T09:37:00Z</dcterms:created>
  <dcterms:modified xsi:type="dcterms:W3CDTF">2025-12-19T11:48:00Z</dcterms:modified>
</cp:coreProperties>
</file>