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2B" w:rsidRPr="000442B5" w:rsidRDefault="00DC482B" w:rsidP="00DC482B">
      <w:pPr>
        <w:pStyle w:val="a4"/>
        <w:tabs>
          <w:tab w:val="left" w:pos="-1276"/>
        </w:tabs>
        <w:spacing w:after="0"/>
        <w:ind w:left="10065"/>
        <w:rPr>
          <w:rFonts w:ascii="Times New Roman" w:hAnsi="Times New Roman" w:cs="Times New Roman"/>
          <w:sz w:val="28"/>
          <w:szCs w:val="28"/>
          <w:lang w:val="ru-RU"/>
        </w:rPr>
      </w:pPr>
      <w:r w:rsidRPr="00DC482B">
        <w:rPr>
          <w:rFonts w:ascii="Times New Roman" w:hAnsi="Times New Roman" w:cs="Times New Roman"/>
          <w:sz w:val="28"/>
          <w:szCs w:val="28"/>
        </w:rPr>
        <w:t>Додаток 2</w:t>
      </w:r>
      <w:r w:rsidRPr="00044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482B">
        <w:rPr>
          <w:rFonts w:ascii="Times New Roman" w:hAnsi="Times New Roman" w:cs="Times New Roman"/>
          <w:sz w:val="28"/>
          <w:szCs w:val="28"/>
        </w:rPr>
        <w:t xml:space="preserve">до додатка </w:t>
      </w:r>
    </w:p>
    <w:p w:rsidR="00DC482B" w:rsidRDefault="00DC482B" w:rsidP="00DC482B">
      <w:pPr>
        <w:pStyle w:val="a4"/>
        <w:tabs>
          <w:tab w:val="left" w:pos="-1276"/>
        </w:tabs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 w:rsidRPr="00DC482B">
        <w:rPr>
          <w:rFonts w:ascii="Times New Roman" w:hAnsi="Times New Roman" w:cs="Times New Roman"/>
          <w:sz w:val="28"/>
          <w:szCs w:val="28"/>
        </w:rPr>
        <w:t xml:space="preserve">до рішення обласної ради </w:t>
      </w:r>
    </w:p>
    <w:p w:rsidR="00861DE7" w:rsidRPr="00861DE7" w:rsidRDefault="00861DE7" w:rsidP="00DC482B">
      <w:pPr>
        <w:pStyle w:val="a4"/>
        <w:tabs>
          <w:tab w:val="left" w:pos="-1276"/>
        </w:tabs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1DE7">
        <w:rPr>
          <w:rFonts w:ascii="Times New Roman" w:hAnsi="Times New Roman" w:cs="Times New Roman"/>
          <w:sz w:val="28"/>
          <w:szCs w:val="28"/>
        </w:rPr>
        <w:t>№ 545-27/VIII 18.12.2025</w:t>
      </w:r>
    </w:p>
    <w:bookmarkEnd w:id="0"/>
    <w:p w:rsidR="00DC482B" w:rsidRPr="00DC482B" w:rsidRDefault="00DC482B" w:rsidP="00DC482B">
      <w:pPr>
        <w:jc w:val="center"/>
        <w:rPr>
          <w:b/>
          <w:sz w:val="28"/>
          <w:szCs w:val="28"/>
          <w:lang w:eastAsia="ru-RU"/>
        </w:rPr>
      </w:pPr>
      <w:r w:rsidRPr="00DC482B">
        <w:rPr>
          <w:b/>
          <w:sz w:val="28"/>
          <w:szCs w:val="28"/>
          <w:lang w:eastAsia="ru-RU"/>
        </w:rPr>
        <w:t>ПОКАЗНИКИ</w:t>
      </w:r>
    </w:p>
    <w:p w:rsidR="00DC482B" w:rsidRPr="00DC482B" w:rsidRDefault="00DC482B" w:rsidP="00DC482B">
      <w:pPr>
        <w:jc w:val="center"/>
        <w:rPr>
          <w:b/>
          <w:sz w:val="28"/>
          <w:szCs w:val="28"/>
          <w:lang w:eastAsia="ru-RU"/>
        </w:rPr>
      </w:pPr>
      <w:r w:rsidRPr="00DC482B">
        <w:rPr>
          <w:b/>
          <w:sz w:val="28"/>
          <w:szCs w:val="28"/>
          <w:lang w:eastAsia="ru-RU"/>
        </w:rPr>
        <w:t>оцінки ефективності виконання Програми</w:t>
      </w:r>
    </w:p>
    <w:p w:rsidR="00DC482B" w:rsidRPr="00DC482B" w:rsidRDefault="00DC482B" w:rsidP="00DC482B">
      <w:pPr>
        <w:rPr>
          <w:b/>
        </w:rPr>
      </w:pPr>
    </w:p>
    <w:tbl>
      <w:tblPr>
        <w:tblW w:w="150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683"/>
        <w:gridCol w:w="2831"/>
        <w:gridCol w:w="992"/>
        <w:gridCol w:w="1276"/>
        <w:gridCol w:w="709"/>
        <w:gridCol w:w="709"/>
        <w:gridCol w:w="709"/>
        <w:gridCol w:w="708"/>
        <w:gridCol w:w="708"/>
      </w:tblGrid>
      <w:tr w:rsidR="00DC482B" w:rsidRPr="003326FB" w:rsidTr="00DC482B">
        <w:trPr>
          <w:trHeight w:val="330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ind w:right="-108"/>
              <w:jc w:val="center"/>
              <w:rPr>
                <w:b/>
              </w:rPr>
            </w:pPr>
            <w:r w:rsidRPr="003326FB">
              <w:rPr>
                <w:b/>
              </w:rPr>
              <w:t>Назва завдання Програми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ind w:right="-108"/>
              <w:jc w:val="center"/>
              <w:rPr>
                <w:b/>
              </w:rPr>
            </w:pPr>
            <w:r w:rsidRPr="003326FB">
              <w:rPr>
                <w:b/>
              </w:rPr>
              <w:t>Зміст заходів Програми з виконання завдання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ind w:right="-108"/>
              <w:jc w:val="center"/>
              <w:rPr>
                <w:b/>
              </w:rPr>
            </w:pPr>
            <w:r w:rsidRPr="003326FB">
              <w:rPr>
                <w:b/>
              </w:rPr>
              <w:t>Результативні показники виконання заходів</w:t>
            </w:r>
          </w:p>
          <w:p w:rsidR="00DC482B" w:rsidRPr="003326FB" w:rsidRDefault="00DC482B" w:rsidP="00DC482B">
            <w:pPr>
              <w:ind w:right="-108"/>
              <w:jc w:val="center"/>
              <w:rPr>
                <w:b/>
                <w:highlight w:val="yellow"/>
              </w:rPr>
            </w:pPr>
            <w:r w:rsidRPr="003326FB">
              <w:rPr>
                <w:b/>
              </w:rPr>
              <w:t>(кількісні та якісні)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jc w:val="center"/>
              <w:rPr>
                <w:b/>
              </w:rPr>
            </w:pPr>
            <w:r w:rsidRPr="003326FB">
              <w:rPr>
                <w:b/>
              </w:rPr>
              <w:t>Одиниці</w:t>
            </w:r>
          </w:p>
          <w:p w:rsidR="00DC482B" w:rsidRPr="003326FB" w:rsidRDefault="00DC482B" w:rsidP="00DC482B">
            <w:pPr>
              <w:jc w:val="center"/>
              <w:rPr>
                <w:b/>
              </w:rPr>
            </w:pPr>
            <w:r w:rsidRPr="003326FB">
              <w:rPr>
                <w:b/>
              </w:rPr>
              <w:t>виміру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3326FB">
            <w:pPr>
              <w:jc w:val="center"/>
              <w:rPr>
                <w:b/>
              </w:rPr>
            </w:pPr>
            <w:r w:rsidRPr="003326FB">
              <w:rPr>
                <w:b/>
              </w:rPr>
              <w:t xml:space="preserve">Всього </w:t>
            </w:r>
            <w:r w:rsidR="003326FB">
              <w:rPr>
                <w:b/>
              </w:rPr>
              <w:t>за Програмою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3326FB">
            <w:pPr>
              <w:jc w:val="center"/>
              <w:rPr>
                <w:b/>
                <w:highlight w:val="yellow"/>
              </w:rPr>
            </w:pPr>
            <w:r w:rsidRPr="003326FB">
              <w:rPr>
                <w:b/>
              </w:rPr>
              <w:t xml:space="preserve">Значення показника </w:t>
            </w:r>
            <w:r w:rsidR="003326FB">
              <w:rPr>
                <w:b/>
              </w:rPr>
              <w:t>за</w:t>
            </w:r>
            <w:r w:rsidRPr="003326FB">
              <w:rPr>
                <w:b/>
              </w:rPr>
              <w:t xml:space="preserve"> рока</w:t>
            </w:r>
            <w:r w:rsidR="003326FB">
              <w:rPr>
                <w:b/>
              </w:rPr>
              <w:t>ми</w:t>
            </w:r>
          </w:p>
        </w:tc>
      </w:tr>
      <w:tr w:rsidR="00DC482B" w:rsidRPr="003326FB" w:rsidTr="00DC482B">
        <w:trPr>
          <w:trHeight w:val="453"/>
          <w:tblHeader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b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b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b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ind w:left="-108" w:right="-97"/>
              <w:jc w:val="center"/>
              <w:rPr>
                <w:b/>
              </w:rPr>
            </w:pPr>
            <w:r w:rsidRPr="003326FB">
              <w:rPr>
                <w:b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ind w:left="-108" w:right="-97"/>
              <w:jc w:val="center"/>
              <w:rPr>
                <w:b/>
              </w:rPr>
            </w:pPr>
            <w:r w:rsidRPr="003326FB">
              <w:rPr>
                <w:b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ind w:left="-108" w:right="-97"/>
              <w:jc w:val="center"/>
              <w:rPr>
                <w:b/>
              </w:rPr>
            </w:pPr>
            <w:r w:rsidRPr="003326FB">
              <w:rPr>
                <w:b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ind w:left="-108" w:right="-97"/>
              <w:jc w:val="center"/>
              <w:rPr>
                <w:b/>
              </w:rPr>
            </w:pPr>
            <w:r w:rsidRPr="003326FB">
              <w:rPr>
                <w:b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ind w:left="-108" w:right="-97"/>
              <w:jc w:val="center"/>
              <w:rPr>
                <w:b/>
              </w:rPr>
            </w:pPr>
            <w:r w:rsidRPr="003326FB">
              <w:rPr>
                <w:b/>
              </w:rPr>
              <w:t>2030</w:t>
            </w:r>
          </w:p>
        </w:tc>
      </w:tr>
      <w:tr w:rsidR="00DC482B" w:rsidRPr="003326FB" w:rsidTr="00DC482B">
        <w:trPr>
          <w:trHeight w:val="78"/>
          <w:tblHeader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ind w:right="-108"/>
              <w:jc w:val="center"/>
            </w:pPr>
            <w:r w:rsidRPr="003326FB"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ind w:right="-108"/>
              <w:jc w:val="center"/>
              <w:rPr>
                <w:highlight w:val="yellow"/>
              </w:rPr>
            </w:pPr>
            <w:r w:rsidRPr="003326FB"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ind w:right="-108"/>
              <w:jc w:val="center"/>
              <w:rPr>
                <w:highlight w:val="yellow"/>
              </w:rPr>
            </w:pPr>
            <w:r w:rsidRPr="003326FB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ind w:left="-108" w:right="-97"/>
              <w:jc w:val="center"/>
            </w:pPr>
            <w:r w:rsidRPr="003326FB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ind w:left="-108" w:right="-97"/>
              <w:jc w:val="center"/>
            </w:pPr>
            <w:r w:rsidRPr="0033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ind w:left="-108" w:right="-97"/>
              <w:jc w:val="center"/>
            </w:pPr>
            <w:r w:rsidRPr="003326FB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ind w:left="-108" w:right="-97"/>
              <w:jc w:val="center"/>
            </w:pPr>
            <w:r w:rsidRPr="003326FB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ind w:left="-108" w:right="-97"/>
              <w:jc w:val="center"/>
            </w:pPr>
            <w:r w:rsidRPr="003326FB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ind w:left="-108" w:right="-97"/>
              <w:jc w:val="center"/>
            </w:pPr>
            <w:r w:rsidRPr="003326FB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ind w:left="-108" w:right="-97"/>
              <w:jc w:val="center"/>
            </w:pPr>
            <w:r w:rsidRPr="003326FB">
              <w:t>10</w:t>
            </w:r>
          </w:p>
        </w:tc>
      </w:tr>
      <w:tr w:rsidR="00DC482B" w:rsidRPr="003326FB" w:rsidTr="00102684">
        <w:trPr>
          <w:trHeight w:val="1598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4"/>
              <w:tabs>
                <w:tab w:val="left" w:pos="-127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FB">
              <w:rPr>
                <w:rFonts w:ascii="Times New Roman" w:hAnsi="Times New Roman" w:cs="Times New Roman"/>
                <w:sz w:val="20"/>
                <w:szCs w:val="20"/>
              </w:rPr>
              <w:t>1. Посилення інституційної спроможності, координація політики та зміцнення співпраці спеціалістів (фахівців), які здійснюють заходи у сфері протидії торгівлі людьми</w:t>
            </w:r>
          </w:p>
          <w:p w:rsidR="00DC482B" w:rsidRPr="003326FB" w:rsidRDefault="00DC482B" w:rsidP="00DC482B">
            <w:pPr>
              <w:tabs>
                <w:tab w:val="left" w:pos="1315"/>
              </w:tabs>
              <w:rPr>
                <w:noProof/>
                <w:highlight w:val="yellow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1.1. Актуалізація (у разі потреби)  наявних та розроблення і затвердження нових програм підвищення кваліфікації для державних службовців місцевих держадміністрацій та посадових осіб місцевого самоврядування, відповідальних за питання протидії торгівлі людьми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r w:rsidRPr="003326FB">
              <w:t>1.1.1. Кількість програм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ind w:left="-108" w:right="-97"/>
              <w:jc w:val="center"/>
            </w:pPr>
            <w:r w:rsidRPr="003326F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1</w:t>
            </w:r>
          </w:p>
        </w:tc>
      </w:tr>
      <w:tr w:rsidR="00DC482B" w:rsidRPr="003326FB" w:rsidTr="00102684">
        <w:trPr>
          <w:trHeight w:val="816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noProof/>
                <w:highlight w:val="yellow"/>
              </w:rPr>
            </w:pP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4"/>
              <w:tabs>
                <w:tab w:val="left" w:pos="-127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FB">
              <w:rPr>
                <w:rFonts w:ascii="Times New Roman" w:hAnsi="Times New Roman" w:cs="Times New Roman"/>
                <w:sz w:val="20"/>
                <w:szCs w:val="20"/>
              </w:rPr>
              <w:t>1.2. Проведення навчання та підвищення кваліфікації представників територіальних громад області</w:t>
            </w:r>
            <w:r w:rsidR="003326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326FB">
              <w:rPr>
                <w:rFonts w:ascii="Times New Roman" w:hAnsi="Times New Roman" w:cs="Times New Roman"/>
                <w:sz w:val="20"/>
                <w:szCs w:val="20"/>
              </w:rPr>
              <w:t xml:space="preserve"> які працюють у сфері протидії торгівлі людьми</w:t>
            </w:r>
            <w:r w:rsidR="003326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326FB">
              <w:rPr>
                <w:rFonts w:ascii="Times New Roman" w:hAnsi="Times New Roman" w:cs="Times New Roman"/>
                <w:sz w:val="20"/>
                <w:szCs w:val="20"/>
              </w:rPr>
              <w:t xml:space="preserve"> щодо забезпечення надання соціальних послуг постраждалим від торгівлі людьми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760433">
            <w:r w:rsidRPr="003326FB">
              <w:t xml:space="preserve">1.2.1. Кількість </w:t>
            </w:r>
            <w:r w:rsidR="00760433">
              <w:t>фахівців</w:t>
            </w:r>
            <w:r w:rsidRPr="003326FB">
              <w:t>, які пройшли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0442B5">
            <w:pPr>
              <w:jc w:val="center"/>
            </w:pPr>
            <w:r w:rsidRPr="003326FB"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0442B5">
            <w:pPr>
              <w:pStyle w:val="a5"/>
              <w:spacing w:before="0"/>
              <w:ind w:firstLine="0"/>
              <w:jc w:val="center"/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0442B5">
            <w:pPr>
              <w:pStyle w:val="a5"/>
              <w:spacing w:before="0"/>
              <w:ind w:firstLine="0"/>
              <w:jc w:val="center"/>
              <w:rPr>
                <w:noProof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0442B5" w:rsidRDefault="000442B5" w:rsidP="000442B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0442B5">
              <w:rPr>
                <w:rFonts w:ascii="Times New Roman" w:hAnsi="Times New Roman"/>
                <w:noProof/>
                <w:sz w:val="20"/>
                <w:lang w:eastAsia="uk-UA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0442B5" w:rsidRDefault="000442B5" w:rsidP="000442B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  <w:rPr>
                <w:noProof/>
              </w:rPr>
            </w:pPr>
            <w:r w:rsidRPr="003326FB">
              <w:rPr>
                <w:noProof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  <w:rPr>
                <w:noProof/>
              </w:rPr>
            </w:pPr>
            <w:r w:rsidRPr="003326FB">
              <w:rPr>
                <w:noProof/>
              </w:rPr>
              <w:t>130</w:t>
            </w:r>
          </w:p>
        </w:tc>
      </w:tr>
      <w:tr w:rsidR="00DC482B" w:rsidRPr="003326FB" w:rsidTr="00102684">
        <w:trPr>
          <w:trHeight w:val="656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noProof/>
                <w:highlight w:val="yellow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/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r w:rsidRPr="003326FB">
              <w:t>1.2.2. Кількість проведених освітніх заходів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</w:tr>
      <w:tr w:rsidR="00DC482B" w:rsidRPr="003326FB" w:rsidTr="00102684">
        <w:trPr>
          <w:trHeight w:val="3199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noProof/>
                <w:highlight w:val="yellow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4"/>
              <w:tabs>
                <w:tab w:val="left" w:pos="-127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FB">
              <w:rPr>
                <w:rFonts w:ascii="Times New Roman" w:hAnsi="Times New Roman" w:cs="Times New Roman"/>
                <w:sz w:val="20"/>
                <w:szCs w:val="20"/>
              </w:rPr>
              <w:t xml:space="preserve">1.3. Забезпечення діяльності міжвідомчої робочої групи, місцевих координаційних рад з питань протидії торгівлі людьми, а також проведення міжвідомчих нарад щодо запобігання торгівлі людьми. Організація надання допомоги особам, які постраждали від торгівлі людьми, налагодження дієвого механізму </w:t>
            </w:r>
            <w:proofErr w:type="spellStart"/>
            <w:r w:rsidRPr="003326FB">
              <w:rPr>
                <w:rFonts w:ascii="Times New Roman" w:hAnsi="Times New Roman" w:cs="Times New Roman"/>
                <w:sz w:val="20"/>
                <w:szCs w:val="20"/>
              </w:rPr>
              <w:t>перенаправлення</w:t>
            </w:r>
            <w:proofErr w:type="spellEnd"/>
            <w:r w:rsidRPr="003326FB">
              <w:rPr>
                <w:rFonts w:ascii="Times New Roman" w:hAnsi="Times New Roman" w:cs="Times New Roman"/>
                <w:sz w:val="20"/>
                <w:szCs w:val="20"/>
              </w:rPr>
              <w:t xml:space="preserve"> таких осіб до спеціалізованих служб підтримки осіб, які постраждали від торгівлі людьми з урахуванням викликів та загроз у зв’язку з повномасштабним вторгненням російської федерації на </w:t>
            </w:r>
            <w:r w:rsidRPr="00332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територію України.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r w:rsidRPr="003326FB">
              <w:lastRenderedPageBreak/>
              <w:t>1.3.1. Кількість проведених засідань координаційної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</w:tr>
      <w:tr w:rsidR="00DC482B" w:rsidRPr="003326FB" w:rsidTr="00DC482B">
        <w:trPr>
          <w:trHeight w:val="13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2B" w:rsidRPr="003326FB" w:rsidRDefault="00DC482B" w:rsidP="00DC482B">
            <w:pPr>
              <w:jc w:val="center"/>
              <w:rPr>
                <w:noProof/>
                <w:highlight w:val="yellow"/>
                <w:lang w:val="en-US"/>
              </w:rPr>
            </w:pPr>
            <w:r w:rsidRPr="003326FB">
              <w:rPr>
                <w:noProof/>
                <w:lang w:val="en-US"/>
              </w:rPr>
              <w:lastRenderedPageBreak/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4"/>
              <w:tabs>
                <w:tab w:val="left" w:pos="-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jc w:val="center"/>
              <w:rPr>
                <w:lang w:val="en-US"/>
              </w:rPr>
            </w:pPr>
            <w:r w:rsidRPr="003326FB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jc w:val="center"/>
              <w:rPr>
                <w:lang w:val="en-US"/>
              </w:rPr>
            </w:pPr>
            <w:r w:rsidRPr="003326FB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10</w:t>
            </w:r>
          </w:p>
        </w:tc>
      </w:tr>
      <w:tr w:rsidR="00DC482B" w:rsidRPr="003326FB" w:rsidTr="00DC482B">
        <w:trPr>
          <w:trHeight w:val="140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noProof/>
                <w:highlight w:val="yellow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4"/>
              <w:tabs>
                <w:tab w:val="left" w:pos="-127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FB">
              <w:rPr>
                <w:rFonts w:ascii="Times New Roman" w:hAnsi="Times New Roman" w:cs="Times New Roman"/>
                <w:sz w:val="20"/>
                <w:szCs w:val="20"/>
              </w:rPr>
              <w:t>1.4. Проведення щоквартальних звірок та обміну статистичними даними щодо кількості осіб, які постраждали від торгівлі людьми</w:t>
            </w:r>
            <w:r w:rsidR="003326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326FB">
              <w:rPr>
                <w:rFonts w:ascii="Times New Roman" w:hAnsi="Times New Roman" w:cs="Times New Roman"/>
                <w:sz w:val="20"/>
                <w:szCs w:val="20"/>
              </w:rPr>
              <w:t xml:space="preserve"> та інформування  про можливість отримання статусу особи, яка постраждала від торгівлі людьми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3326FB">
            <w:r w:rsidRPr="003326FB">
              <w:t>1.4.1. Частка осіб, які були виявлені та поінформовані про можливість отримання статусу та подання заяви до правоохоронних органів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</w:tr>
      <w:tr w:rsidR="00DC482B" w:rsidRPr="003326FB" w:rsidTr="00DC482B">
        <w:trPr>
          <w:trHeight w:val="142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2. Посилення міжнародного співробітництва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4"/>
              <w:tabs>
                <w:tab w:val="left" w:pos="-127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FB">
              <w:rPr>
                <w:rFonts w:ascii="Times New Roman" w:hAnsi="Times New Roman" w:cs="Times New Roman"/>
                <w:sz w:val="20"/>
                <w:szCs w:val="20"/>
              </w:rPr>
              <w:t>2.1. Здійснення контролю за евакуйованими дітьми, які переміщені за кордон у складі інституційних закладів, з метою їх консульського обліку та моніторингу дотримання і захисту їх прав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r w:rsidRPr="003326FB">
              <w:t>2.1.1. Кількість проведених заходів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</w:tr>
      <w:tr w:rsidR="00DC482B" w:rsidRPr="003326FB" w:rsidTr="00A81BB1">
        <w:trPr>
          <w:trHeight w:val="540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rPr>
                <w:highlight w:val="yellow"/>
              </w:rPr>
            </w:pPr>
            <w:r w:rsidRPr="003326FB">
              <w:t>3. Запобігання торгівлі людьми,</w:t>
            </w:r>
            <w:r w:rsidRPr="003326FB">
              <w:rPr>
                <w:lang w:val="ru-RU"/>
              </w:rPr>
              <w:t xml:space="preserve"> </w:t>
            </w:r>
            <w:r w:rsidRPr="003326FB">
              <w:t>її первинна профілактика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2B" w:rsidRPr="00760433" w:rsidRDefault="00DC482B" w:rsidP="00760433">
            <w:pPr>
              <w:pStyle w:val="a4"/>
              <w:tabs>
                <w:tab w:val="left" w:pos="-127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FB">
              <w:rPr>
                <w:rFonts w:ascii="Times New Roman" w:hAnsi="Times New Roman" w:cs="Times New Roman"/>
                <w:sz w:val="20"/>
                <w:szCs w:val="20"/>
              </w:rPr>
              <w:t xml:space="preserve">3.1. Проведення інформаційних кампаній, зокрема з нагоди Всесвітнього дня протидії торгівлі людьми – 30 липня, Європейського дня боротьби з торгівлею людьми – 18 жовтня та Міжнародного дня боротьби за скасування рабства – </w:t>
            </w:r>
            <w:r w:rsidR="00760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6FB">
              <w:rPr>
                <w:rFonts w:ascii="Times New Roman" w:hAnsi="Times New Roman" w:cs="Times New Roman"/>
                <w:sz w:val="20"/>
                <w:szCs w:val="20"/>
              </w:rPr>
              <w:t>02 грудня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3.1.1. Кільк</w:t>
            </w:r>
            <w:r w:rsidR="003326FB">
              <w:rPr>
                <w:rFonts w:ascii="Times New Roman" w:hAnsi="Times New Roman"/>
                <w:noProof/>
                <w:sz w:val="20"/>
                <w:lang w:eastAsia="uk-UA"/>
              </w:rPr>
              <w:t>ість проведених інформаційних ка</w:t>
            </w: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мпаній</w:t>
            </w:r>
          </w:p>
          <w:p w:rsidR="00DC482B" w:rsidRPr="003326FB" w:rsidRDefault="00DC482B" w:rsidP="00DC482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160</w:t>
            </w:r>
          </w:p>
        </w:tc>
      </w:tr>
      <w:tr w:rsidR="00DC482B" w:rsidRPr="003326FB" w:rsidTr="00760433">
        <w:trPr>
          <w:trHeight w:val="878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2B" w:rsidRPr="003326FB" w:rsidRDefault="00DC482B" w:rsidP="00DC482B"/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4"/>
              <w:tabs>
                <w:tab w:val="left" w:pos="-127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3326F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3.1.2. Кількість поінформованого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6500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7500</w:t>
            </w:r>
          </w:p>
        </w:tc>
      </w:tr>
      <w:tr w:rsidR="00DC482B" w:rsidRPr="003326FB" w:rsidTr="00A81BB1">
        <w:trPr>
          <w:trHeight w:val="435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highlight w:val="yellow"/>
              </w:rPr>
            </w:pP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 xml:space="preserve">3.2. Розміщення на офіційних </w:t>
            </w:r>
            <w:proofErr w:type="spellStart"/>
            <w:r w:rsidRPr="003326FB">
              <w:t>вебсайтах</w:t>
            </w:r>
            <w:proofErr w:type="spellEnd"/>
            <w:r w:rsidRPr="003326FB">
              <w:t xml:space="preserve"> інформації з питань протидії торгівлі людьми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3.2.1. Кількість розміщених статей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Одиниць</w:t>
            </w:r>
          </w:p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780</w:t>
            </w:r>
          </w:p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130</w:t>
            </w:r>
          </w:p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140</w:t>
            </w:r>
          </w:p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160</w:t>
            </w:r>
          </w:p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170</w:t>
            </w:r>
          </w:p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180</w:t>
            </w:r>
          </w:p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</w:tr>
      <w:tr w:rsidR="00DC482B" w:rsidRPr="003326FB" w:rsidTr="00A81BB1">
        <w:trPr>
          <w:trHeight w:val="377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82B" w:rsidRPr="003326FB" w:rsidRDefault="00DC482B" w:rsidP="00DC482B">
            <w:pPr>
              <w:rPr>
                <w:highlight w:val="yellow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tabs>
                <w:tab w:val="left" w:pos="1315"/>
              </w:tabs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3.2.2. Частка проінформованого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760433" w:rsidRDefault="000442B5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72</w:t>
            </w:r>
            <w:r w:rsidR="00760433">
              <w:rPr>
                <w:rFonts w:ascii="Times New Roman" w:hAnsi="Times New Roman"/>
                <w:noProof/>
                <w:sz w:val="20"/>
                <w:lang w:eastAsia="uk-UA"/>
              </w:rPr>
              <w:t>*</w:t>
            </w:r>
            <w:r w:rsidR="00760433" w:rsidRPr="00760433">
              <w:rPr>
                <w:rStyle w:val="af"/>
                <w:rFonts w:ascii="Times New Roman" w:hAnsi="Times New Roman"/>
                <w:noProof/>
                <w:color w:val="FFFFFF" w:themeColor="background1"/>
                <w:sz w:val="20"/>
                <w:lang w:eastAsia="uk-UA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0442B5" w:rsidRDefault="000442B5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0442B5" w:rsidRDefault="000442B5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0442B5" w:rsidRDefault="000442B5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0442B5" w:rsidRDefault="000442B5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0442B5" w:rsidRDefault="000442B5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80</w:t>
            </w:r>
          </w:p>
        </w:tc>
      </w:tr>
      <w:tr w:rsidR="00DC482B" w:rsidRPr="003326FB" w:rsidTr="00A81BB1">
        <w:trPr>
          <w:trHeight w:val="1551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highlight w:val="yellow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3.3. Виконання програм виховної роботи з підлітками щодо питань протидії торгівлі людьми „Особиста гідність. Безпека життя. Громадянська позиція” та „Живи Вільно” у межах освітніх програм закладів загальної середньої та професійної (професійно-технічної) освіти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3.3.1. Кількість реалізованих програм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</w:tr>
      <w:tr w:rsidR="00DC482B" w:rsidRPr="003326FB" w:rsidTr="00A81BB1">
        <w:trPr>
          <w:trHeight w:val="1387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>
            <w:pPr>
              <w:rPr>
                <w:highlight w:val="yellow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3.4. Проведення освітніх заходів у закладах освіти щодо запобігання випадкам торгівлі людьми, а також щодо важливості формування культури нульової толерантності до всіх форм насильства, зокрема сексуальної експлуатації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0442B5" w:rsidRDefault="00DC482B" w:rsidP="00DC482B">
            <w:r w:rsidRPr="003326FB">
              <w:rPr>
                <w:noProof/>
              </w:rPr>
              <w:t xml:space="preserve">3.4.1. </w:t>
            </w:r>
            <w:r w:rsidRPr="003326FB">
              <w:t>Частка учнів від загальної кількості учнів, охоплених інформаційно-просвітницькими та виховними  заходами, щодо запобігання випадкам торгівлі людьми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94</w:t>
            </w:r>
            <w:r w:rsidR="00760433">
              <w:rPr>
                <w:rFonts w:ascii="Times New Roman" w:hAnsi="Times New Roman"/>
                <w:noProof/>
                <w:sz w:val="20"/>
                <w:lang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</w:tr>
      <w:tr w:rsidR="00DC482B" w:rsidRPr="003326FB" w:rsidTr="00DC482B">
        <w:trPr>
          <w:trHeight w:val="131"/>
        </w:trPr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2B" w:rsidRPr="003326FB" w:rsidRDefault="00DC482B" w:rsidP="00DC482B">
            <w:pPr>
              <w:jc w:val="center"/>
              <w:rPr>
                <w:lang w:val="en-US"/>
              </w:rPr>
            </w:pPr>
            <w:r w:rsidRPr="003326FB">
              <w:rPr>
                <w:lang w:val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tabs>
                <w:tab w:val="left" w:pos="1315"/>
              </w:tabs>
              <w:jc w:val="center"/>
              <w:rPr>
                <w:lang w:val="en-US"/>
              </w:rPr>
            </w:pPr>
            <w:r w:rsidRPr="003326FB">
              <w:rPr>
                <w:lang w:val="en-US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jc w:val="center"/>
              <w:rPr>
                <w:noProof/>
                <w:lang w:val="en-US"/>
              </w:rPr>
            </w:pPr>
            <w:r w:rsidRPr="003326FB">
              <w:rPr>
                <w:noProof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10</w:t>
            </w:r>
          </w:p>
        </w:tc>
      </w:tr>
      <w:tr w:rsidR="00DC482B" w:rsidRPr="003326FB" w:rsidTr="00DC482B">
        <w:trPr>
          <w:trHeight w:val="1302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3.5. Проведення заходів у закладах освіти щодо запобігання потраплянню в ситуації, пов’язані з торгівлею людьми, для підлітків у закладах освіти/дитячих закладах оздоровлення та відпочинку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3.5.1. Кількість учнів та студентів, які пройшли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2300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2500</w:t>
            </w:r>
          </w:p>
        </w:tc>
      </w:tr>
      <w:tr w:rsidR="00DC482B" w:rsidRPr="003326FB" w:rsidTr="003326FB">
        <w:trPr>
          <w:trHeight w:val="846"/>
        </w:trPr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3.6. Проведення заходів щодо запобігання потраплянню осіб у ситуації, пов’язані з торгівлею людьми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3.6.1. Кількість осіб, які брали участь у заходах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0442B5" w:rsidRDefault="000442B5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1600</w:t>
            </w:r>
          </w:p>
        </w:tc>
      </w:tr>
      <w:tr w:rsidR="00DC482B" w:rsidRPr="003326FB" w:rsidTr="003326FB">
        <w:trPr>
          <w:trHeight w:val="986"/>
        </w:trPr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3.7. Включення до програм підвищення кваліфікації педагогічних працівників спецкурсів з питань запобігання та профілактики торгівлі людьми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3.7.1. Кількість проведених спецкурсів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</w:tr>
      <w:tr w:rsidR="00DC482B" w:rsidRPr="003326FB" w:rsidTr="003326FB">
        <w:trPr>
          <w:trHeight w:val="1965"/>
        </w:trPr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 xml:space="preserve">3.8. Проведення роз’яснювальної роботи з інформування про установи та організації, що надають послуги особам, які постраждали від </w:t>
            </w:r>
          </w:p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 xml:space="preserve">торгівлі людьми, надання необхідної допомоги особам/сім’ям, </w:t>
            </w:r>
          </w:p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 xml:space="preserve">що опинилися у складних </w:t>
            </w:r>
          </w:p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життєвих обставинах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3.8.1. Кількість проведених роз’яснювальних заходів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0442B5" w:rsidRDefault="000442B5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</w:tr>
      <w:tr w:rsidR="00DC482B" w:rsidRPr="003326FB" w:rsidTr="00DC482B">
        <w:trPr>
          <w:trHeight w:val="1204"/>
        </w:trPr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3.9. Популяризація гарячої телефонної лінії 1547 з питань протидії торгівлі людьми, домашньому насильству, насильству за ознакою статі та насильству стосовно дітей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3.9.1. Кількість офіційних вебсайтів органів виконавчої влади та органів місцевого самоврядування, на яких розміщено інформацію про гарячу телефонну лінію</w:t>
            </w:r>
            <w:r w:rsidR="00760433">
              <w:rPr>
                <w:rFonts w:ascii="Times New Roman" w:hAnsi="Times New Roman"/>
                <w:noProof/>
                <w:sz w:val="20"/>
                <w:lang w:eastAsia="uk-UA"/>
              </w:rPr>
              <w:t xml:space="preserve"> 1547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96</w:t>
            </w:r>
          </w:p>
        </w:tc>
      </w:tr>
      <w:tr w:rsidR="00DC482B" w:rsidRPr="003326FB" w:rsidTr="00DC482B">
        <w:trPr>
          <w:trHeight w:val="1172"/>
        </w:trPr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B" w:rsidRPr="003326FB" w:rsidRDefault="00DC482B" w:rsidP="00DC482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3.10. Проведення інформаційних заходів, спрямованих на підвищення поінформованості роботодавців щодо неприпустимості експлуатації та інших порушень прав людини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3.10.1. Кількість проведених заходів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18</w:t>
            </w:r>
          </w:p>
        </w:tc>
      </w:tr>
      <w:tr w:rsidR="00DC482B" w:rsidRPr="003326FB" w:rsidTr="00DC482B">
        <w:trPr>
          <w:trHeight w:val="117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r w:rsidRPr="003326FB">
              <w:t>4. Захист осіб, які постраждали від торгівлі людьми, та надання їм допомоги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r w:rsidRPr="003326FB">
              <w:t>4.1. Надання безоплатної правової допомоги, спеціалізованих послуг, зокрема тимчасового притулку, гуманітарної допомоги тощо особам, які постраждали від торгівлі людьми в Україні та за її межами, з урахуванням їх потреб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r w:rsidRPr="003326FB">
              <w:t>4.1.1. Частка осіб, які звернулися за допомогою та отримали її з урахуванням потреб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eastAsia="uk-UA"/>
              </w:rPr>
              <w:t>100</w:t>
            </w:r>
          </w:p>
        </w:tc>
      </w:tr>
      <w:tr w:rsidR="003326FB" w:rsidRPr="003326FB" w:rsidTr="003326FB">
        <w:trPr>
          <w:trHeight w:val="13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B" w:rsidRPr="003326FB" w:rsidRDefault="003326FB" w:rsidP="003326FB">
            <w:pPr>
              <w:jc w:val="center"/>
              <w:rPr>
                <w:lang w:val="en-US"/>
              </w:rPr>
            </w:pPr>
            <w:r w:rsidRPr="003326FB">
              <w:rPr>
                <w:lang w:val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B" w:rsidRPr="003326FB" w:rsidRDefault="003326FB" w:rsidP="003326FB">
            <w:pPr>
              <w:jc w:val="center"/>
              <w:rPr>
                <w:lang w:val="en-US"/>
              </w:rPr>
            </w:pPr>
            <w:r w:rsidRPr="003326FB">
              <w:rPr>
                <w:lang w:val="en-US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B" w:rsidRPr="003326FB" w:rsidRDefault="003326FB" w:rsidP="003326FB">
            <w:pPr>
              <w:jc w:val="center"/>
              <w:rPr>
                <w:lang w:val="en-US"/>
              </w:rPr>
            </w:pPr>
            <w:r w:rsidRPr="003326FB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B" w:rsidRPr="003326FB" w:rsidRDefault="003326FB" w:rsidP="003326FB">
            <w:pPr>
              <w:jc w:val="center"/>
              <w:rPr>
                <w:lang w:val="en-US"/>
              </w:rPr>
            </w:pPr>
            <w:r w:rsidRPr="003326FB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B" w:rsidRPr="003326FB" w:rsidRDefault="003326FB" w:rsidP="003326F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B" w:rsidRPr="003326FB" w:rsidRDefault="003326FB" w:rsidP="003326F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B" w:rsidRPr="003326FB" w:rsidRDefault="003326FB" w:rsidP="003326F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B" w:rsidRPr="003326FB" w:rsidRDefault="003326FB" w:rsidP="003326F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B" w:rsidRPr="003326FB" w:rsidRDefault="003326FB" w:rsidP="003326F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B" w:rsidRPr="003326FB" w:rsidRDefault="003326FB" w:rsidP="003326F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3326FB">
              <w:rPr>
                <w:rFonts w:ascii="Times New Roman" w:hAnsi="Times New Roman"/>
                <w:noProof/>
                <w:sz w:val="20"/>
                <w:lang w:val="en-US" w:eastAsia="uk-UA"/>
              </w:rPr>
              <w:t>10</w:t>
            </w:r>
          </w:p>
        </w:tc>
      </w:tr>
      <w:tr w:rsidR="00DC482B" w:rsidRPr="003326FB" w:rsidTr="00DC482B">
        <w:trPr>
          <w:trHeight w:val="36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5. Упровадження системи збору даних, обміну інформацією та проведення моніторингу діяльності суб’єктів, які здійснюють заходи у сфері протидії торгівлі людьми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5.1. Здійснення обліку осіб, які постраждали від торгівлі людьми</w:t>
            </w:r>
          </w:p>
          <w:p w:rsidR="00DC482B" w:rsidRPr="003326FB" w:rsidRDefault="00DC482B" w:rsidP="00DC482B">
            <w:pPr>
              <w:tabs>
                <w:tab w:val="left" w:pos="1315"/>
              </w:tabs>
            </w:pPr>
            <w:r w:rsidRPr="003326FB">
              <w:t>в Україні та за її межами</w:t>
            </w:r>
          </w:p>
          <w:p w:rsidR="00DC482B" w:rsidRPr="003326FB" w:rsidRDefault="00DC482B" w:rsidP="00DC482B">
            <w:pPr>
              <w:tabs>
                <w:tab w:val="left" w:pos="1315"/>
              </w:tabs>
              <w:rPr>
                <w:highlight w:val="yellow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r w:rsidRPr="003326FB">
              <w:t>5.1.1. Кількість поданих звітів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2B" w:rsidRPr="003326FB" w:rsidRDefault="00DC482B" w:rsidP="00DC482B">
            <w:pPr>
              <w:jc w:val="center"/>
            </w:pPr>
            <w:r w:rsidRPr="003326FB">
              <w:t>2</w:t>
            </w:r>
          </w:p>
        </w:tc>
      </w:tr>
    </w:tbl>
    <w:p w:rsidR="0096696C" w:rsidRDefault="0096696C" w:rsidP="003326F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326FB" w:rsidRDefault="003326FB" w:rsidP="003326F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326FB" w:rsidRDefault="003326FB" w:rsidP="003326F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326FB" w:rsidRPr="003326FB" w:rsidRDefault="003326FB" w:rsidP="003326FB">
      <w:pPr>
        <w:rPr>
          <w:sz w:val="28"/>
          <w:szCs w:val="28"/>
          <w:lang w:eastAsia="ru-RU"/>
        </w:rPr>
      </w:pPr>
      <w:r w:rsidRPr="003326FB">
        <w:rPr>
          <w:rFonts w:eastAsia="Calibri"/>
          <w:b/>
          <w:sz w:val="28"/>
          <w:szCs w:val="28"/>
          <w:lang w:eastAsia="en-US"/>
        </w:rPr>
        <w:t>Заступник голови обласної ради                                                                                               І. КАШИРІН</w:t>
      </w:r>
    </w:p>
    <w:sectPr w:rsidR="003326FB" w:rsidRPr="003326FB" w:rsidSect="00DC482B">
      <w:headerReference w:type="default" r:id="rId8"/>
      <w:pgSz w:w="16838" w:h="11906" w:orient="landscape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ABD" w:rsidRDefault="00D82ABD" w:rsidP="003326FB">
      <w:r>
        <w:separator/>
      </w:r>
    </w:p>
  </w:endnote>
  <w:endnote w:type="continuationSeparator" w:id="0">
    <w:p w:rsidR="00D82ABD" w:rsidRDefault="00D82ABD" w:rsidP="0033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ABD" w:rsidRDefault="00D82ABD" w:rsidP="003326FB">
      <w:r>
        <w:separator/>
      </w:r>
    </w:p>
  </w:footnote>
  <w:footnote w:type="continuationSeparator" w:id="0">
    <w:p w:rsidR="00D82ABD" w:rsidRDefault="00D82ABD" w:rsidP="003326FB">
      <w:r>
        <w:continuationSeparator/>
      </w:r>
    </w:p>
  </w:footnote>
  <w:footnote w:id="1">
    <w:p w:rsidR="00760433" w:rsidRDefault="00760433">
      <w:pPr>
        <w:pStyle w:val="ad"/>
      </w:pPr>
      <w:r>
        <w:t>* середній показник відсотка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5295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326FB" w:rsidRPr="003326FB" w:rsidRDefault="003326FB" w:rsidP="003326FB">
        <w:pPr>
          <w:pStyle w:val="a7"/>
          <w:jc w:val="center"/>
          <w:rPr>
            <w:sz w:val="28"/>
            <w:szCs w:val="28"/>
          </w:rPr>
        </w:pPr>
        <w:r w:rsidRPr="003326FB">
          <w:rPr>
            <w:sz w:val="28"/>
            <w:szCs w:val="28"/>
          </w:rPr>
          <w:fldChar w:fldCharType="begin"/>
        </w:r>
        <w:r w:rsidRPr="003326FB">
          <w:rPr>
            <w:sz w:val="28"/>
            <w:szCs w:val="28"/>
          </w:rPr>
          <w:instrText>PAGE   \* MERGEFORMAT</w:instrText>
        </w:r>
        <w:r w:rsidRPr="003326FB">
          <w:rPr>
            <w:sz w:val="28"/>
            <w:szCs w:val="28"/>
          </w:rPr>
          <w:fldChar w:fldCharType="separate"/>
        </w:r>
        <w:r w:rsidR="00861DE7" w:rsidRPr="00861DE7">
          <w:rPr>
            <w:noProof/>
            <w:sz w:val="28"/>
            <w:szCs w:val="28"/>
            <w:lang w:val="ru-RU"/>
          </w:rPr>
          <w:t>4</w:t>
        </w:r>
        <w:r w:rsidRPr="003326F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2B"/>
    <w:rsid w:val="000442B5"/>
    <w:rsid w:val="00114BAE"/>
    <w:rsid w:val="003326FB"/>
    <w:rsid w:val="00442849"/>
    <w:rsid w:val="004D6860"/>
    <w:rsid w:val="00760433"/>
    <w:rsid w:val="00861DE7"/>
    <w:rsid w:val="0096696C"/>
    <w:rsid w:val="00A05A31"/>
    <w:rsid w:val="00A71AA8"/>
    <w:rsid w:val="00B33A0E"/>
    <w:rsid w:val="00D20A9D"/>
    <w:rsid w:val="00D82ABD"/>
    <w:rsid w:val="00D9197A"/>
    <w:rsid w:val="00D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Текст1 Знак,bt Знак"/>
    <w:basedOn w:val="a0"/>
    <w:link w:val="a4"/>
    <w:locked/>
    <w:rsid w:val="00DC482B"/>
  </w:style>
  <w:style w:type="paragraph" w:styleId="a4">
    <w:name w:val="Body Text"/>
    <w:aliases w:val="Текст1,bt"/>
    <w:basedOn w:val="a"/>
    <w:link w:val="a3"/>
    <w:unhideWhenUsed/>
    <w:rsid w:val="00DC482B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C482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5">
    <w:name w:val="Нормальний текст"/>
    <w:basedOn w:val="a"/>
    <w:rsid w:val="00DC482B"/>
    <w:pPr>
      <w:spacing w:before="120"/>
      <w:ind w:firstLine="567"/>
      <w:jc w:val="both"/>
    </w:pPr>
    <w:rPr>
      <w:rFonts w:ascii="Antiqua" w:hAnsi="Antiqua"/>
      <w:sz w:val="26"/>
      <w:lang w:eastAsia="ru-RU"/>
    </w:rPr>
  </w:style>
  <w:style w:type="paragraph" w:customStyle="1" w:styleId="a6">
    <w:name w:val="Готовый"/>
    <w:basedOn w:val="a"/>
    <w:rsid w:val="00DC48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eastAsia="Calibri" w:hAnsi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3326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6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3326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6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3326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26FB"/>
    <w:rPr>
      <w:rFonts w:ascii="Tahoma" w:eastAsia="Times New Roman" w:hAnsi="Tahoma" w:cs="Tahoma"/>
      <w:sz w:val="16"/>
      <w:szCs w:val="16"/>
      <w:lang w:eastAsia="uk-UA"/>
    </w:rPr>
  </w:style>
  <w:style w:type="paragraph" w:styleId="ad">
    <w:name w:val="footnote text"/>
    <w:basedOn w:val="a"/>
    <w:link w:val="ae"/>
    <w:uiPriority w:val="99"/>
    <w:semiHidden/>
    <w:unhideWhenUsed/>
    <w:rsid w:val="00760433"/>
  </w:style>
  <w:style w:type="character" w:customStyle="1" w:styleId="ae">
    <w:name w:val="Текст сноски Знак"/>
    <w:basedOn w:val="a0"/>
    <w:link w:val="ad"/>
    <w:uiPriority w:val="99"/>
    <w:semiHidden/>
    <w:rsid w:val="00760433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">
    <w:name w:val="footnote reference"/>
    <w:basedOn w:val="a0"/>
    <w:uiPriority w:val="99"/>
    <w:semiHidden/>
    <w:unhideWhenUsed/>
    <w:rsid w:val="00760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Текст1 Знак,bt Знак"/>
    <w:basedOn w:val="a0"/>
    <w:link w:val="a4"/>
    <w:locked/>
    <w:rsid w:val="00DC482B"/>
  </w:style>
  <w:style w:type="paragraph" w:styleId="a4">
    <w:name w:val="Body Text"/>
    <w:aliases w:val="Текст1,bt"/>
    <w:basedOn w:val="a"/>
    <w:link w:val="a3"/>
    <w:unhideWhenUsed/>
    <w:rsid w:val="00DC482B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C482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5">
    <w:name w:val="Нормальний текст"/>
    <w:basedOn w:val="a"/>
    <w:rsid w:val="00DC482B"/>
    <w:pPr>
      <w:spacing w:before="120"/>
      <w:ind w:firstLine="567"/>
      <w:jc w:val="both"/>
    </w:pPr>
    <w:rPr>
      <w:rFonts w:ascii="Antiqua" w:hAnsi="Antiqua"/>
      <w:sz w:val="26"/>
      <w:lang w:eastAsia="ru-RU"/>
    </w:rPr>
  </w:style>
  <w:style w:type="paragraph" w:customStyle="1" w:styleId="a6">
    <w:name w:val="Готовый"/>
    <w:basedOn w:val="a"/>
    <w:rsid w:val="00DC482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eastAsia="Calibri" w:hAnsi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3326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6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3326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6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3326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26FB"/>
    <w:rPr>
      <w:rFonts w:ascii="Tahoma" w:eastAsia="Times New Roman" w:hAnsi="Tahoma" w:cs="Tahoma"/>
      <w:sz w:val="16"/>
      <w:szCs w:val="16"/>
      <w:lang w:eastAsia="uk-UA"/>
    </w:rPr>
  </w:style>
  <w:style w:type="paragraph" w:styleId="ad">
    <w:name w:val="footnote text"/>
    <w:basedOn w:val="a"/>
    <w:link w:val="ae"/>
    <w:uiPriority w:val="99"/>
    <w:semiHidden/>
    <w:unhideWhenUsed/>
    <w:rsid w:val="00760433"/>
  </w:style>
  <w:style w:type="character" w:customStyle="1" w:styleId="ae">
    <w:name w:val="Текст сноски Знак"/>
    <w:basedOn w:val="a0"/>
    <w:link w:val="ad"/>
    <w:uiPriority w:val="99"/>
    <w:semiHidden/>
    <w:rsid w:val="00760433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">
    <w:name w:val="footnote reference"/>
    <w:basedOn w:val="a0"/>
    <w:uiPriority w:val="99"/>
    <w:semiHidden/>
    <w:unhideWhenUsed/>
    <w:rsid w:val="00760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D2DA-FE41-4F60-886A-87AACA50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4086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2025-12-12T11:21:00Z</cp:lastPrinted>
  <dcterms:created xsi:type="dcterms:W3CDTF">2025-11-11T12:42:00Z</dcterms:created>
  <dcterms:modified xsi:type="dcterms:W3CDTF">2025-12-19T12:27:00Z</dcterms:modified>
</cp:coreProperties>
</file>