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A5" w:rsidRPr="00050AA5" w:rsidRDefault="00050AA5" w:rsidP="00050AA5">
      <w:pPr>
        <w:spacing w:after="0" w:line="240" w:lineRule="auto"/>
        <w:ind w:left="5812"/>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Додаток</w:t>
      </w:r>
    </w:p>
    <w:p w:rsidR="00050AA5" w:rsidRPr="00050AA5" w:rsidRDefault="00050AA5" w:rsidP="00050AA5">
      <w:pPr>
        <w:spacing w:after="0" w:line="240" w:lineRule="auto"/>
        <w:ind w:left="5812"/>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до рішення обласної ради </w:t>
      </w:r>
    </w:p>
    <w:p w:rsidR="00050AA5" w:rsidRPr="00050AA5" w:rsidRDefault="00050AA5" w:rsidP="00050AA5">
      <w:pPr>
        <w:spacing w:after="0" w:line="204" w:lineRule="auto"/>
        <w:ind w:left="5812"/>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30" w:lineRule="auto"/>
        <w:jc w:val="center"/>
        <w:rPr>
          <w:rFonts w:ascii="Times New Roman" w:eastAsia="Times New Roman" w:hAnsi="Times New Roman" w:cs="Times New Roman"/>
          <w:b/>
          <w:sz w:val="28"/>
          <w:szCs w:val="28"/>
          <w:lang w:eastAsia="x-none"/>
        </w:rPr>
      </w:pPr>
      <w:r w:rsidRPr="00050AA5">
        <w:rPr>
          <w:rFonts w:ascii="Times New Roman" w:eastAsia="Times New Roman" w:hAnsi="Times New Roman" w:cs="Times New Roman"/>
          <w:b/>
          <w:sz w:val="28"/>
          <w:szCs w:val="28"/>
          <w:lang w:val="x-none" w:eastAsia="x-none"/>
        </w:rPr>
        <w:t>Регіональна соціальна програма запобігання та протидії</w:t>
      </w:r>
    </w:p>
    <w:p w:rsidR="00050AA5" w:rsidRPr="00050AA5" w:rsidRDefault="00050AA5" w:rsidP="00050AA5">
      <w:pPr>
        <w:spacing w:after="0" w:line="230" w:lineRule="auto"/>
        <w:jc w:val="center"/>
        <w:rPr>
          <w:rFonts w:ascii="Times New Roman" w:eastAsia="Times New Roman" w:hAnsi="Times New Roman" w:cs="Times New Roman"/>
          <w:b/>
          <w:sz w:val="28"/>
          <w:szCs w:val="28"/>
          <w:lang w:eastAsia="x-none"/>
        </w:rPr>
      </w:pPr>
      <w:r w:rsidRPr="00050AA5">
        <w:rPr>
          <w:rFonts w:ascii="Times New Roman" w:eastAsia="Times New Roman" w:hAnsi="Times New Roman" w:cs="Times New Roman"/>
          <w:b/>
          <w:sz w:val="28"/>
          <w:szCs w:val="28"/>
          <w:lang w:val="x-none" w:eastAsia="x-none"/>
        </w:rPr>
        <w:t>домашньому насильству</w:t>
      </w:r>
      <w:r w:rsidR="00514C62">
        <w:rPr>
          <w:rFonts w:ascii="Times New Roman" w:eastAsia="Times New Roman" w:hAnsi="Times New Roman" w:cs="Times New Roman"/>
          <w:b/>
          <w:sz w:val="28"/>
          <w:szCs w:val="28"/>
          <w:lang w:eastAsia="x-none"/>
        </w:rPr>
        <w:t xml:space="preserve"> та</w:t>
      </w:r>
      <w:r w:rsidRPr="00050AA5">
        <w:rPr>
          <w:rFonts w:ascii="Times New Roman" w:eastAsia="Times New Roman" w:hAnsi="Times New Roman" w:cs="Times New Roman"/>
          <w:b/>
          <w:sz w:val="28"/>
          <w:szCs w:val="28"/>
          <w:lang w:val="x-none" w:eastAsia="x-none"/>
        </w:rPr>
        <w:t xml:space="preserve"> насильству </w:t>
      </w:r>
      <w:r w:rsidRPr="00050AA5">
        <w:rPr>
          <w:rFonts w:ascii="Times New Roman" w:eastAsia="Times New Roman" w:hAnsi="Times New Roman" w:cs="Times New Roman"/>
          <w:b/>
          <w:sz w:val="28"/>
          <w:szCs w:val="28"/>
          <w:lang w:eastAsia="x-none"/>
        </w:rPr>
        <w:t>з</w:t>
      </w:r>
      <w:r w:rsidRPr="00050AA5">
        <w:rPr>
          <w:rFonts w:ascii="Times New Roman" w:eastAsia="Times New Roman" w:hAnsi="Times New Roman" w:cs="Times New Roman"/>
          <w:b/>
          <w:sz w:val="28"/>
          <w:szCs w:val="28"/>
          <w:lang w:val="x-none" w:eastAsia="x-none"/>
        </w:rPr>
        <w:t>а ознакою статі в Дніпропетровській області на період до 2030 року</w:t>
      </w: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30" w:lineRule="auto"/>
        <w:ind w:firstLine="142"/>
        <w:jc w:val="center"/>
        <w:rPr>
          <w:rFonts w:ascii="Times New Roman" w:eastAsia="Times New Roman" w:hAnsi="Times New Roman" w:cs="Times New Roman"/>
          <w:color w:val="000000"/>
          <w:sz w:val="28"/>
          <w:szCs w:val="28"/>
          <w:lang w:eastAsia="x-none"/>
        </w:rPr>
      </w:pPr>
      <w:r w:rsidRPr="00050AA5">
        <w:rPr>
          <w:rFonts w:ascii="Times New Roman" w:eastAsia="Times New Roman" w:hAnsi="Times New Roman" w:cs="Times New Roman"/>
          <w:color w:val="000000"/>
          <w:sz w:val="28"/>
          <w:szCs w:val="28"/>
          <w:lang w:eastAsia="x-none"/>
        </w:rPr>
        <w:t>м. Дніпро</w:t>
      </w:r>
    </w:p>
    <w:p w:rsidR="00050AA5" w:rsidRPr="00050AA5" w:rsidRDefault="00050AA5" w:rsidP="00050AA5">
      <w:pPr>
        <w:spacing w:after="0" w:line="230" w:lineRule="auto"/>
        <w:ind w:firstLine="142"/>
        <w:jc w:val="center"/>
        <w:rPr>
          <w:rFonts w:ascii="Times New Roman" w:eastAsia="Times New Roman" w:hAnsi="Times New Roman" w:cs="Times New Roman"/>
          <w:color w:val="000000"/>
          <w:sz w:val="28"/>
          <w:szCs w:val="28"/>
          <w:lang w:eastAsia="x-none"/>
        </w:rPr>
      </w:pPr>
      <w:r w:rsidRPr="00050AA5">
        <w:rPr>
          <w:rFonts w:ascii="Times New Roman" w:eastAsia="Times New Roman" w:hAnsi="Times New Roman" w:cs="Times New Roman"/>
          <w:color w:val="000000"/>
          <w:sz w:val="28"/>
          <w:szCs w:val="28"/>
          <w:lang w:eastAsia="x-none"/>
        </w:rPr>
        <w:t>2025 рік</w:t>
      </w:r>
    </w:p>
    <w:p w:rsidR="00050AA5" w:rsidRPr="00050AA5" w:rsidRDefault="00050AA5" w:rsidP="00050AA5">
      <w:pPr>
        <w:spacing w:after="0" w:line="230" w:lineRule="auto"/>
        <w:ind w:firstLine="709"/>
        <w:jc w:val="center"/>
        <w:rPr>
          <w:rFonts w:ascii="Times New Roman" w:eastAsia="Times New Roman" w:hAnsi="Times New Roman" w:cs="Times New Roman"/>
          <w:b/>
          <w:sz w:val="28"/>
          <w:szCs w:val="28"/>
          <w:lang w:val="x-none" w:eastAsia="x-none"/>
        </w:rPr>
      </w:pPr>
      <w:r w:rsidRPr="00050AA5">
        <w:rPr>
          <w:rFonts w:ascii="Times New Roman" w:eastAsia="Times New Roman" w:hAnsi="Times New Roman" w:cs="Times New Roman"/>
          <w:b/>
          <w:sz w:val="28"/>
          <w:szCs w:val="28"/>
          <w:lang w:val="x-none" w:eastAsia="x-none"/>
        </w:rPr>
        <w:lastRenderedPageBreak/>
        <w:t>І. Паспорт Регіональної соціальної Програми</w:t>
      </w:r>
    </w:p>
    <w:p w:rsidR="00050AA5" w:rsidRPr="00050AA5" w:rsidRDefault="00050AA5" w:rsidP="00050AA5">
      <w:pPr>
        <w:tabs>
          <w:tab w:val="left" w:pos="993"/>
        </w:tabs>
        <w:spacing w:after="0" w:line="240" w:lineRule="auto"/>
        <w:ind w:firstLine="709"/>
        <w:jc w:val="both"/>
        <w:rPr>
          <w:rFonts w:ascii="Times New Roman" w:eastAsia="Times New Roman" w:hAnsi="Times New Roman" w:cs="Times New Roman"/>
          <w:sz w:val="28"/>
          <w:szCs w:val="28"/>
          <w:highlight w:val="yellow"/>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w:t>
      </w:r>
      <w:r w:rsidRPr="00050AA5">
        <w:rPr>
          <w:rFonts w:ascii="Times New Roman" w:eastAsia="Times New Roman" w:hAnsi="Times New Roman" w:cs="Times New Roman"/>
          <w:sz w:val="28"/>
          <w:szCs w:val="28"/>
          <w:lang w:eastAsia="uk-UA"/>
        </w:rPr>
        <w:tab/>
        <w:t xml:space="preserve"> Назва: Регіональна соціальна програма запобігання та протидії домашньому насильству</w:t>
      </w:r>
      <w:r w:rsidR="00514C62">
        <w:rPr>
          <w:rFonts w:ascii="Times New Roman" w:eastAsia="Times New Roman" w:hAnsi="Times New Roman" w:cs="Times New Roman"/>
          <w:sz w:val="28"/>
          <w:szCs w:val="28"/>
          <w:lang w:eastAsia="uk-UA"/>
        </w:rPr>
        <w:t xml:space="preserve"> та</w:t>
      </w:r>
      <w:bookmarkStart w:id="0" w:name="_GoBack"/>
      <w:bookmarkEnd w:id="0"/>
      <w:r w:rsidRPr="00050AA5">
        <w:rPr>
          <w:rFonts w:ascii="Times New Roman" w:eastAsia="Times New Roman" w:hAnsi="Times New Roman" w:cs="Times New Roman"/>
          <w:sz w:val="28"/>
          <w:szCs w:val="28"/>
          <w:lang w:eastAsia="uk-UA"/>
        </w:rPr>
        <w:t xml:space="preserve"> насильству за ознакою статі в Дніпропетровській області на період до 2030 року (далі – Програма).</w:t>
      </w: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highlight w:val="yellow"/>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highlight w:val="yellow"/>
          <w:lang w:eastAsia="uk-UA"/>
        </w:rPr>
      </w:pPr>
      <w:r w:rsidRPr="00050AA5">
        <w:rPr>
          <w:rFonts w:ascii="Times New Roman" w:eastAsia="Times New Roman" w:hAnsi="Times New Roman" w:cs="Times New Roman"/>
          <w:sz w:val="28"/>
          <w:szCs w:val="28"/>
          <w:lang w:eastAsia="uk-UA"/>
        </w:rPr>
        <w:t>2.</w:t>
      </w:r>
      <w:r w:rsidRPr="00050AA5">
        <w:rPr>
          <w:rFonts w:ascii="Times New Roman" w:eastAsia="Times New Roman" w:hAnsi="Times New Roman" w:cs="Times New Roman"/>
          <w:sz w:val="28"/>
          <w:szCs w:val="28"/>
          <w:lang w:eastAsia="uk-UA"/>
        </w:rPr>
        <w:tab/>
        <w:t xml:space="preserve">Підстави для розроблення: Закон України </w:t>
      </w:r>
      <w:r w:rsidRPr="00050AA5">
        <w:rPr>
          <w:rFonts w:ascii="Times New Roman" w:eastAsia="Times New Roman" w:hAnsi="Times New Roman" w:cs="Times New Roman"/>
          <w:sz w:val="28"/>
          <w:szCs w:val="28"/>
          <w:lang w:eastAsia="ru-RU"/>
        </w:rPr>
        <w:t>„</w:t>
      </w:r>
      <w:r w:rsidRPr="00050AA5">
        <w:rPr>
          <w:rFonts w:ascii="Times New Roman" w:eastAsia="Times New Roman" w:hAnsi="Times New Roman" w:cs="Times New Roman"/>
          <w:sz w:val="28"/>
          <w:szCs w:val="28"/>
          <w:lang w:eastAsia="uk-UA"/>
        </w:rPr>
        <w:t xml:space="preserve">Про запобігання та протидію домашньому насильству”, Указ Президента України </w:t>
      </w:r>
      <w:r w:rsidRPr="00050AA5">
        <w:rPr>
          <w:rFonts w:ascii="Times New Roman" w:eastAsia="Times New Roman" w:hAnsi="Times New Roman" w:cs="Times New Roman"/>
          <w:sz w:val="28"/>
          <w:szCs w:val="28"/>
          <w:lang w:eastAsia="ru-RU"/>
        </w:rPr>
        <w:t>„</w:t>
      </w:r>
      <w:r w:rsidRPr="00050AA5">
        <w:rPr>
          <w:rFonts w:ascii="Times New Roman" w:eastAsia="Times New Roman" w:hAnsi="Times New Roman" w:cs="Times New Roman"/>
          <w:sz w:val="28"/>
          <w:szCs w:val="28"/>
          <w:shd w:val="clear" w:color="auto" w:fill="FFFFFF"/>
          <w:lang w:eastAsia="uk-UA"/>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Pr="00050AA5">
        <w:rPr>
          <w:rFonts w:ascii="Times New Roman" w:eastAsia="Times New Roman" w:hAnsi="Times New Roman" w:cs="Times New Roman"/>
          <w:sz w:val="28"/>
          <w:szCs w:val="28"/>
          <w:lang w:eastAsia="ru-RU"/>
        </w:rPr>
        <w:t>” від 21 вересня 2020 року № 398/2020.</w:t>
      </w: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3.</w:t>
      </w:r>
      <w:r w:rsidRPr="00050AA5">
        <w:rPr>
          <w:rFonts w:ascii="Times New Roman" w:eastAsia="Times New Roman" w:hAnsi="Times New Roman" w:cs="Times New Roman"/>
          <w:sz w:val="28"/>
          <w:szCs w:val="28"/>
          <w:lang w:eastAsia="uk-UA"/>
        </w:rPr>
        <w:tab/>
        <w:t>Регіональний замовник Програми – головний розпорядник бюджетних коштів: департамент соціального захисту населення обласної державної адміністрації.</w:t>
      </w: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4.</w:t>
      </w:r>
      <w:r w:rsidRPr="00050AA5">
        <w:rPr>
          <w:rFonts w:ascii="Times New Roman" w:eastAsia="Times New Roman" w:hAnsi="Times New Roman" w:cs="Times New Roman"/>
          <w:sz w:val="28"/>
          <w:szCs w:val="28"/>
          <w:lang w:eastAsia="uk-UA"/>
        </w:rPr>
        <w:tab/>
      </w:r>
      <w:proofErr w:type="spellStart"/>
      <w:r w:rsidRPr="00050AA5">
        <w:rPr>
          <w:rFonts w:ascii="Times New Roman" w:eastAsia="Times New Roman" w:hAnsi="Times New Roman" w:cs="Times New Roman"/>
          <w:sz w:val="28"/>
          <w:szCs w:val="28"/>
          <w:lang w:eastAsia="uk-UA"/>
        </w:rPr>
        <w:t>Співзамовники</w:t>
      </w:r>
      <w:proofErr w:type="spellEnd"/>
      <w:r w:rsidRPr="00050AA5">
        <w:rPr>
          <w:rFonts w:ascii="Times New Roman" w:eastAsia="Times New Roman" w:hAnsi="Times New Roman" w:cs="Times New Roman"/>
          <w:sz w:val="28"/>
          <w:szCs w:val="28"/>
          <w:lang w:eastAsia="uk-UA"/>
        </w:rPr>
        <w:t xml:space="preserve"> Програми – головні розпорядники бюджетних коштів: відсутні.</w:t>
      </w:r>
    </w:p>
    <w:p w:rsidR="00050AA5" w:rsidRPr="00050AA5" w:rsidRDefault="00050AA5" w:rsidP="00050AA5">
      <w:pPr>
        <w:tabs>
          <w:tab w:val="left" w:pos="993"/>
        </w:tabs>
        <w:spacing w:after="0" w:line="240" w:lineRule="auto"/>
        <w:ind w:right="-108" w:firstLine="567"/>
        <w:jc w:val="both"/>
        <w:rPr>
          <w:rFonts w:ascii="Times New Roman" w:eastAsia="Times New Roman" w:hAnsi="Times New Roman" w:cs="Times New Roman"/>
          <w:sz w:val="28"/>
          <w:szCs w:val="28"/>
          <w:highlight w:val="yellow"/>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5.</w:t>
      </w:r>
      <w:r w:rsidRPr="00050AA5">
        <w:rPr>
          <w:rFonts w:ascii="Times New Roman" w:eastAsia="Times New Roman" w:hAnsi="Times New Roman" w:cs="Times New Roman"/>
          <w:sz w:val="28"/>
          <w:szCs w:val="28"/>
          <w:lang w:eastAsia="uk-UA"/>
        </w:rPr>
        <w:tab/>
        <w:t xml:space="preserve">Відповідальні за виконання: департамент соціального захисту населення обласної державної </w:t>
      </w:r>
      <w:r w:rsidRPr="00C70A8C">
        <w:rPr>
          <w:rFonts w:ascii="Times New Roman" w:eastAsia="Times New Roman" w:hAnsi="Times New Roman" w:cs="Times New Roman"/>
          <w:sz w:val="28"/>
          <w:szCs w:val="28"/>
          <w:lang w:eastAsia="uk-UA"/>
        </w:rPr>
        <w:t>адміністрації, структурні підрозділи обласної державної адміністрації, райдержадміністрації, за згодою: сільські, селищні, міські ради, Територіальне управління</w:t>
      </w:r>
      <w:r w:rsidRPr="00050AA5">
        <w:rPr>
          <w:rFonts w:ascii="Times New Roman" w:eastAsia="Times New Roman" w:hAnsi="Times New Roman" w:cs="Times New Roman"/>
          <w:sz w:val="28"/>
          <w:szCs w:val="28"/>
          <w:lang w:eastAsia="uk-UA"/>
        </w:rPr>
        <w:t xml:space="preserve"> Державної судової адміністрації України в Дніпропетровській області, Регіональний центр з надання безоплатної вторинної правової допомоги у Дніпропетровській області, Дніпровський державний університет внутрішніх справ, КЗ „Дніпропетровський центр соціально-психологічної допомоги” ДОР”, Дніпропетровський обласний центр соціальних служб, Головне управління Національної поліції в Дніпропетровській області, Громадська організація „Промінь Дніпро”.</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highlight w:val="yellow"/>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6. Мета: удосконалення механізму запобігання та протидії домашньому  насильству,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7. Початок: січень 2026 року, закінчення: грудень 2030 року.</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8. Етапи виконання: Програма розрахована на 5 років, реалізується в один етап – з 2026 до 2030 року.</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highlight w:val="yellow"/>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9. Програма підпадає під Стратегічну ціль 2 „Забезпечення інтегрованого розвитку територій та підвищення якості публічних послуг задля збереження та розвитку людського капіталу”, Оперативну ціль 2.6. „Забезпечення доступу населення громад до якісних адміністративних та </w:t>
      </w:r>
      <w:r w:rsidRPr="00050AA5">
        <w:rPr>
          <w:rFonts w:ascii="Times New Roman" w:eastAsia="Times New Roman" w:hAnsi="Times New Roman" w:cs="Times New Roman"/>
          <w:sz w:val="28"/>
          <w:szCs w:val="28"/>
          <w:lang w:eastAsia="uk-UA"/>
        </w:rPr>
        <w:lastRenderedPageBreak/>
        <w:t>соціальних послуг”, завдання 2.6.4. „Впровадження „соціального кейс-менеджменту” для індивідуального підходу до вирішення проблем громадян”.</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10. Загальні обсяги фінансування:</w:t>
      </w:r>
    </w:p>
    <w:tbl>
      <w:tblPr>
        <w:tblW w:w="9356" w:type="dxa"/>
        <w:jc w:val="center"/>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701"/>
        <w:gridCol w:w="1416"/>
        <w:gridCol w:w="991"/>
        <w:gridCol w:w="992"/>
        <w:gridCol w:w="993"/>
        <w:gridCol w:w="1135"/>
      </w:tblGrid>
      <w:tr w:rsidR="00050AA5" w:rsidRPr="00050AA5" w:rsidTr="00CB6740">
        <w:trPr>
          <w:cantSplit/>
          <w:trHeight w:val="262"/>
          <w:jc w:val="center"/>
        </w:trPr>
        <w:tc>
          <w:tcPr>
            <w:tcW w:w="2128" w:type="dxa"/>
            <w:vMerge w:val="restart"/>
            <w:tcBorders>
              <w:top w:val="single" w:sz="4" w:space="0" w:color="auto"/>
              <w:left w:val="single" w:sz="4" w:space="0" w:color="auto"/>
              <w:right w:val="single" w:sz="4" w:space="0" w:color="auto"/>
            </w:tcBorders>
            <w:vAlign w:val="center"/>
          </w:tcPr>
          <w:p w:rsidR="00050AA5" w:rsidRPr="00050AA5" w:rsidRDefault="00050AA5" w:rsidP="00050AA5">
            <w:pPr>
              <w:spacing w:after="0" w:line="240" w:lineRule="auto"/>
              <w:ind w:left="-248" w:right="-108" w:firstLine="140"/>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tcPr>
          <w:p w:rsidR="00050AA5" w:rsidRPr="00050AA5" w:rsidRDefault="00050AA5" w:rsidP="00050AA5">
            <w:pPr>
              <w:spacing w:after="0" w:line="240" w:lineRule="auto"/>
              <w:ind w:left="-108" w:righ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Обсяг</w:t>
            </w:r>
          </w:p>
          <w:p w:rsidR="00050AA5" w:rsidRPr="00050AA5" w:rsidRDefault="00050AA5" w:rsidP="00050AA5">
            <w:pPr>
              <w:spacing w:after="0" w:line="240" w:lineRule="auto"/>
              <w:ind w:left="-108" w:righ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фінансування,</w:t>
            </w:r>
          </w:p>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усього</w:t>
            </w:r>
          </w:p>
        </w:tc>
        <w:tc>
          <w:tcPr>
            <w:tcW w:w="5527" w:type="dxa"/>
            <w:gridSpan w:val="5"/>
            <w:shd w:val="clear" w:color="auto" w:fill="auto"/>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За роками виконання, тис. грн</w:t>
            </w:r>
          </w:p>
        </w:tc>
      </w:tr>
      <w:tr w:rsidR="00050AA5" w:rsidRPr="00050AA5" w:rsidTr="00CB6740">
        <w:trPr>
          <w:cantSplit/>
          <w:jc w:val="center"/>
        </w:trPr>
        <w:tc>
          <w:tcPr>
            <w:tcW w:w="2128" w:type="dxa"/>
            <w:vMerge/>
            <w:tcBorders>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Pr>
                <w:rFonts w:ascii="Times New Roman" w:eastAsia="Times New Roman" w:hAnsi="Times New Roman" w:cs="Times New Roman"/>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Pr>
                <w:rFonts w:ascii="Times New Roman" w:eastAsia="Times New Roman" w:hAnsi="Times New Roman" w:cs="Times New Roman"/>
                <w:b/>
                <w:lang w:eastAsia="uk-UA"/>
              </w:rPr>
            </w:pP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2026</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2027</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2028</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2029</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2030</w:t>
            </w:r>
          </w:p>
        </w:tc>
      </w:tr>
      <w:tr w:rsidR="00050AA5" w:rsidRPr="00050AA5" w:rsidTr="00CB6740">
        <w:trPr>
          <w:cantSplit/>
          <w:trHeight w:val="499"/>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Державний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07"/>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Обласний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21 400,0</w:t>
            </w: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4 070,0</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4 220,0</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4 320,0</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4 370,0</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4 420,0</w:t>
            </w:r>
          </w:p>
        </w:tc>
      </w:tr>
      <w:tr w:rsidR="00050AA5" w:rsidRPr="00050AA5" w:rsidTr="00CB6740">
        <w:trPr>
          <w:trHeight w:val="427"/>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Місцевий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05"/>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43"/>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Інші джерела</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25"/>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Усього</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21 400</w:t>
            </w: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4 070,0</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4 220,0</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4 320,0</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4 370,0</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4 420,0</w:t>
            </w:r>
          </w:p>
        </w:tc>
      </w:tr>
    </w:tbl>
    <w:p w:rsidR="00050AA5" w:rsidRPr="00050AA5" w:rsidRDefault="00050AA5" w:rsidP="00050AA5">
      <w:pPr>
        <w:spacing w:after="0" w:line="240" w:lineRule="auto"/>
        <w:ind w:firstLine="709"/>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11. Результативні показники виконання Програми:</w:t>
      </w:r>
    </w:p>
    <w:tbl>
      <w:tblPr>
        <w:tblW w:w="10056" w:type="dxa"/>
        <w:jc w:val="center"/>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2304"/>
        <w:gridCol w:w="971"/>
        <w:gridCol w:w="851"/>
        <w:gridCol w:w="780"/>
        <w:gridCol w:w="850"/>
        <w:gridCol w:w="816"/>
        <w:gridCol w:w="850"/>
        <w:gridCol w:w="861"/>
      </w:tblGrid>
      <w:tr w:rsidR="00050AA5" w:rsidRPr="00050AA5" w:rsidTr="00923733">
        <w:trPr>
          <w:trHeight w:val="330"/>
          <w:tblHeader/>
          <w:jc w:val="center"/>
        </w:trPr>
        <w:tc>
          <w:tcPr>
            <w:tcW w:w="1773" w:type="dxa"/>
            <w:vMerge w:val="restart"/>
            <w:shd w:val="clear" w:color="auto" w:fill="auto"/>
            <w:vAlign w:val="center"/>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Назва завдання Програми</w:t>
            </w:r>
          </w:p>
        </w:tc>
        <w:tc>
          <w:tcPr>
            <w:tcW w:w="2304" w:type="dxa"/>
            <w:vMerge w:val="restart"/>
            <w:shd w:val="clear" w:color="auto" w:fill="auto"/>
            <w:vAlign w:val="center"/>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Результативні показники виконання Програми</w:t>
            </w:r>
          </w:p>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(кількісні та якісні)</w:t>
            </w:r>
          </w:p>
        </w:tc>
        <w:tc>
          <w:tcPr>
            <w:tcW w:w="971" w:type="dxa"/>
            <w:vMerge w:val="restart"/>
            <w:vAlign w:val="center"/>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Одиниця</w:t>
            </w:r>
          </w:p>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виміру</w:t>
            </w:r>
          </w:p>
        </w:tc>
        <w:tc>
          <w:tcPr>
            <w:tcW w:w="5008" w:type="dxa"/>
            <w:gridSpan w:val="6"/>
            <w:shd w:val="clear" w:color="auto" w:fill="auto"/>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Значення показників</w:t>
            </w:r>
          </w:p>
        </w:tc>
      </w:tr>
      <w:tr w:rsidR="00050AA5" w:rsidRPr="00050AA5" w:rsidTr="00923733">
        <w:trPr>
          <w:trHeight w:val="180"/>
          <w:tblHeader/>
          <w:jc w:val="center"/>
        </w:trPr>
        <w:tc>
          <w:tcPr>
            <w:tcW w:w="1773" w:type="dxa"/>
            <w:vMerge/>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p>
        </w:tc>
        <w:tc>
          <w:tcPr>
            <w:tcW w:w="2304" w:type="dxa"/>
            <w:vMerge/>
            <w:shd w:val="clear" w:color="auto" w:fill="auto"/>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p>
        </w:tc>
        <w:tc>
          <w:tcPr>
            <w:tcW w:w="971" w:type="dxa"/>
            <w:vMerge/>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p>
        </w:tc>
        <w:tc>
          <w:tcPr>
            <w:tcW w:w="851" w:type="dxa"/>
            <w:vMerge w:val="restart"/>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Усього</w:t>
            </w:r>
          </w:p>
        </w:tc>
        <w:tc>
          <w:tcPr>
            <w:tcW w:w="4157" w:type="dxa"/>
            <w:gridSpan w:val="5"/>
            <w:shd w:val="clear" w:color="auto" w:fill="auto"/>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у тому числі за роками</w:t>
            </w:r>
          </w:p>
        </w:tc>
      </w:tr>
      <w:tr w:rsidR="00050AA5" w:rsidRPr="00050AA5" w:rsidTr="00923733">
        <w:trPr>
          <w:trHeight w:val="439"/>
          <w:tblHeader/>
          <w:jc w:val="center"/>
        </w:trPr>
        <w:tc>
          <w:tcPr>
            <w:tcW w:w="1773" w:type="dxa"/>
            <w:vMerge/>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p>
        </w:tc>
        <w:tc>
          <w:tcPr>
            <w:tcW w:w="2304" w:type="dxa"/>
            <w:vMerge/>
            <w:shd w:val="clear" w:color="auto" w:fill="auto"/>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p>
        </w:tc>
        <w:tc>
          <w:tcPr>
            <w:tcW w:w="971" w:type="dxa"/>
            <w:vMerge/>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p>
        </w:tc>
        <w:tc>
          <w:tcPr>
            <w:tcW w:w="851" w:type="dxa"/>
            <w:vMerge/>
            <w:shd w:val="clear" w:color="auto" w:fill="auto"/>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p>
        </w:tc>
        <w:tc>
          <w:tcPr>
            <w:tcW w:w="78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2026</w:t>
            </w:r>
          </w:p>
        </w:tc>
        <w:tc>
          <w:tcPr>
            <w:tcW w:w="85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2027</w:t>
            </w:r>
          </w:p>
        </w:tc>
        <w:tc>
          <w:tcPr>
            <w:tcW w:w="816"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2028</w:t>
            </w:r>
          </w:p>
        </w:tc>
        <w:tc>
          <w:tcPr>
            <w:tcW w:w="85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2029</w:t>
            </w:r>
          </w:p>
        </w:tc>
        <w:tc>
          <w:tcPr>
            <w:tcW w:w="861"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2030</w:t>
            </w:r>
          </w:p>
        </w:tc>
      </w:tr>
      <w:tr w:rsidR="00050AA5" w:rsidRPr="00050AA5" w:rsidTr="00923733">
        <w:trPr>
          <w:trHeight w:val="58"/>
          <w:tblHeader/>
          <w:jc w:val="center"/>
        </w:trPr>
        <w:tc>
          <w:tcPr>
            <w:tcW w:w="1773" w:type="dxa"/>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w:t>
            </w:r>
          </w:p>
        </w:tc>
        <w:tc>
          <w:tcPr>
            <w:tcW w:w="2304" w:type="dxa"/>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971" w:type="dxa"/>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78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w:t>
            </w:r>
          </w:p>
        </w:tc>
        <w:tc>
          <w:tcPr>
            <w:tcW w:w="85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16"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w:t>
            </w:r>
          </w:p>
        </w:tc>
        <w:tc>
          <w:tcPr>
            <w:tcW w:w="85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w:t>
            </w:r>
          </w:p>
        </w:tc>
        <w:tc>
          <w:tcPr>
            <w:tcW w:w="86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9</w:t>
            </w:r>
          </w:p>
        </w:tc>
      </w:tr>
      <w:tr w:rsidR="00050AA5" w:rsidRPr="00050AA5" w:rsidTr="00923733">
        <w:trPr>
          <w:trHeight w:val="865"/>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sz w:val="20"/>
                <w:szCs w:val="20"/>
                <w:lang w:eastAsia="uk-UA"/>
              </w:rPr>
              <w:t>1. Здійснення збору інформації про кількість наданих послуг особам, які постраждали від насильства та/або насильства за ознакою статі</w:t>
            </w:r>
          </w:p>
        </w:tc>
        <w:tc>
          <w:tcPr>
            <w:tcW w:w="2304" w:type="dxa"/>
            <w:shd w:val="clear" w:color="auto" w:fill="auto"/>
          </w:tcPr>
          <w:p w:rsidR="00050AA5" w:rsidRPr="00050AA5" w:rsidRDefault="00050AA5" w:rsidP="00050AA5">
            <w:pPr>
              <w:tabs>
                <w:tab w:val="left" w:pos="1315"/>
              </w:tabs>
              <w:spacing w:after="0" w:line="240" w:lineRule="auto"/>
              <w:ind w:right="-156"/>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1.1. Кількість постраждалих осіб, які отримали соціальні послуги</w:t>
            </w:r>
          </w:p>
        </w:tc>
        <w:tc>
          <w:tcPr>
            <w:tcW w:w="971" w:type="dxa"/>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32400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6200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6500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6700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7000</w:t>
            </w:r>
          </w:p>
        </w:tc>
      </w:tr>
      <w:tr w:rsidR="00050AA5" w:rsidRPr="00050AA5" w:rsidTr="00923733">
        <w:trPr>
          <w:trHeight w:val="1304"/>
          <w:jc w:val="center"/>
        </w:trPr>
        <w:tc>
          <w:tcPr>
            <w:tcW w:w="1773" w:type="dxa"/>
            <w:vMerge/>
            <w:shd w:val="clear" w:color="auto" w:fill="auto"/>
          </w:tcPr>
          <w:p w:rsidR="00050AA5" w:rsidRPr="00050AA5" w:rsidRDefault="00050AA5" w:rsidP="00050AA5">
            <w:pPr>
              <w:spacing w:after="0" w:line="240" w:lineRule="auto"/>
              <w:ind w:right="-108"/>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1.2. Кількість наданих звітів про стан реалізації державної політики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r>
      <w:tr w:rsidR="00050AA5" w:rsidRPr="00050AA5" w:rsidTr="00923733">
        <w:trPr>
          <w:trHeight w:val="1224"/>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2.1. Кількість надрукованих та розповсюджених буклетів, листівок та </w:t>
            </w:r>
            <w:proofErr w:type="spellStart"/>
            <w:r w:rsidRPr="00050AA5">
              <w:rPr>
                <w:rFonts w:ascii="Times New Roman" w:eastAsia="Times New Roman" w:hAnsi="Times New Roman" w:cs="Times New Roman"/>
                <w:sz w:val="20"/>
                <w:szCs w:val="20"/>
                <w:lang w:eastAsia="uk-UA"/>
              </w:rPr>
              <w:t>флаєрів</w:t>
            </w:r>
            <w:proofErr w:type="spellEnd"/>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2.2. Кількість проведених інформаційно-комунікаційних кампаній</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2.3. Кількість суб’єктів, що здійснюють заходи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3. Формування в суспільстві нетерпимого ставлення до насильницьких моделей поведінки, небайдужого ставлення до постраждалих осіб, </w:t>
            </w:r>
            <w:r w:rsidRPr="00050AA5">
              <w:rPr>
                <w:rFonts w:ascii="Times New Roman" w:eastAsia="Times New Roman" w:hAnsi="Times New Roman" w:cs="Times New Roman"/>
                <w:sz w:val="20"/>
                <w:szCs w:val="20"/>
                <w:lang w:eastAsia="uk-UA"/>
              </w:rPr>
              <w:lastRenderedPageBreak/>
              <w:t xml:space="preserve">насамперед </w:t>
            </w:r>
            <w:r w:rsidRPr="00050AA5">
              <w:rPr>
                <w:rFonts w:ascii="Times New Roman" w:eastAsia="Times New Roman" w:hAnsi="Times New Roman" w:cs="Times New Roman"/>
                <w:spacing w:val="-10"/>
                <w:sz w:val="20"/>
                <w:szCs w:val="20"/>
                <w:lang w:eastAsia="uk-UA"/>
              </w:rPr>
              <w:t>постраждалих дітей, усвідомлення домашнього насильства як порушення прав людини</w:t>
            </w: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3.1. Кількість виховних програм, схвалених Міністерством освіти і науки України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3.2. Кількість проведених для педагогічних працівників навчальних семінарів та тренінгів</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3.3. Кількість проведених семінарів та круглих </w:t>
            </w:r>
            <w:r w:rsidRPr="00050AA5">
              <w:rPr>
                <w:rFonts w:ascii="Times New Roman" w:eastAsia="Times New Roman" w:hAnsi="Times New Roman" w:cs="Times New Roman"/>
                <w:sz w:val="20"/>
                <w:szCs w:val="20"/>
                <w:lang w:eastAsia="uk-UA"/>
              </w:rPr>
              <w:lastRenderedPageBreak/>
              <w:t>столів для суб’єктів взаємодії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lastRenderedPageBreak/>
              <w:t>Од.</w:t>
            </w:r>
          </w:p>
        </w:tc>
        <w:tc>
          <w:tcPr>
            <w:tcW w:w="851" w:type="dxa"/>
            <w:shd w:val="clear" w:color="auto" w:fill="auto"/>
          </w:tcPr>
          <w:p w:rsidR="00050AA5" w:rsidRPr="00050AA5" w:rsidRDefault="00050AA5" w:rsidP="00C70A8C">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r w:rsidR="00C70A8C">
              <w:rPr>
                <w:rFonts w:ascii="Times New Roman" w:eastAsia="Times New Roman" w:hAnsi="Times New Roman" w:cs="Times New Roman"/>
                <w:noProof/>
                <w:sz w:val="20"/>
                <w:szCs w:val="20"/>
                <w:lang w:val="en-US" w:eastAsia="uk-UA"/>
              </w:rPr>
              <w:t>0</w:t>
            </w:r>
            <w:r w:rsidRPr="00050AA5">
              <w:rPr>
                <w:rFonts w:ascii="Times New Roman" w:eastAsia="Times New Roman" w:hAnsi="Times New Roman" w:cs="Times New Roman"/>
                <w:noProof/>
                <w:sz w:val="20"/>
                <w:szCs w:val="20"/>
                <w:lang w:eastAsia="uk-UA"/>
              </w:rPr>
              <w:t>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2304" w:type="dxa"/>
            <w:shd w:val="clear" w:color="auto" w:fill="auto"/>
          </w:tcPr>
          <w:p w:rsidR="00050AA5" w:rsidRPr="00050AA5" w:rsidRDefault="00050AA5" w:rsidP="00050AA5">
            <w:pPr>
              <w:spacing w:after="0" w:line="216" w:lineRule="auto"/>
              <w:ind w:right="-156"/>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4.1. Кількість територіальних громад, які затвердили програми, плани, заходи з питань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4.2. Кількість визначених у територіальних громадах координаторів з питань здійснення заходів у сфері запобігання та протидії домашньому насильству та насильству за ознакою статі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780" w:type="dxa"/>
            <w:shd w:val="clear" w:color="auto" w:fill="auto"/>
          </w:tcPr>
          <w:p w:rsidR="00050AA5" w:rsidRPr="00050AA5" w:rsidRDefault="00050AA5" w:rsidP="00C70A8C">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50"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16"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50"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6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4.3. Кількість проведених координаційних рад з питань протидії домашньому насильству за ознакою статі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Засідань</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4.4. Кількість визначених відповідальних працівників у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4.5. Кількість видів соціальних послуг, які надаються в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4.6. Кількість фахівців із соціальної роботи в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350</w:t>
            </w:r>
            <w:r w:rsidR="00C70A8C">
              <w:rPr>
                <w:rFonts w:ascii="Times New Roman" w:eastAsia="Times New Roman" w:hAnsi="Times New Roman" w:cs="Times New Roman"/>
                <w:noProof/>
                <w:sz w:val="20"/>
                <w:szCs w:val="20"/>
                <w:lang w:val="en-US" w:eastAsia="uk-UA"/>
              </w:rPr>
              <w:t>*</w:t>
            </w:r>
            <w:r w:rsidR="00C70A8C" w:rsidRPr="00C70A8C">
              <w:rPr>
                <w:rStyle w:val="ab"/>
                <w:rFonts w:ascii="Times New Roman" w:eastAsia="Times New Roman" w:hAnsi="Times New Roman" w:cs="Times New Roman"/>
                <w:noProof/>
                <w:color w:val="FFFFFF" w:themeColor="background1"/>
                <w:sz w:val="20"/>
                <w:szCs w:val="20"/>
                <w:lang w:eastAsia="uk-UA"/>
              </w:rPr>
              <w:footnoteReference w:id="1"/>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320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330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340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350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350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4.7. Кількість розроблених алгоритмів реагування на випадки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4.8. Кількість проведених навчань із міжвідомчого реагування на випадки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4.9. Кількість проведених семінарів для фахівців територіальних громад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75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r>
      <w:tr w:rsidR="00050AA5" w:rsidRPr="00050AA5" w:rsidTr="00923733">
        <w:trPr>
          <w:trHeight w:val="857"/>
          <w:jc w:val="center"/>
        </w:trPr>
        <w:tc>
          <w:tcPr>
            <w:tcW w:w="1773" w:type="dxa"/>
            <w:vMerge w:val="restart"/>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 xml:space="preserve">5. Надання кожній постраждалій особі інформації про її права та можливості реалізації таких прав зрозумілою для неї мовою або </w:t>
            </w:r>
            <w:r w:rsidRPr="00050AA5">
              <w:rPr>
                <w:rFonts w:ascii="Times New Roman" w:eastAsia="Times New Roman" w:hAnsi="Times New Roman" w:cs="Times New Roman"/>
                <w:spacing w:val="-6"/>
                <w:sz w:val="20"/>
                <w:szCs w:val="20"/>
                <w:lang w:eastAsia="uk-UA"/>
              </w:rPr>
              <w:t>через перекладача</w:t>
            </w:r>
            <w:r w:rsidRPr="00050AA5">
              <w:rPr>
                <w:rFonts w:ascii="Times New Roman" w:eastAsia="Times New Roman" w:hAnsi="Times New Roman" w:cs="Times New Roman"/>
                <w:sz w:val="20"/>
                <w:szCs w:val="20"/>
                <w:lang w:eastAsia="uk-UA"/>
              </w:rPr>
              <w:t xml:space="preserve"> чи залучену третю особу, яка володіє мовою, зрозумілою постраждалій особі, та забезпечення реалізації таких прав</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5.1. Кількість постраждалих осіб, які отримали інформаційні послуги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5.2. Кількість проведених навчань щодо захисту прав постраждалої особи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 Розбудова системи надання спеціалізованих послуг та забезпечення її сталості</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6.1. Кількість створених  спеціалізованих служб підтримки осіб, які постраждали від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170</w:t>
            </w:r>
            <w:r w:rsidR="00C70A8C">
              <w:rPr>
                <w:rFonts w:ascii="Times New Roman" w:eastAsia="Times New Roman" w:hAnsi="Times New Roman" w:cs="Times New Roman"/>
                <w:noProof/>
                <w:sz w:val="20"/>
                <w:szCs w:val="20"/>
                <w:lang w:eastAsia="uk-UA"/>
              </w:rPr>
              <w:t>*</w:t>
            </w:r>
            <w:r w:rsidR="00C70A8C" w:rsidRPr="00C70A8C">
              <w:rPr>
                <w:rStyle w:val="ab"/>
                <w:rFonts w:ascii="Times New Roman" w:eastAsia="Times New Roman" w:hAnsi="Times New Roman" w:cs="Times New Roman"/>
                <w:noProof/>
                <w:color w:val="FFFFFF" w:themeColor="background1"/>
                <w:sz w:val="20"/>
                <w:szCs w:val="20"/>
                <w:lang w:eastAsia="uk-UA"/>
              </w:rPr>
              <w:footnoteReference w:id="2"/>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140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165</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170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6.2. Кількість послуг, наданих особам,  які постраждали від домашнього насильства </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91500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18100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18200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18300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18400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18500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6.3. Кількість осіб, які отримали послуги з соціально-психологічної допомоги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 Забезпечення реагування на випадки домашнього насильства та насильства за ознакою статі, створення умов  для цілодобового опрацювання звернень/повідомлень громадян з питань домашнього насильства, насильства за ознакою статі та насильства стосовно дітей та    за участю дітей</w:t>
            </w:r>
          </w:p>
        </w:tc>
        <w:tc>
          <w:tcPr>
            <w:tcW w:w="2304" w:type="dxa"/>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7.1. Кількість </w:t>
            </w:r>
            <w:r w:rsidRPr="00923733">
              <w:rPr>
                <w:rFonts w:ascii="Times New Roman" w:eastAsia="Times New Roman" w:hAnsi="Times New Roman" w:cs="Times New Roman"/>
                <w:sz w:val="20"/>
                <w:szCs w:val="20"/>
                <w:lang w:eastAsia="uk-UA"/>
              </w:rPr>
              <w:t>працюючих гарячих</w:t>
            </w:r>
            <w:r w:rsidRPr="00050AA5">
              <w:rPr>
                <w:rFonts w:ascii="Times New Roman" w:eastAsia="Times New Roman" w:hAnsi="Times New Roman" w:cs="Times New Roman"/>
                <w:sz w:val="20"/>
                <w:szCs w:val="20"/>
                <w:lang w:eastAsia="uk-UA"/>
              </w:rPr>
              <w:t xml:space="preserve"> ліній</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r>
      <w:tr w:rsidR="00050AA5" w:rsidRPr="00050AA5" w:rsidTr="00923733">
        <w:trPr>
          <w:jc w:val="center"/>
        </w:trPr>
        <w:tc>
          <w:tcPr>
            <w:tcW w:w="1773" w:type="dxa"/>
            <w:vMerge/>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p>
        </w:tc>
        <w:tc>
          <w:tcPr>
            <w:tcW w:w="2304" w:type="dxa"/>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highlight w:val="yellow"/>
                <w:lang w:eastAsia="uk-UA"/>
              </w:rPr>
            </w:pPr>
            <w:r w:rsidRPr="00050AA5">
              <w:rPr>
                <w:rFonts w:ascii="Times New Roman" w:eastAsia="Times New Roman" w:hAnsi="Times New Roman" w:cs="Times New Roman"/>
                <w:sz w:val="20"/>
                <w:szCs w:val="20"/>
                <w:lang w:eastAsia="uk-UA"/>
              </w:rPr>
              <w:t xml:space="preserve">7.2. Кількість постраждалих осіб, які отримали медичні послуги </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3000</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700</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r>
      <w:tr w:rsidR="00050AA5" w:rsidRPr="00050AA5" w:rsidTr="00923733">
        <w:trPr>
          <w:trHeight w:val="1566"/>
          <w:jc w:val="center"/>
        </w:trPr>
        <w:tc>
          <w:tcPr>
            <w:tcW w:w="1773" w:type="dxa"/>
            <w:vMerge w:val="restart"/>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8. Забезпечення притягнення кривдника до відповідальності, передбаченої законом</w:t>
            </w:r>
          </w:p>
        </w:tc>
        <w:tc>
          <w:tcPr>
            <w:tcW w:w="2304" w:type="dxa"/>
            <w:shd w:val="clear" w:color="auto" w:fill="auto"/>
          </w:tcPr>
          <w:p w:rsidR="00050AA5" w:rsidRPr="00050AA5" w:rsidRDefault="00050AA5" w:rsidP="00050AA5">
            <w:pPr>
              <w:tabs>
                <w:tab w:val="left" w:pos="1315"/>
              </w:tabs>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8.1. Кількість поінформованих батьків та інших представників дітей про права дитини, заходи та послуги, якими вони можуть скористатись</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2500</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r>
      <w:tr w:rsidR="00050AA5" w:rsidRPr="00050AA5" w:rsidTr="00923733">
        <w:trPr>
          <w:jc w:val="center"/>
        </w:trPr>
        <w:tc>
          <w:tcPr>
            <w:tcW w:w="1773" w:type="dxa"/>
            <w:vMerge/>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p>
        </w:tc>
        <w:tc>
          <w:tcPr>
            <w:tcW w:w="2304" w:type="dxa"/>
            <w:shd w:val="clear" w:color="auto" w:fill="auto"/>
          </w:tcPr>
          <w:p w:rsidR="00050AA5" w:rsidRPr="00050AA5" w:rsidRDefault="00050AA5" w:rsidP="00050AA5">
            <w:pPr>
              <w:tabs>
                <w:tab w:val="left" w:pos="1315"/>
              </w:tabs>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8.2. Кількість затверджених програм для кривдників</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8.3. Кількість осіб, направлених судом на проходження програм  для кривдників  (показник визначається      в залежності від того, скільки осіб було направлено судом на проходження програми для кривдників)</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r>
    </w:tbl>
    <w:p w:rsidR="00050AA5" w:rsidRPr="00050AA5" w:rsidRDefault="00050AA5" w:rsidP="00050AA5">
      <w:pPr>
        <w:spacing w:after="0" w:line="240" w:lineRule="auto"/>
        <w:contextualSpacing/>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contextualSpacing/>
        <w:jc w:val="both"/>
        <w:rPr>
          <w:rFonts w:ascii="Times New Roman" w:eastAsia="Times New Roman" w:hAnsi="Times New Roman" w:cs="Times New Roman"/>
          <w:noProof/>
          <w:sz w:val="28"/>
          <w:szCs w:val="28"/>
          <w:lang w:eastAsia="uk-UA"/>
        </w:rPr>
      </w:pPr>
      <w:r w:rsidRPr="00050AA5">
        <w:rPr>
          <w:rFonts w:ascii="Times New Roman" w:eastAsia="Times New Roman" w:hAnsi="Times New Roman" w:cs="Times New Roman"/>
          <w:sz w:val="28"/>
          <w:szCs w:val="28"/>
          <w:lang w:eastAsia="ru-RU"/>
        </w:rPr>
        <w:t xml:space="preserve">12. </w:t>
      </w:r>
      <w:r w:rsidRPr="00050AA5">
        <w:rPr>
          <w:rFonts w:ascii="Times New Roman" w:eastAsia="Times New Roman" w:hAnsi="Times New Roman" w:cs="Times New Roman"/>
          <w:noProof/>
          <w:sz w:val="28"/>
          <w:szCs w:val="28"/>
          <w:lang w:eastAsia="uk-UA"/>
        </w:rPr>
        <w:t>Координація та контроль за виконанням: координацію роботи щодо виконання Програми здійснює її регіональний замовник – департамент соціального захисту населення обл</w:t>
      </w:r>
      <w:r>
        <w:rPr>
          <w:rFonts w:ascii="Times New Roman" w:eastAsia="Times New Roman" w:hAnsi="Times New Roman" w:cs="Times New Roman"/>
          <w:noProof/>
          <w:sz w:val="28"/>
          <w:szCs w:val="28"/>
          <w:lang w:eastAsia="uk-UA"/>
        </w:rPr>
        <w:t xml:space="preserve">асної </w:t>
      </w:r>
      <w:r w:rsidRPr="00050AA5">
        <w:rPr>
          <w:rFonts w:ascii="Times New Roman" w:eastAsia="Times New Roman" w:hAnsi="Times New Roman" w:cs="Times New Roman"/>
          <w:noProof/>
          <w:sz w:val="28"/>
          <w:szCs w:val="28"/>
          <w:lang w:eastAsia="uk-UA"/>
        </w:rPr>
        <w:t>держ</w:t>
      </w:r>
      <w:r>
        <w:rPr>
          <w:rFonts w:ascii="Times New Roman" w:eastAsia="Times New Roman" w:hAnsi="Times New Roman" w:cs="Times New Roman"/>
          <w:noProof/>
          <w:sz w:val="28"/>
          <w:szCs w:val="28"/>
          <w:lang w:eastAsia="uk-UA"/>
        </w:rPr>
        <w:t xml:space="preserve">авної </w:t>
      </w:r>
      <w:r w:rsidRPr="00050AA5">
        <w:rPr>
          <w:rFonts w:ascii="Times New Roman" w:eastAsia="Times New Roman" w:hAnsi="Times New Roman" w:cs="Times New Roman"/>
          <w:noProof/>
          <w:sz w:val="28"/>
          <w:szCs w:val="28"/>
          <w:lang w:eastAsia="uk-UA"/>
        </w:rPr>
        <w:t>адміністрації, який готує та подає звіт про виконання Програми до обласної ради та обл</w:t>
      </w:r>
      <w:r>
        <w:rPr>
          <w:rFonts w:ascii="Times New Roman" w:eastAsia="Times New Roman" w:hAnsi="Times New Roman" w:cs="Times New Roman"/>
          <w:noProof/>
          <w:sz w:val="28"/>
          <w:szCs w:val="28"/>
          <w:lang w:eastAsia="uk-UA"/>
        </w:rPr>
        <w:t xml:space="preserve">асної </w:t>
      </w:r>
      <w:r w:rsidRPr="00050AA5">
        <w:rPr>
          <w:rFonts w:ascii="Times New Roman" w:eastAsia="Times New Roman" w:hAnsi="Times New Roman" w:cs="Times New Roman"/>
          <w:noProof/>
          <w:sz w:val="28"/>
          <w:szCs w:val="28"/>
          <w:lang w:eastAsia="uk-UA"/>
        </w:rPr>
        <w:t>держ</w:t>
      </w:r>
      <w:r>
        <w:rPr>
          <w:rFonts w:ascii="Times New Roman" w:eastAsia="Times New Roman" w:hAnsi="Times New Roman" w:cs="Times New Roman"/>
          <w:noProof/>
          <w:sz w:val="28"/>
          <w:szCs w:val="28"/>
          <w:lang w:eastAsia="uk-UA"/>
        </w:rPr>
        <w:t xml:space="preserve">авної </w:t>
      </w:r>
      <w:r w:rsidRPr="00050AA5">
        <w:rPr>
          <w:rFonts w:ascii="Times New Roman" w:eastAsia="Times New Roman" w:hAnsi="Times New Roman" w:cs="Times New Roman"/>
          <w:noProof/>
          <w:sz w:val="28"/>
          <w:szCs w:val="28"/>
          <w:lang w:eastAsia="uk-UA"/>
        </w:rPr>
        <w:t>адміністрації щокварталу до 15 числа місяця, що настає за звітним періодом. Контроль за ходом виконання Програми здійснює постійна комісія обласної ради з питань науки, освіти, соціальної політики та праці.</w:t>
      </w:r>
    </w:p>
    <w:p w:rsidR="00050AA5" w:rsidRPr="00050AA5" w:rsidRDefault="00050AA5" w:rsidP="00050AA5">
      <w:pPr>
        <w:spacing w:before="120" w:after="0" w:line="230" w:lineRule="auto"/>
        <w:ind w:firstLine="567"/>
        <w:contextualSpacing/>
        <w:jc w:val="both"/>
        <w:rPr>
          <w:rFonts w:ascii="Times New Roman" w:eastAsia="Times New Roman" w:hAnsi="Times New Roman" w:cs="Times New Roman"/>
          <w:b/>
          <w:noProof/>
          <w:sz w:val="28"/>
          <w:szCs w:val="28"/>
          <w:lang w:eastAsia="uk-UA"/>
        </w:rPr>
      </w:pPr>
    </w:p>
    <w:p w:rsidR="00050AA5" w:rsidRPr="00050AA5" w:rsidRDefault="00050AA5" w:rsidP="00050AA5">
      <w:pPr>
        <w:spacing w:after="0" w:line="230"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050AA5" w:rsidRPr="00050AA5" w:rsidRDefault="00050AA5" w:rsidP="00050AA5">
      <w:pPr>
        <w:spacing w:after="0" w:line="230" w:lineRule="auto"/>
        <w:ind w:firstLine="709"/>
        <w:jc w:val="center"/>
        <w:rPr>
          <w:rFonts w:ascii="Times New Roman" w:eastAsia="Times New Roman" w:hAnsi="Times New Roman" w:cs="Times New Roman"/>
          <w:sz w:val="28"/>
          <w:szCs w:val="28"/>
          <w:lang w:eastAsia="uk-UA"/>
        </w:rPr>
      </w:pPr>
    </w:p>
    <w:p w:rsidR="00050AA5" w:rsidRPr="00050AA5" w:rsidRDefault="00050AA5" w:rsidP="00050AA5">
      <w:pPr>
        <w:spacing w:after="0" w:line="23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Програма підпадає під Стратегічну ціль 2 „Забезпечення інтегрованого розвитку територій та підвищення якості публічних послуг задля збереження та розвитку </w:t>
      </w:r>
      <w:r>
        <w:rPr>
          <w:rFonts w:ascii="Times New Roman" w:eastAsia="Times New Roman" w:hAnsi="Times New Roman" w:cs="Times New Roman"/>
          <w:sz w:val="28"/>
          <w:szCs w:val="28"/>
          <w:lang w:eastAsia="uk-UA"/>
        </w:rPr>
        <w:t>людського капіталу”, О</w:t>
      </w:r>
      <w:r w:rsidRPr="00050AA5">
        <w:rPr>
          <w:rFonts w:ascii="Times New Roman" w:eastAsia="Times New Roman" w:hAnsi="Times New Roman" w:cs="Times New Roman"/>
          <w:sz w:val="28"/>
          <w:szCs w:val="28"/>
          <w:lang w:eastAsia="uk-UA"/>
        </w:rPr>
        <w:t>перативну ціль 2.6. „Забезпечення доступу населення громад до якісних адміністративних та соціальних послуг”, завдання 2.6.4. „Впровадження „соціального кейс-менеджменту” для індивідуального підходу до вирішення проблем громадян”.</w:t>
      </w:r>
    </w:p>
    <w:p w:rsidR="00050AA5" w:rsidRPr="00050AA5" w:rsidRDefault="00050AA5" w:rsidP="00050AA5">
      <w:pPr>
        <w:spacing w:after="0" w:line="23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 xml:space="preserve">IІІ. Склад проблеми та обґрунтування необхідності її </w:t>
      </w:r>
    </w:p>
    <w:p w:rsidR="00050AA5" w:rsidRPr="00050AA5" w:rsidRDefault="00050AA5" w:rsidP="00050AA5">
      <w:pPr>
        <w:spacing w:after="0" w:line="235"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розв’язання шляхом розроблення і виконання Програми</w:t>
      </w:r>
    </w:p>
    <w:p w:rsidR="00050AA5" w:rsidRPr="00050AA5" w:rsidRDefault="00050AA5" w:rsidP="00050AA5">
      <w:pPr>
        <w:spacing w:after="0" w:line="235" w:lineRule="auto"/>
        <w:ind w:firstLine="567"/>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У Дніпропетровській області наразі існує проблема недостатньо ефективного механізму запобігання та протидії домашньому насильству та насильству за ознакою статі й забезпечення захисту прав осіб, які </w:t>
      </w:r>
      <w:r w:rsidRPr="00050AA5">
        <w:rPr>
          <w:rFonts w:ascii="Times New Roman" w:eastAsia="Times New Roman" w:hAnsi="Times New Roman" w:cs="Times New Roman"/>
          <w:sz w:val="28"/>
          <w:szCs w:val="28"/>
          <w:lang w:eastAsia="uk-UA"/>
        </w:rPr>
        <w:lastRenderedPageBreak/>
        <w:t>постраждали від домашнього насильства та насильства за ознакою статі (далі – постраждалі особи):</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недосконала система реагування на насильство, де кожен випадок </w:t>
      </w:r>
      <w:r w:rsidR="00C70A8C">
        <w:rPr>
          <w:rFonts w:ascii="Times New Roman" w:eastAsia="Times New Roman" w:hAnsi="Times New Roman" w:cs="Times New Roman"/>
          <w:sz w:val="28"/>
          <w:szCs w:val="28"/>
          <w:lang w:eastAsia="uk-UA"/>
        </w:rPr>
        <w:t xml:space="preserve">не </w:t>
      </w:r>
      <w:r w:rsidRPr="00050AA5">
        <w:rPr>
          <w:rFonts w:ascii="Times New Roman" w:eastAsia="Times New Roman" w:hAnsi="Times New Roman" w:cs="Times New Roman"/>
          <w:sz w:val="28"/>
          <w:szCs w:val="28"/>
          <w:lang w:eastAsia="uk-UA"/>
        </w:rPr>
        <w:t>отримує належну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забезпечення постраждалим особам незалежно від віку та стану здоров’я доступності комплексних послуг, орієнтованих на їх потреби, та отримання таких послуг;</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надання доступних, якісних соціальних послуг постраждалим особам; забезпечення належного розслідування фактів домашнього насильства, притягнення кривдників до передбаченої законом відповідальності та сприяння заміні їх поведінки на ненасильницьку;</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рівня поінформованості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(зокрема особам із порушенням слуху – за допомогою перекладача жестової мови чи онлайн-перекладу жестовою мовою із застосуванням мобільних додатків), та забезпечення реалізації таких прав.</w:t>
      </w:r>
    </w:p>
    <w:p w:rsidR="00050AA5" w:rsidRPr="00050AA5" w:rsidRDefault="00050AA5" w:rsidP="00050AA5">
      <w:pPr>
        <w:tabs>
          <w:tab w:val="left" w:pos="2552"/>
        </w:tabs>
        <w:spacing w:after="0" w:line="235" w:lineRule="auto"/>
        <w:jc w:val="center"/>
        <w:rPr>
          <w:rFonts w:ascii="Times New Roman" w:eastAsia="Times New Roman" w:hAnsi="Times New Roman" w:cs="Times New Roman"/>
          <w:b/>
          <w:sz w:val="28"/>
          <w:szCs w:val="28"/>
          <w:lang w:eastAsia="uk-UA"/>
        </w:rPr>
      </w:pPr>
    </w:p>
    <w:p w:rsidR="00050AA5" w:rsidRPr="00050AA5" w:rsidRDefault="00050AA5" w:rsidP="00050AA5">
      <w:pPr>
        <w:tabs>
          <w:tab w:val="left" w:pos="2552"/>
        </w:tabs>
        <w:spacing w:after="0" w:line="235" w:lineRule="auto"/>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І</w:t>
      </w:r>
      <w:r w:rsidRPr="00050AA5">
        <w:rPr>
          <w:rFonts w:ascii="Times New Roman" w:eastAsia="Times New Roman" w:hAnsi="Times New Roman" w:cs="Times New Roman"/>
          <w:b/>
          <w:sz w:val="28"/>
          <w:szCs w:val="28"/>
          <w:lang w:val="en-US" w:eastAsia="uk-UA"/>
        </w:rPr>
        <w:t>V</w:t>
      </w:r>
      <w:r w:rsidRPr="00050AA5">
        <w:rPr>
          <w:rFonts w:ascii="Times New Roman" w:eastAsia="Times New Roman" w:hAnsi="Times New Roman" w:cs="Times New Roman"/>
          <w:b/>
          <w:sz w:val="28"/>
          <w:szCs w:val="28"/>
          <w:lang w:eastAsia="uk-UA"/>
        </w:rPr>
        <w:t>. Мета Програми</w:t>
      </w:r>
    </w:p>
    <w:p w:rsidR="00050AA5" w:rsidRPr="00050AA5" w:rsidRDefault="00050AA5" w:rsidP="00050AA5">
      <w:pPr>
        <w:spacing w:after="0" w:line="235" w:lineRule="auto"/>
        <w:ind w:firstLine="720"/>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Метою Програми є </w:t>
      </w:r>
      <w:r>
        <w:rPr>
          <w:rFonts w:ascii="Times New Roman" w:eastAsia="Times New Roman" w:hAnsi="Times New Roman" w:cs="Times New Roman"/>
          <w:sz w:val="28"/>
          <w:szCs w:val="28"/>
          <w:lang w:eastAsia="uk-UA"/>
        </w:rPr>
        <w:t>в</w:t>
      </w:r>
      <w:r w:rsidRPr="00050AA5">
        <w:rPr>
          <w:rFonts w:ascii="Times New Roman" w:eastAsia="Times New Roman" w:hAnsi="Times New Roman" w:cs="Times New Roman"/>
          <w:sz w:val="28"/>
          <w:szCs w:val="28"/>
          <w:lang w:eastAsia="uk-UA"/>
        </w:rPr>
        <w:t>досконалення механізму запобігання та протидії домашньому насильству та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val="en-US" w:eastAsia="uk-UA"/>
        </w:rPr>
        <w:t>V</w:t>
      </w:r>
      <w:r w:rsidRPr="00050AA5">
        <w:rPr>
          <w:rFonts w:ascii="Times New Roman" w:eastAsia="Times New Roman" w:hAnsi="Times New Roman" w:cs="Times New Roman"/>
          <w:b/>
          <w:sz w:val="28"/>
          <w:szCs w:val="28"/>
          <w:lang w:eastAsia="uk-UA"/>
        </w:rPr>
        <w:t>. Об</w:t>
      </w:r>
      <w:r w:rsidRPr="00050AA5">
        <w:rPr>
          <w:rFonts w:ascii="Times New Roman" w:eastAsia="Times New Roman" w:hAnsi="Times New Roman" w:cs="Times New Roman"/>
          <w:b/>
          <w:color w:val="001D35"/>
          <w:sz w:val="28"/>
          <w:szCs w:val="28"/>
          <w:shd w:val="clear" w:color="auto" w:fill="FFFFFF"/>
          <w:lang w:eastAsia="uk-UA"/>
        </w:rPr>
        <w:t>ґ</w:t>
      </w:r>
      <w:r w:rsidRPr="00050AA5">
        <w:rPr>
          <w:rFonts w:ascii="Times New Roman" w:eastAsia="Times New Roman" w:hAnsi="Times New Roman" w:cs="Times New Roman"/>
          <w:b/>
          <w:sz w:val="28"/>
          <w:szCs w:val="28"/>
          <w:lang w:eastAsia="uk-UA"/>
        </w:rPr>
        <w:t>рунтування шляхів і засобів розв’язання проблеми</w:t>
      </w:r>
    </w:p>
    <w:p w:rsidR="00050AA5" w:rsidRPr="00050AA5" w:rsidRDefault="00050AA5" w:rsidP="00050AA5">
      <w:pPr>
        <w:spacing w:after="0" w:line="235" w:lineRule="auto"/>
        <w:ind w:firstLine="567"/>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Мети Програми передбачається досягти шляхом:</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посилення взаємодії суб’єктів, що здійснюють заходи у сфері запобігання та протидії домашньому насильству та насильству за ознакою статі, шляхом узгодження їх дій;</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створення єдиного підходу для розвитку і розбудови притулків та відповідної інфраструктури для осіб, постраждалих від домашнього насильства; забезпечення доступу до загальних та спеціалізованих служб, підтримка постраждалих осіб для отримання соціальних послуг, медичної, соціальної, психологічної допомоги, доступу до правосуддя та інших </w:t>
      </w:r>
      <w:r w:rsidRPr="00050AA5">
        <w:rPr>
          <w:rFonts w:ascii="Times New Roman" w:eastAsia="Times New Roman" w:hAnsi="Times New Roman" w:cs="Times New Roman"/>
          <w:sz w:val="28"/>
          <w:szCs w:val="28"/>
          <w:lang w:eastAsia="uk-UA"/>
        </w:rPr>
        <w:lastRenderedPageBreak/>
        <w:t>механізмів юридичного захисту; у разі потреби забезпечення тимчасового притулку для постраждалих осіб;</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рівня поінформованості суспільства щодо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професійного рівня спеціалістів, які здійснюють заходи у сфері запобігання та протидії домашньому насильству та насильству за ознакою статі.</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tabs>
          <w:tab w:val="left" w:pos="2552"/>
        </w:tabs>
        <w:spacing w:after="0" w:line="240"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V</w:t>
      </w:r>
      <w:r w:rsidRPr="00050AA5">
        <w:rPr>
          <w:rFonts w:ascii="Times New Roman" w:eastAsia="Times New Roman" w:hAnsi="Times New Roman" w:cs="Times New Roman"/>
          <w:b/>
          <w:sz w:val="28"/>
          <w:szCs w:val="28"/>
          <w:lang w:val="en-US" w:eastAsia="uk-UA"/>
        </w:rPr>
        <w:t>I</w:t>
      </w:r>
      <w:r w:rsidRPr="00050AA5">
        <w:rPr>
          <w:rFonts w:ascii="Times New Roman" w:eastAsia="Times New Roman" w:hAnsi="Times New Roman" w:cs="Times New Roman"/>
          <w:b/>
          <w:sz w:val="28"/>
          <w:szCs w:val="28"/>
          <w:lang w:eastAsia="uk-UA"/>
        </w:rPr>
        <w:t>. Строки та етапи виконання Програми</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Виконання заходів Програми здійснюється протягом 2026 – 2030 років.</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eastAsia="uk-UA"/>
        </w:rPr>
        <w:t>VІІ. Перелік завдань і заходів Програми</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Для забезпечення якісного виконання та дієвого контролю за реалізацією Програми розроблено перелік завдань і заходів, де зазначаються очікувані результати та необхідні обсяги фінансування (додаток 1</w:t>
      </w:r>
      <w:r>
        <w:rPr>
          <w:rFonts w:ascii="Times New Roman" w:eastAsia="Times New Roman" w:hAnsi="Times New Roman" w:cs="Times New Roman"/>
          <w:sz w:val="28"/>
          <w:szCs w:val="28"/>
          <w:lang w:eastAsia="uk-UA"/>
        </w:rPr>
        <w:t xml:space="preserve"> до додатка до рішення обласної ради</w:t>
      </w:r>
      <w:r w:rsidRPr="00050AA5">
        <w:rPr>
          <w:rFonts w:ascii="Times New Roman" w:eastAsia="Times New Roman" w:hAnsi="Times New Roman" w:cs="Times New Roman"/>
          <w:sz w:val="28"/>
          <w:szCs w:val="28"/>
          <w:lang w:eastAsia="uk-UA"/>
        </w:rPr>
        <w:t>).</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709"/>
        <w:jc w:val="center"/>
        <w:rPr>
          <w:rFonts w:ascii="Times New Roman" w:eastAsia="Times New Roman" w:hAnsi="Times New Roman" w:cs="Times New Roman"/>
          <w:sz w:val="28"/>
          <w:szCs w:val="28"/>
          <w:lang w:eastAsia="ru-RU"/>
        </w:rPr>
      </w:pPr>
      <w:r w:rsidRPr="00050AA5">
        <w:rPr>
          <w:rFonts w:ascii="Times New Roman" w:eastAsia="Times New Roman" w:hAnsi="Times New Roman" w:cs="Times New Roman"/>
          <w:b/>
          <w:sz w:val="28"/>
          <w:szCs w:val="28"/>
          <w:lang w:eastAsia="uk-UA"/>
        </w:rPr>
        <w:t>VІІІ. Ресурсне забезпечення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Витрати на реалізацію заходів Програми здійснюватимуться за рахунок державного, обласного, місцевих бюджетів та інших джерел, не заборонених чинним законодавством.</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Обсяг фінансування Програми визначається щорічно, враховуючи конкретні завдання та реальні можливості бюджетів.</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val="en-US" w:eastAsia="uk-UA"/>
        </w:rPr>
        <w:t>IX</w:t>
      </w:r>
      <w:r w:rsidRPr="00050AA5">
        <w:rPr>
          <w:rFonts w:ascii="Times New Roman" w:eastAsia="Times New Roman" w:hAnsi="Times New Roman" w:cs="Times New Roman"/>
          <w:b/>
          <w:sz w:val="28"/>
          <w:szCs w:val="28"/>
          <w:lang w:eastAsia="uk-UA"/>
        </w:rPr>
        <w:t>. Організація управління та контролю за ходом виконання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Координацію виконання Програми здійснює її регіональний замовник − департамент соціального захисту населення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Контроль за ходом виконанням Програми здійснює постійна комісія обласної ради з питань науки, освіти, соціальної політики та праці.</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Департамент соціального захисту населення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 щокварталу до 15 числа місяця, що настає за звітним періодом, надає інформацію про хід виконання Програми до обласної ради та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w:t>
      </w: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b/>
          <w:sz w:val="28"/>
          <w:szCs w:val="28"/>
          <w:lang w:eastAsia="uk-UA"/>
        </w:rPr>
      </w:pP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eastAsia="uk-UA"/>
        </w:rPr>
        <w:t>Х. Очікувані кінцеві результати виконання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Виконання Програми дасть змогу:</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lastRenderedPageBreak/>
        <w:t>посилити взаємодію суб’єктів, що здійснюють заходи у сфері запобігання та протидії домашньому насильству та насильству за ознакою статі шляхом узгодження їх дій;</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підвищити рівень поінформованості суспільства щодо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w:t>
      </w:r>
    </w:p>
    <w:p w:rsidR="00C70A8C"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 xml:space="preserve">підвищити професійний рівень спеціалістів, які здійснюють заходи у сфері запобігання та протидії домашньому насильству та насильству за ознакою статі; </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забезпечити доступ до загальних та спеціалізованих служб підтримки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 у разі потреби забезпечити тимчасовим притулком постраждалих осіб;</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здійснити заходи щодо запровадження системного реагування на насильство, де кожен випадок отримує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Показники оцінки ефективності виконання Програми викладено</w:t>
      </w:r>
      <w:r w:rsidRPr="00050AA5">
        <w:rPr>
          <w:rFonts w:ascii="Times New Roman" w:eastAsia="Times New Roman" w:hAnsi="Times New Roman" w:cs="Times New Roman"/>
          <w:sz w:val="28"/>
          <w:szCs w:val="28"/>
          <w:lang w:eastAsia="uk-UA"/>
        </w:rPr>
        <w:br/>
        <w:t>у додатку 2</w:t>
      </w:r>
      <w:r>
        <w:rPr>
          <w:rFonts w:ascii="Times New Roman" w:eastAsia="Times New Roman" w:hAnsi="Times New Roman" w:cs="Times New Roman"/>
          <w:sz w:val="28"/>
          <w:szCs w:val="28"/>
          <w:lang w:eastAsia="uk-UA"/>
        </w:rPr>
        <w:t xml:space="preserve"> до додатка до рішення обласної ради</w:t>
      </w:r>
      <w:r w:rsidRPr="00050AA5">
        <w:rPr>
          <w:rFonts w:ascii="Times New Roman" w:eastAsia="Times New Roman" w:hAnsi="Times New Roman" w:cs="Times New Roman"/>
          <w:sz w:val="28"/>
          <w:szCs w:val="28"/>
          <w:lang w:eastAsia="uk-UA"/>
        </w:rPr>
        <w:t>.</w:t>
      </w: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rPr>
          <w:rFonts w:ascii="Times New Roman" w:eastAsia="Times New Roman" w:hAnsi="Times New Roman" w:cs="Times New Roman"/>
          <w:sz w:val="28"/>
          <w:szCs w:val="28"/>
          <w:lang w:eastAsia="ru-RU"/>
        </w:rPr>
      </w:pPr>
      <w:r w:rsidRPr="00050AA5">
        <w:rPr>
          <w:rFonts w:ascii="Times New Roman" w:eastAsia="Calibri" w:hAnsi="Times New Roman" w:cs="Times New Roman"/>
          <w:b/>
          <w:sz w:val="28"/>
          <w:szCs w:val="28"/>
        </w:rPr>
        <w:t>Заступник голови обласної ради                                          І. КАШИРІН</w:t>
      </w:r>
    </w:p>
    <w:sectPr w:rsidR="00050AA5" w:rsidSect="00050AA5">
      <w:head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1D" w:rsidRDefault="00BB4C1D" w:rsidP="00050AA5">
      <w:pPr>
        <w:spacing w:after="0" w:line="240" w:lineRule="auto"/>
      </w:pPr>
      <w:r>
        <w:separator/>
      </w:r>
    </w:p>
  </w:endnote>
  <w:endnote w:type="continuationSeparator" w:id="0">
    <w:p w:rsidR="00BB4C1D" w:rsidRDefault="00BB4C1D" w:rsidP="0005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1D" w:rsidRDefault="00BB4C1D" w:rsidP="00050AA5">
      <w:pPr>
        <w:spacing w:after="0" w:line="240" w:lineRule="auto"/>
      </w:pPr>
      <w:r>
        <w:separator/>
      </w:r>
    </w:p>
  </w:footnote>
  <w:footnote w:type="continuationSeparator" w:id="0">
    <w:p w:rsidR="00BB4C1D" w:rsidRDefault="00BB4C1D" w:rsidP="00050AA5">
      <w:pPr>
        <w:spacing w:after="0" w:line="240" w:lineRule="auto"/>
      </w:pPr>
      <w:r>
        <w:continuationSeparator/>
      </w:r>
    </w:p>
  </w:footnote>
  <w:footnote w:id="1">
    <w:p w:rsidR="00C70A8C" w:rsidRPr="00E560F2" w:rsidRDefault="00C70A8C">
      <w:pPr>
        <w:pStyle w:val="a9"/>
        <w:rPr>
          <w:lang w:val="ru-RU"/>
        </w:rPr>
      </w:pPr>
      <w:r w:rsidRPr="00E560F2">
        <w:rPr>
          <w:rStyle w:val="ab"/>
          <w:lang w:val="ru-RU"/>
        </w:rPr>
        <w:t xml:space="preserve">* </w:t>
      </w:r>
      <w:r w:rsidR="00E560F2" w:rsidRPr="00C70A8C">
        <w:rPr>
          <w:rFonts w:ascii="Times New Roman" w:hAnsi="Times New Roman" w:cs="Times New Roman"/>
        </w:rPr>
        <w:t>показник накопичувальний</w:t>
      </w:r>
      <w:r w:rsidR="00E560F2" w:rsidRPr="00E560F2">
        <w:rPr>
          <w:rFonts w:ascii="Times New Roman" w:hAnsi="Times New Roman" w:cs="Times New Roman"/>
        </w:rPr>
        <w:t xml:space="preserve"> </w:t>
      </w:r>
      <w:r w:rsidR="00E560F2">
        <w:rPr>
          <w:rFonts w:ascii="Times New Roman" w:hAnsi="Times New Roman" w:cs="Times New Roman"/>
        </w:rPr>
        <w:t>та не підлягає підсумо</w:t>
      </w:r>
      <w:r w:rsidR="00E560F2" w:rsidRPr="00E560F2">
        <w:rPr>
          <w:rFonts w:ascii="Times New Roman" w:hAnsi="Times New Roman" w:cs="Times New Roman"/>
        </w:rPr>
        <w:t>в</w:t>
      </w:r>
      <w:r w:rsidR="00E560F2">
        <w:rPr>
          <w:rFonts w:ascii="Times New Roman" w:hAnsi="Times New Roman" w:cs="Times New Roman"/>
        </w:rPr>
        <w:t>ув</w:t>
      </w:r>
      <w:r w:rsidR="00E560F2" w:rsidRPr="00E560F2">
        <w:rPr>
          <w:rFonts w:ascii="Times New Roman" w:hAnsi="Times New Roman" w:cs="Times New Roman"/>
        </w:rPr>
        <w:t>анню</w:t>
      </w:r>
    </w:p>
  </w:footnote>
  <w:footnote w:id="2">
    <w:p w:rsidR="00C70A8C" w:rsidRDefault="00C70A8C">
      <w:pPr>
        <w:pStyle w:val="a9"/>
      </w:pPr>
      <w:r>
        <w:rPr>
          <w:rStyle w:val="ab"/>
        </w:rPr>
        <w:t>*</w:t>
      </w:r>
      <w:r>
        <w:t xml:space="preserve"> </w:t>
      </w:r>
      <w:r w:rsidR="00E560F2" w:rsidRPr="00C70A8C">
        <w:rPr>
          <w:rFonts w:ascii="Times New Roman" w:hAnsi="Times New Roman" w:cs="Times New Roman"/>
        </w:rPr>
        <w:t>показник накопичувальний</w:t>
      </w:r>
      <w:r w:rsidR="00E560F2" w:rsidRPr="00E560F2">
        <w:rPr>
          <w:rFonts w:ascii="Times New Roman" w:hAnsi="Times New Roman" w:cs="Times New Roman"/>
        </w:rPr>
        <w:t xml:space="preserve"> </w:t>
      </w:r>
      <w:r w:rsidR="00E560F2">
        <w:rPr>
          <w:rFonts w:ascii="Times New Roman" w:hAnsi="Times New Roman" w:cs="Times New Roman"/>
        </w:rPr>
        <w:t>та не підлягає підсумо</w:t>
      </w:r>
      <w:r w:rsidR="00E560F2" w:rsidRPr="00E560F2">
        <w:rPr>
          <w:rFonts w:ascii="Times New Roman" w:hAnsi="Times New Roman" w:cs="Times New Roman"/>
        </w:rPr>
        <w:t>в</w:t>
      </w:r>
      <w:r w:rsidR="00E560F2">
        <w:rPr>
          <w:rFonts w:ascii="Times New Roman" w:hAnsi="Times New Roman" w:cs="Times New Roman"/>
        </w:rPr>
        <w:t>ув</w:t>
      </w:r>
      <w:r w:rsidR="00E560F2" w:rsidRPr="00E560F2">
        <w:rPr>
          <w:rFonts w:ascii="Times New Roman" w:hAnsi="Times New Roman" w:cs="Times New Roman"/>
        </w:rPr>
        <w:t>анню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19976"/>
      <w:docPartObj>
        <w:docPartGallery w:val="Page Numbers (Top of Page)"/>
        <w:docPartUnique/>
      </w:docPartObj>
    </w:sdtPr>
    <w:sdtEndPr>
      <w:rPr>
        <w:rFonts w:ascii="Times New Roman" w:hAnsi="Times New Roman" w:cs="Times New Roman"/>
        <w:sz w:val="28"/>
        <w:szCs w:val="28"/>
      </w:rPr>
    </w:sdtEndPr>
    <w:sdtContent>
      <w:p w:rsidR="00050AA5" w:rsidRPr="00050AA5" w:rsidRDefault="00050AA5" w:rsidP="00050AA5">
        <w:pPr>
          <w:pStyle w:val="a3"/>
          <w:jc w:val="center"/>
          <w:rPr>
            <w:rFonts w:ascii="Times New Roman" w:hAnsi="Times New Roman" w:cs="Times New Roman"/>
            <w:sz w:val="28"/>
            <w:szCs w:val="28"/>
          </w:rPr>
        </w:pPr>
        <w:r w:rsidRPr="00050AA5">
          <w:rPr>
            <w:rFonts w:ascii="Times New Roman" w:hAnsi="Times New Roman" w:cs="Times New Roman"/>
            <w:sz w:val="28"/>
            <w:szCs w:val="28"/>
          </w:rPr>
          <w:fldChar w:fldCharType="begin"/>
        </w:r>
        <w:r w:rsidRPr="00050AA5">
          <w:rPr>
            <w:rFonts w:ascii="Times New Roman" w:hAnsi="Times New Roman" w:cs="Times New Roman"/>
            <w:sz w:val="28"/>
            <w:szCs w:val="28"/>
          </w:rPr>
          <w:instrText>PAGE   \* MERGEFORMAT</w:instrText>
        </w:r>
        <w:r w:rsidRPr="00050AA5">
          <w:rPr>
            <w:rFonts w:ascii="Times New Roman" w:hAnsi="Times New Roman" w:cs="Times New Roman"/>
            <w:sz w:val="28"/>
            <w:szCs w:val="28"/>
          </w:rPr>
          <w:fldChar w:fldCharType="separate"/>
        </w:r>
        <w:r w:rsidR="00514C62" w:rsidRPr="00514C62">
          <w:rPr>
            <w:rFonts w:ascii="Times New Roman" w:hAnsi="Times New Roman" w:cs="Times New Roman"/>
            <w:noProof/>
            <w:sz w:val="28"/>
            <w:szCs w:val="28"/>
            <w:lang w:val="ru-RU"/>
          </w:rPr>
          <w:t>2</w:t>
        </w:r>
        <w:r w:rsidRPr="00050AA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AA5"/>
    <w:rsid w:val="00050AA5"/>
    <w:rsid w:val="003C4B9D"/>
    <w:rsid w:val="00442849"/>
    <w:rsid w:val="004D6860"/>
    <w:rsid w:val="00514C62"/>
    <w:rsid w:val="006D0BAE"/>
    <w:rsid w:val="00923733"/>
    <w:rsid w:val="0096696C"/>
    <w:rsid w:val="00994FB8"/>
    <w:rsid w:val="00B33A0E"/>
    <w:rsid w:val="00BB4C1D"/>
    <w:rsid w:val="00C70A8C"/>
    <w:rsid w:val="00CB39C5"/>
    <w:rsid w:val="00D20A9D"/>
    <w:rsid w:val="00D9197A"/>
    <w:rsid w:val="00E560F2"/>
    <w:rsid w:val="00F62CA8"/>
    <w:rsid w:val="00F87A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AA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50AA5"/>
  </w:style>
  <w:style w:type="paragraph" w:styleId="a5">
    <w:name w:val="footer"/>
    <w:basedOn w:val="a"/>
    <w:link w:val="a6"/>
    <w:uiPriority w:val="99"/>
    <w:unhideWhenUsed/>
    <w:rsid w:val="00050AA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50AA5"/>
  </w:style>
  <w:style w:type="paragraph" w:styleId="a7">
    <w:name w:val="Balloon Text"/>
    <w:basedOn w:val="a"/>
    <w:link w:val="a8"/>
    <w:uiPriority w:val="99"/>
    <w:semiHidden/>
    <w:unhideWhenUsed/>
    <w:rsid w:val="00923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733"/>
    <w:rPr>
      <w:rFonts w:ascii="Tahoma" w:hAnsi="Tahoma" w:cs="Tahoma"/>
      <w:sz w:val="16"/>
      <w:szCs w:val="16"/>
    </w:rPr>
  </w:style>
  <w:style w:type="paragraph" w:styleId="a9">
    <w:name w:val="footnote text"/>
    <w:basedOn w:val="a"/>
    <w:link w:val="aa"/>
    <w:uiPriority w:val="99"/>
    <w:semiHidden/>
    <w:unhideWhenUsed/>
    <w:rsid w:val="00C70A8C"/>
    <w:pPr>
      <w:spacing w:after="0" w:line="240" w:lineRule="auto"/>
    </w:pPr>
    <w:rPr>
      <w:sz w:val="20"/>
      <w:szCs w:val="20"/>
    </w:rPr>
  </w:style>
  <w:style w:type="character" w:customStyle="1" w:styleId="aa">
    <w:name w:val="Текст сноски Знак"/>
    <w:basedOn w:val="a0"/>
    <w:link w:val="a9"/>
    <w:uiPriority w:val="99"/>
    <w:semiHidden/>
    <w:rsid w:val="00C70A8C"/>
    <w:rPr>
      <w:sz w:val="20"/>
      <w:szCs w:val="20"/>
    </w:rPr>
  </w:style>
  <w:style w:type="character" w:styleId="ab">
    <w:name w:val="footnote reference"/>
    <w:basedOn w:val="a0"/>
    <w:uiPriority w:val="99"/>
    <w:semiHidden/>
    <w:unhideWhenUsed/>
    <w:rsid w:val="00C70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AA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50AA5"/>
  </w:style>
  <w:style w:type="paragraph" w:styleId="a5">
    <w:name w:val="footer"/>
    <w:basedOn w:val="a"/>
    <w:link w:val="a6"/>
    <w:uiPriority w:val="99"/>
    <w:unhideWhenUsed/>
    <w:rsid w:val="00050AA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50AA5"/>
  </w:style>
  <w:style w:type="paragraph" w:styleId="a7">
    <w:name w:val="Balloon Text"/>
    <w:basedOn w:val="a"/>
    <w:link w:val="a8"/>
    <w:uiPriority w:val="99"/>
    <w:semiHidden/>
    <w:unhideWhenUsed/>
    <w:rsid w:val="00923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733"/>
    <w:rPr>
      <w:rFonts w:ascii="Tahoma" w:hAnsi="Tahoma" w:cs="Tahoma"/>
      <w:sz w:val="16"/>
      <w:szCs w:val="16"/>
    </w:rPr>
  </w:style>
  <w:style w:type="paragraph" w:styleId="a9">
    <w:name w:val="footnote text"/>
    <w:basedOn w:val="a"/>
    <w:link w:val="aa"/>
    <w:uiPriority w:val="99"/>
    <w:semiHidden/>
    <w:unhideWhenUsed/>
    <w:rsid w:val="00C70A8C"/>
    <w:pPr>
      <w:spacing w:after="0" w:line="240" w:lineRule="auto"/>
    </w:pPr>
    <w:rPr>
      <w:sz w:val="20"/>
      <w:szCs w:val="20"/>
    </w:rPr>
  </w:style>
  <w:style w:type="character" w:customStyle="1" w:styleId="aa">
    <w:name w:val="Текст сноски Знак"/>
    <w:basedOn w:val="a0"/>
    <w:link w:val="a9"/>
    <w:uiPriority w:val="99"/>
    <w:semiHidden/>
    <w:rsid w:val="00C70A8C"/>
    <w:rPr>
      <w:sz w:val="20"/>
      <w:szCs w:val="20"/>
    </w:rPr>
  </w:style>
  <w:style w:type="character" w:styleId="ab">
    <w:name w:val="footnote reference"/>
    <w:basedOn w:val="a0"/>
    <w:uiPriority w:val="99"/>
    <w:semiHidden/>
    <w:unhideWhenUsed/>
    <w:rsid w:val="00C70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ADFE-743D-4B80-8537-28729305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9760</Words>
  <Characters>5564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2025-12-05T10:09:00Z</cp:lastPrinted>
  <dcterms:created xsi:type="dcterms:W3CDTF">2025-11-14T07:33:00Z</dcterms:created>
  <dcterms:modified xsi:type="dcterms:W3CDTF">2025-12-05T10:10:00Z</dcterms:modified>
</cp:coreProperties>
</file>