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A" w:rsidRPr="00EF7D33" w:rsidRDefault="0026667A" w:rsidP="0026667A">
      <w:pPr>
        <w:jc w:val="center"/>
      </w:pPr>
      <w:r w:rsidRPr="00EF7D33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590A9B0C" wp14:editId="06EB0BD5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7A" w:rsidRPr="00EF7D33" w:rsidRDefault="0026667A" w:rsidP="0026667A">
      <w:pPr>
        <w:jc w:val="center"/>
        <w:rPr>
          <w:sz w:val="16"/>
        </w:rPr>
      </w:pPr>
    </w:p>
    <w:p w:rsidR="0026667A" w:rsidRPr="00EF7D33" w:rsidRDefault="0026667A" w:rsidP="0026667A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26667A" w:rsidRPr="00EF7D33" w:rsidRDefault="0026667A" w:rsidP="0026667A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26667A" w:rsidRPr="00EF7D33" w:rsidRDefault="0026667A" w:rsidP="0026667A">
      <w:pPr>
        <w:shd w:val="clear" w:color="auto" w:fill="FFFFFF"/>
        <w:jc w:val="center"/>
        <w:rPr>
          <w:b/>
          <w:sz w:val="12"/>
        </w:rPr>
      </w:pPr>
    </w:p>
    <w:p w:rsidR="0026667A" w:rsidRPr="00EF7D33" w:rsidRDefault="0026667A" w:rsidP="0026667A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26667A" w:rsidRPr="00EF7D33" w:rsidRDefault="0026667A" w:rsidP="0026667A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26667A" w:rsidRPr="00EF7D33" w:rsidRDefault="0026667A" w:rsidP="0026667A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15A7A3" wp14:editId="07CCCADF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</w:t>
      </w:r>
      <w:r>
        <w:rPr>
          <w:sz w:val="20"/>
          <w:szCs w:val="20"/>
        </w:rPr>
        <w:t>ната</w:t>
      </w:r>
      <w:r w:rsidRPr="00EF7D33">
        <w:rPr>
          <w:sz w:val="20"/>
          <w:szCs w:val="20"/>
        </w:rPr>
        <w:t xml:space="preserve"> 330,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26667A" w:rsidRPr="00EF7D33" w:rsidRDefault="0026667A" w:rsidP="0026667A">
      <w:pPr>
        <w:pStyle w:val="a3"/>
        <w:rPr>
          <w:sz w:val="16"/>
        </w:rPr>
      </w:pPr>
    </w:p>
    <w:p w:rsidR="0026667A" w:rsidRPr="00D45919" w:rsidRDefault="0026667A" w:rsidP="0026667A">
      <w:pPr>
        <w:suppressAutoHyphens/>
        <w:jc w:val="center"/>
        <w:rPr>
          <w:b/>
          <w:sz w:val="24"/>
          <w:szCs w:val="20"/>
          <w:lang w:eastAsia="zh-CN"/>
        </w:rPr>
      </w:pPr>
    </w:p>
    <w:p w:rsidR="0026667A" w:rsidRPr="00D45919" w:rsidRDefault="0026667A" w:rsidP="0026667A">
      <w:pPr>
        <w:suppressAutoHyphens/>
        <w:spacing w:after="120"/>
        <w:rPr>
          <w:lang w:eastAsia="zh-CN"/>
        </w:rPr>
      </w:pPr>
    </w:p>
    <w:p w:rsidR="0026667A" w:rsidRDefault="00656F55" w:rsidP="0026667A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ВИСНОВКИ ТА РЕКОМЕНДАЦІЇ </w:t>
      </w:r>
    </w:p>
    <w:p w:rsidR="00B70335" w:rsidRPr="00D45919" w:rsidRDefault="00B70335" w:rsidP="0026667A">
      <w:pPr>
        <w:suppressAutoHyphens/>
        <w:jc w:val="center"/>
        <w:rPr>
          <w:b/>
          <w:bCs/>
          <w:lang w:eastAsia="zh-CN"/>
        </w:rPr>
      </w:pPr>
      <w:r w:rsidRPr="00B70335">
        <w:rPr>
          <w:b/>
          <w:bCs/>
          <w:lang w:eastAsia="zh-CN"/>
        </w:rPr>
        <w:t>засідання постійної комісії обласної ради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7E7B46" w:rsidP="00B70335">
      <w:pPr>
        <w:shd w:val="clear" w:color="auto" w:fill="FFFFFF"/>
        <w:jc w:val="both"/>
        <w:rPr>
          <w:lang w:eastAsia="zh-CN"/>
        </w:rPr>
      </w:pPr>
      <w:r w:rsidRPr="007E7B46">
        <w:rPr>
          <w:lang w:eastAsia="zh-CN"/>
        </w:rPr>
        <w:t xml:space="preserve">04 травня </w:t>
      </w:r>
      <w:r w:rsidR="002D36A3">
        <w:rPr>
          <w:lang w:eastAsia="zh-CN"/>
        </w:rPr>
        <w:t>2026 року</w:t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</w:r>
      <w:r w:rsidR="002D36A3">
        <w:rPr>
          <w:lang w:eastAsia="zh-CN"/>
        </w:rPr>
        <w:tab/>
        <w:t>№ 2</w:t>
      </w:r>
      <w:r w:rsidR="00B70335">
        <w:rPr>
          <w:lang w:eastAsia="zh-CN"/>
        </w:rPr>
        <w:t>/14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26667A" w:rsidRPr="002D36A3" w:rsidRDefault="0026667A" w:rsidP="002D36A3">
      <w:pPr>
        <w:shd w:val="clear" w:color="auto" w:fill="FFFFFF"/>
        <w:ind w:firstLine="709"/>
        <w:jc w:val="both"/>
      </w:pPr>
      <w:r w:rsidRPr="00732D84">
        <w:rPr>
          <w:szCs w:val="28"/>
        </w:rPr>
        <w:t xml:space="preserve">Заслухавши та обговоривши інформацію </w:t>
      </w:r>
      <w:r w:rsidR="002D36A3" w:rsidRPr="002D36A3">
        <w:rPr>
          <w:szCs w:val="28"/>
        </w:rPr>
        <w:t>директор</w:t>
      </w:r>
      <w:r w:rsidR="002D36A3">
        <w:rPr>
          <w:szCs w:val="28"/>
        </w:rPr>
        <w:t>а</w:t>
      </w:r>
      <w:r w:rsidR="002D36A3" w:rsidRPr="002D36A3">
        <w:rPr>
          <w:szCs w:val="28"/>
        </w:rPr>
        <w:t xml:space="preserve"> департаменту екології та природних ресурсів Дніпропетровської о</w:t>
      </w:r>
      <w:r w:rsidR="002D36A3">
        <w:rPr>
          <w:szCs w:val="28"/>
        </w:rPr>
        <w:t xml:space="preserve">бласної державної адміністрації Яни Науменко </w:t>
      </w:r>
      <w:r w:rsidR="002D36A3">
        <w:t xml:space="preserve">стосовно розгляду </w:t>
      </w:r>
      <w:r w:rsidR="002D36A3" w:rsidRPr="002F6F54">
        <w:t>проєкту рішення обласної ради</w:t>
      </w:r>
      <w:r w:rsidR="002D36A3">
        <w:t xml:space="preserve"> </w:t>
      </w:r>
      <w:proofErr w:type="spellStart"/>
      <w:r w:rsidR="002D36A3" w:rsidRPr="002D36A3">
        <w:t>„Про</w:t>
      </w:r>
      <w:proofErr w:type="spellEnd"/>
      <w:r w:rsidR="002D36A3" w:rsidRPr="002D36A3">
        <w:t xml:space="preserve">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</w:t>
      </w:r>
      <w:r w:rsidR="002D36A3">
        <w:t>міну дії Програми до 2028 року”</w:t>
      </w:r>
      <w:r w:rsidRPr="00732D84">
        <w:rPr>
          <w:szCs w:val="28"/>
        </w:rPr>
        <w:t xml:space="preserve">, постійна комісія </w:t>
      </w:r>
      <w:r w:rsidRPr="00B70335">
        <w:rPr>
          <w:szCs w:val="28"/>
        </w:rPr>
        <w:t>в и р і ш и л а:</w:t>
      </w:r>
    </w:p>
    <w:p w:rsidR="0026667A" w:rsidRPr="00732D84" w:rsidRDefault="0026667A" w:rsidP="0026667A">
      <w:pPr>
        <w:shd w:val="clear" w:color="auto" w:fill="FFFFFF"/>
        <w:ind w:firstLine="709"/>
        <w:jc w:val="both"/>
        <w:rPr>
          <w:szCs w:val="28"/>
        </w:rPr>
      </w:pP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>1. Інформацію взяти до відома.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 xml:space="preserve">2. Внести зміни до пункту 2.1.18.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“Поліпшення стану поверхневих водних об’єктів на території Дніпропетровської області шляхом упровадження </w:t>
      </w:r>
      <w:proofErr w:type="spellStart"/>
      <w:r w:rsidRPr="000E403D">
        <w:rPr>
          <w:szCs w:val="28"/>
        </w:rPr>
        <w:t>біомеліоративних</w:t>
      </w:r>
      <w:proofErr w:type="spellEnd"/>
      <w:r w:rsidRPr="000E403D">
        <w:rPr>
          <w:szCs w:val="28"/>
        </w:rPr>
        <w:t xml:space="preserve"> заходів”, а саме: визначити обсяги фінансування заходу на 2026 рік – 10 000 тис. грн., 2027 рік – 10 000 тис. грн., 2028 рік – 10 000тис. грн.;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 xml:space="preserve">Визначити відповідальними за виконання заходів: “Департамент житлово-комунального господарства та будівництва облдержадміністрації, департамент екології та природних ресурсів облдержадміністрації, Регіональний офіс водних ресурсів у Дніпропетровській області (за згодою), райдержадміністрації та органи місцевого самоврядування (за згодою), наукові організації та установи, спеціалізовані будівельні організації (за згодою), Управління Державного агентства з розвитку меліорації, рибного господарства та продовольчих програм у Дніпропетровській області </w:t>
      </w:r>
      <w:r w:rsidRPr="000E403D">
        <w:rPr>
          <w:szCs w:val="28"/>
        </w:rPr>
        <w:lastRenderedPageBreak/>
        <w:t>(Державне агентство України з розвитку меліорації, рибного господарства та продовольчих програм) (за згодою)”;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>3. Внести зміни до пункту 2.1.20.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“Заходи з поліпшення екологічного та гідрологічного стану р. Інгулець”, а саме визначити відповідальними за виконання заходів: “Учасники програми, що здійснюють скид високомінералізованих</w:t>
      </w:r>
      <w:bookmarkStart w:id="0" w:name="_GoBack"/>
      <w:bookmarkEnd w:id="0"/>
      <w:r w:rsidRPr="000E403D">
        <w:rPr>
          <w:szCs w:val="28"/>
        </w:rPr>
        <w:t xml:space="preserve"> шахтних вод до р. Інгулець (за згодою), органи місцевого самоврядування (за згодою), органи виконавчої влади (за згодою), Регіональний офіс водних ресурсів у Дніпропетровській області (за згодою), підприємства, установи та організації (за згодою)”;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>4. Внести зміни до пункту 6.3.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“Організація, розбудова та вдосконалення регіональної автоматизованої мережі спостережень за станом атмосферного повітря”, а саме: визначити обсяги фінансування заходу на 2026 рік – 10 000 тис. грн., 2027 рік – 10 000 тис. грн., 2028 рік – 10 000 тис. грн.;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>5. Внести зміни до пункту 6.5. Переліку завдань і заходів Дніпропетровської обласної комплексної програми (стр</w:t>
      </w:r>
      <w:r>
        <w:rPr>
          <w:szCs w:val="28"/>
        </w:rPr>
        <w:t xml:space="preserve">атегії) екологічної безпеки та </w:t>
      </w:r>
      <w:r w:rsidRPr="000E403D">
        <w:rPr>
          <w:szCs w:val="28"/>
        </w:rPr>
        <w:t>запобігання змінам клімату на 2016 – 2028 роки “Організація та розбудова мережі спостережень за стано</w:t>
      </w:r>
      <w:r>
        <w:rPr>
          <w:szCs w:val="28"/>
        </w:rPr>
        <w:t xml:space="preserve">м поверхневих вод та підземних </w:t>
      </w:r>
      <w:r w:rsidRPr="000E403D">
        <w:rPr>
          <w:szCs w:val="28"/>
        </w:rPr>
        <w:t>водоносних горизонтів, удосконалення спостережень за їх якісними показниками та гідрологічними умовами”, а саме: визначити обсяги фінансування заходу на 2026 рік – 10 000 тис. грн., 2027 рік – 10 000 тис. грн., 2028 рік – 10 000тис. грн.;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>6. Внести зміни до загальних обсягів фінансування заходів програми та змінити таблицю в частині планових обсягів фінансування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роки.</w:t>
      </w:r>
    </w:p>
    <w:p w:rsidR="000E403D" w:rsidRPr="000E403D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 xml:space="preserve">7. Внести технічні правки до проєкту рішення </w:t>
      </w:r>
      <w:r w:rsidR="00FB12E2" w:rsidRPr="00FB12E2">
        <w:rPr>
          <w:szCs w:val="28"/>
        </w:rPr>
        <w:t>“</w:t>
      </w:r>
      <w:r w:rsidRPr="000E403D">
        <w:rPr>
          <w:szCs w:val="28"/>
        </w:rPr>
        <w:t xml:space="preserve"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року”. </w:t>
      </w:r>
    </w:p>
    <w:p w:rsidR="007A6E67" w:rsidRDefault="000E403D" w:rsidP="000E403D">
      <w:pPr>
        <w:shd w:val="clear" w:color="auto" w:fill="FFFFFF"/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Pr="000E403D">
        <w:rPr>
          <w:szCs w:val="28"/>
        </w:rPr>
        <w:t xml:space="preserve">8. Погодити в цілому проєкт рішення </w:t>
      </w:r>
      <w:r w:rsidR="00FB12E2" w:rsidRPr="00FB12E2">
        <w:rPr>
          <w:szCs w:val="28"/>
        </w:rPr>
        <w:t>“</w:t>
      </w:r>
      <w:r w:rsidRPr="000E403D">
        <w:rPr>
          <w:szCs w:val="28"/>
        </w:rPr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року”, винести на розгляд двадцять дев’ятої сесії Дніпропетровської обласної ради VIIІ скликання та рекомендувати обласній раді його затвердити.</w:t>
      </w:r>
    </w:p>
    <w:p w:rsidR="007A6E67" w:rsidRDefault="007A6E67" w:rsidP="007A6E67">
      <w:pPr>
        <w:shd w:val="clear" w:color="auto" w:fill="FFFFFF"/>
        <w:tabs>
          <w:tab w:val="left" w:pos="567"/>
        </w:tabs>
        <w:jc w:val="both"/>
        <w:rPr>
          <w:szCs w:val="28"/>
        </w:rPr>
      </w:pPr>
    </w:p>
    <w:p w:rsidR="00345DEB" w:rsidRDefault="00345DEB" w:rsidP="00345DEB"/>
    <w:p w:rsidR="00345DEB" w:rsidRPr="001D6F3E" w:rsidRDefault="00345DEB" w:rsidP="00345DEB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lastRenderedPageBreak/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345DEB" w:rsidRPr="001D6F3E" w:rsidRDefault="00345DEB" w:rsidP="00345DEB">
      <w:pPr>
        <w:tabs>
          <w:tab w:val="left" w:pos="1843"/>
          <w:tab w:val="left" w:pos="1985"/>
          <w:tab w:val="left" w:pos="3261"/>
        </w:tabs>
        <w:ind w:firstLine="567"/>
      </w:pPr>
    </w:p>
    <w:p w:rsidR="00345DEB" w:rsidRPr="001D6F3E" w:rsidRDefault="00345DEB" w:rsidP="00345DEB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345DEB" w:rsidRPr="001D6F3E" w:rsidRDefault="00345DEB" w:rsidP="00345DEB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345DEB" w:rsidRPr="001D6F3E" w:rsidRDefault="00345DEB" w:rsidP="00345DEB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B70335" w:rsidRPr="00345DEB" w:rsidRDefault="00B70335" w:rsidP="00B70335">
      <w:pPr>
        <w:rPr>
          <w:lang w:val="ru-RU"/>
        </w:rPr>
      </w:pPr>
    </w:p>
    <w:p w:rsidR="00B70335" w:rsidRDefault="00B70335" w:rsidP="00B70335"/>
    <w:p w:rsidR="00B70335" w:rsidRPr="00EF7D33" w:rsidRDefault="00B70335" w:rsidP="00B70335"/>
    <w:p w:rsidR="0026667A" w:rsidRPr="00B70335" w:rsidRDefault="0026667A" w:rsidP="0026667A">
      <w:pPr>
        <w:tabs>
          <w:tab w:val="left" w:pos="7088"/>
          <w:tab w:val="left" w:pos="8789"/>
        </w:tabs>
        <w:rPr>
          <w:szCs w:val="28"/>
        </w:rPr>
      </w:pPr>
      <w:r w:rsidRPr="00B70335">
        <w:rPr>
          <w:szCs w:val="28"/>
        </w:rPr>
        <w:t>Голова постійної комісії                                                         М</w:t>
      </w:r>
      <w:r w:rsidR="00B70335">
        <w:rPr>
          <w:szCs w:val="28"/>
        </w:rPr>
        <w:t xml:space="preserve">аксим </w:t>
      </w:r>
      <w:r w:rsidR="005620EF">
        <w:rPr>
          <w:szCs w:val="28"/>
        </w:rPr>
        <w:t>КУРЯЧИЙ</w:t>
      </w:r>
    </w:p>
    <w:p w:rsidR="0026667A" w:rsidRDefault="0026667A" w:rsidP="0026667A"/>
    <w:p w:rsidR="00250E4D" w:rsidRDefault="00250E4D"/>
    <w:sectPr w:rsidR="00250E4D" w:rsidSect="003D1A2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BE" w:rsidRDefault="00085EBE">
      <w:r>
        <w:separator/>
      </w:r>
    </w:p>
  </w:endnote>
  <w:endnote w:type="continuationSeparator" w:id="0">
    <w:p w:rsidR="00085EBE" w:rsidRDefault="0008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BE" w:rsidRDefault="00085EBE">
      <w:r>
        <w:separator/>
      </w:r>
    </w:p>
  </w:footnote>
  <w:footnote w:type="continuationSeparator" w:id="0">
    <w:p w:rsidR="00085EBE" w:rsidRDefault="00085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A2B" w:rsidRDefault="00085E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218">
      <w:rPr>
        <w:rStyle w:val="a7"/>
        <w:noProof/>
      </w:rPr>
      <w:t>3</w:t>
    </w:r>
    <w:r>
      <w:rPr>
        <w:rStyle w:val="a7"/>
      </w:rPr>
      <w:fldChar w:fldCharType="end"/>
    </w:r>
  </w:p>
  <w:p w:rsidR="003D1A2B" w:rsidRDefault="00085E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A"/>
    <w:rsid w:val="00085EBE"/>
    <w:rsid w:val="000E403D"/>
    <w:rsid w:val="001A0326"/>
    <w:rsid w:val="00250E4D"/>
    <w:rsid w:val="0026667A"/>
    <w:rsid w:val="00292175"/>
    <w:rsid w:val="002D36A3"/>
    <w:rsid w:val="00311895"/>
    <w:rsid w:val="00345DEB"/>
    <w:rsid w:val="00391B3C"/>
    <w:rsid w:val="00414235"/>
    <w:rsid w:val="004F4686"/>
    <w:rsid w:val="00516849"/>
    <w:rsid w:val="005620EF"/>
    <w:rsid w:val="00656F55"/>
    <w:rsid w:val="007A6E67"/>
    <w:rsid w:val="007E7B46"/>
    <w:rsid w:val="008178A5"/>
    <w:rsid w:val="008838E6"/>
    <w:rsid w:val="00971740"/>
    <w:rsid w:val="009F6700"/>
    <w:rsid w:val="00A15957"/>
    <w:rsid w:val="00A56804"/>
    <w:rsid w:val="00A5689D"/>
    <w:rsid w:val="00AC3846"/>
    <w:rsid w:val="00B70335"/>
    <w:rsid w:val="00BD3A80"/>
    <w:rsid w:val="00BE68FD"/>
    <w:rsid w:val="00CE6DF7"/>
    <w:rsid w:val="00D61B67"/>
    <w:rsid w:val="00D922C1"/>
    <w:rsid w:val="00E23910"/>
    <w:rsid w:val="00E9119A"/>
    <w:rsid w:val="00EB7218"/>
    <w:rsid w:val="00EC2911"/>
    <w:rsid w:val="00EF1907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2024-12-12T13:34:00Z</dcterms:created>
  <dcterms:modified xsi:type="dcterms:W3CDTF">2026-05-05T17:42:00Z</dcterms:modified>
</cp:coreProperties>
</file>